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1040" w:right="1120" w:hanging="1032"/>
        <w:spacing w:after="0" w:line="282"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2015</w:t>
      </w:r>
    </w:p>
    <w:p>
      <w:pPr>
        <w:spacing w:after="0" w:line="162" w:lineRule="exact"/>
        <w:rPr>
          <w:sz w:val="24"/>
          <w:szCs w:val="24"/>
          <w:color w:val="auto"/>
        </w:rPr>
      </w:pPr>
    </w:p>
    <w:p>
      <w:pPr>
        <w:ind w:left="1040" w:hanging="1032"/>
        <w:spacing w:after="0"/>
        <w:tabs>
          <w:tab w:leader="none" w:pos="10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p>
      <w:pPr>
        <w:ind w:left="1040"/>
        <w:spacing w:after="0"/>
        <w:tabs>
          <w:tab w:leader="none" w:pos="4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20"/>
          </w:cols>
          <w:pgMar w:left="240" w:top="693" w:right="3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20-5951150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960" w:space="720"/>
            <w:col w:w="3640"/>
          </w:cols>
          <w:pgMar w:left="240" w:top="693" w:right="33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320"/>
          </w:cols>
          <w:pgMar w:left="240" w:top="693" w:right="339" w:bottom="1440" w:gutter="0" w:footer="0" w:header="0"/>
          <w:type w:val="continuous"/>
        </w:sect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455-8300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20"/>
          </w:cols>
          <w:pgMar w:left="240" w:top="693" w:right="3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1620" w:space="460"/>
            <w:col w:w="4520" w:space="720"/>
            <w:col w:w="2360" w:space="720"/>
            <w:col w:w="920"/>
          </w:cols>
          <w:pgMar w:left="240" w:top="693" w:right="3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5">
            <w:col w:w="1540" w:space="540"/>
            <w:col w:w="80" w:space="720"/>
            <w:col w:w="3720" w:space="720"/>
            <w:col w:w="2360" w:space="720"/>
            <w:col w:w="920"/>
          </w:cols>
          <w:pgMar w:left="240" w:top="693" w:right="339" w:bottom="1440" w:gutter="0" w:footer="0" w:header="0"/>
          <w:type w:val="continuous"/>
        </w:sectPr>
      </w:pPr>
    </w:p>
    <w:p>
      <w:pPr>
        <w:spacing w:after="0" w:line="16"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number of outstanding shares of common stock of the registrant as of August 4, 2015 was 37,053,327.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gridSpan w:val="13"/>
          </w:tcPr>
          <w:p>
            <w:pPr>
              <w:jc w:val="center"/>
              <w:ind w:right="354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20" w:type="dxa"/>
            <w:vAlign w:val="bottom"/>
            <w:gridSpan w:val="15"/>
            <w:shd w:val="clear" w:color="auto" w:fill="CCEEFF"/>
          </w:tcPr>
          <w:p>
            <w:pPr>
              <w:jc w:val="center"/>
              <w:ind w:right="2500"/>
              <w:spacing w:after="0" w:line="176" w:lineRule="exact"/>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2015 (unaudited) and December 31, 2014</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 for the three and six months ended June 30, 2015 and 2014</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Changes in Net Assets (unaudited) for the six months ended June 30, 2015 and 2014</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six months ended June 30, 2015 and 2014</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June 30, 2015 (unaudited) and December 31, 2014</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Financial Highlights (unaudited) for the six months ended June 30, 2015 and 2014</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Notes to Consolidated Financial Statements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580" w:type="dxa"/>
            <w:vAlign w:val="bottom"/>
            <w:gridSpan w:val="13"/>
            <w:shd w:val="clear" w:color="auto" w:fill="CCEEFF"/>
          </w:tcPr>
          <w:p>
            <w:pPr>
              <w:jc w:val="center"/>
              <w:ind w:right="3520"/>
              <w:spacing w:after="0" w:line="176" w:lineRule="exact"/>
              <w:rPr>
                <w:rFonts w:ascii="Arial" w:cs="Arial" w:eastAsia="Arial" w:hAnsi="Arial"/>
                <w:sz w:val="18"/>
                <w:szCs w:val="18"/>
                <w:b w:val="1"/>
                <w:bCs w:val="1"/>
                <w:color w:val="0000EE"/>
                <w:w w:val="97"/>
              </w:rPr>
            </w:pPr>
            <w:hyperlink w:anchor="page83">
              <w:r>
                <w:rPr>
                  <w:rFonts w:ascii="Arial" w:cs="Arial" w:eastAsia="Arial" w:hAnsi="Arial"/>
                  <w:sz w:val="18"/>
                  <w:szCs w:val="18"/>
                  <w:b w:val="1"/>
                  <w:bCs w:val="1"/>
                  <w:color w:val="0000EE"/>
                  <w:w w:val="97"/>
                </w:rPr>
                <w:t>Part II. Other Information</w:t>
              </w:r>
            </w:hyperlink>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Legal Proceedings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Unregistered Sales of Equity Securities and Use of Proceeds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Exhibits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0" w:type="dxa"/>
            <w:vAlign w:val="bottom"/>
          </w:tcPr>
          <w:p>
            <w:pPr>
              <w:ind w:left="4680"/>
              <w:spacing w:after="0"/>
              <w:rPr>
                <w:sz w:val="20"/>
                <w:szCs w:val="20"/>
                <w:color w:val="auto"/>
              </w:rPr>
            </w:pPr>
            <w:r>
              <w:rPr>
                <w:rFonts w:ascii="Arial" w:cs="Arial" w:eastAsia="Arial" w:hAnsi="Arial"/>
                <w:sz w:val="18"/>
                <w:szCs w:val="18"/>
                <w:b w:val="1"/>
                <w:bCs w:val="1"/>
                <w:color w:val="auto"/>
              </w:rPr>
              <w:t>KCAP FINANCIAL, INC.</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0" w:type="dxa"/>
            <w:vAlign w:val="bottom"/>
          </w:tcPr>
          <w:p>
            <w:pPr>
              <w:ind w:left="4140"/>
              <w:spacing w:after="0"/>
              <w:rPr>
                <w:sz w:val="20"/>
                <w:szCs w:val="20"/>
                <w:color w:val="auto"/>
              </w:rPr>
            </w:pPr>
            <w:r>
              <w:rPr>
                <w:rFonts w:ascii="Arial" w:cs="Arial" w:eastAsia="Arial" w:hAnsi="Arial"/>
                <w:sz w:val="18"/>
                <w:szCs w:val="18"/>
                <w:b w:val="1"/>
                <w:bCs w:val="1"/>
                <w:color w:val="auto"/>
              </w:rPr>
              <w:t>CONSOLIDATED BALANCE SHEETS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As of</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June 30, 2015</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 (cost: 2015 - $16,457,816; 2014 - $1,602,741)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16,457,816</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1,602,741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Debt securities (cost: 2015 - $301,909,681; 2014 - $322,884,934)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297,915,304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320,143,170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 Fund securities managed by affiliates (cost: 2015 - $92,028,527; 2014 - $85,355,897)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75,182,525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74,139,696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2015 - $5,572,522; 2014 - $5,533,293)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3,265,930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3,375,206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(cost: 2015 - $8,514,487; 2014 - $8,828,812)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7,542,085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8,119,681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Asset Manager Affiliates (cost: 2015 - $57,942,090; 2014 - $60,292,677)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73,737,000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72,326,000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 (cost: 2015 - $482,425,123; 2014 - $484,498,354)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474,100,660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479,706,494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2,807,432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1,220,798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8,641,346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19,325,550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1,917,083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1,748,821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2,412,580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3,027,409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5,201,056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5,417,725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495,080,157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510,446,797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Convertible Notes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38,647,000</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38,647,000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41,400,000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Notes issued by KCAP Senior Funding I, LLC (net of discount: 2015 - $3,212,019; 2014 - $3,512,407)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144,137,981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143,837,593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Payable for open trades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7,741,875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18,293,725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1,428,803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2,166,400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1,712,049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Payable to officers and directors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107,750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2,216,091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Shareholder distribution payable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9,080,373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237,283,799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255,130,096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tcPr>
          <w:p>
            <w:pPr>
              <w:spacing w:after="0" w:line="201" w:lineRule="exact"/>
              <w:rPr>
                <w:sz w:val="20"/>
                <w:szCs w:val="20"/>
                <w:color w:val="auto"/>
              </w:rPr>
            </w:pPr>
            <w:r>
              <w:rPr>
                <w:rFonts w:ascii="Arial" w:cs="Arial" w:eastAsia="Arial" w:hAnsi="Arial"/>
                <w:sz w:val="18"/>
                <w:szCs w:val="18"/>
                <w:color w:val="auto"/>
                <w:w w:val="91"/>
              </w:rPr>
              <w:t>Common stock, par value $0.01 per share, 100,000,000 common shares authorized; 37,032,825 and 36,775,127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common shares issued and outstanding at June 30, 2015 and December 31, 2014, respectively</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370,328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367,751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363,847,548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362,411,830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Excess distribution of net investment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(20,886,123)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(25,579,865)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(75,413,728)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(75,512,134)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(9,903,491)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(6,370,881)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(218,176)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257,796,358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255,316,701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495,080,157</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510,446,797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6.96</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ind w:left="3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5,879,930</w:t>
            </w:r>
          </w:p>
        </w:tc>
        <w:tc>
          <w:tcPr>
            <w:tcW w:w="160" w:type="dxa"/>
            <w:vAlign w:val="bottom"/>
          </w:tcPr>
          <w:p>
            <w:pPr>
              <w:spacing w:after="0"/>
              <w:rPr>
                <w:sz w:val="18"/>
                <w:szCs w:val="18"/>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5,173,514</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12,077,758</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10,420,750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from cash and time deposits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 income on CLO Fund Securities managed by affiliates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3,599,699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2,816,749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7,939,842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5,639,127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Investment income on CLO Fund Securities managed by non-affiliates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279,261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624,077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1,235,439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1,378,466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2,649,414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2,756,932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structuring service fees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125,116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218,066</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investment income</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11,171,386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9,773,830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23,513,515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19,769,192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2,990,782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2,893,806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5,957,969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5,883,972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1,227,651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2,130,273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705,132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545,913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1,876,574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1,217,123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111,507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219,533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478,674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399,315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989,966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867,597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5,339,134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5,178,192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11,174,315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10,706,247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5,832,252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4,595,638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12,339,200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9,062,945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realized gains (losses) from investment transactions</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26,050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(64,797)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98,406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unrealized (depreciation) appreciation 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(2,502,825)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1,102,632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(1,252,614)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499,319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(207,148)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546,686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(263,271)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(4,970,933)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2,650,352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(5,629,804)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3,584,183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(222,252)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573,617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(148,508)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Asset Manager Affiliates investments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3,277,561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2,848,534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3,761,586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1,851,090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 change in unrealized (depreciation) appreciation</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(4,625,597</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7,721,821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(3,532,611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6,386,526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6"/>
              </w:rPr>
              <w:t>Net realized and unrealized (depreciation) appreciation on investments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(4,599,547</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7,657,024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(3,434,205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6,631,311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Stockholders’ Equity Resulting From Operations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1,232,705</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12,252,662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8,904,995</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15,694,256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Net Increase In Stockholders' Equity Resulting from Operations per</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0.33</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36,886,129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33,405,189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36,860,341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33,371,764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36,891,931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39,723,264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36,867,887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39,689,884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12,339,200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9,062,945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from investment transactions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98,406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(3,532,611)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6,386,526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8,904,995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15,694,256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distributions: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Distribution of ordinary income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(7,645,458)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(8,264,081)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(7,645,458)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(8,264,081)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Capital transactions: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(Repurchase) issuance of common stock for:</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Treasury stock</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(218,536)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reinvestment plan</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708,417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730,239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413,375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in net assets resulting from capital transactions</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1,220,120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assets at beginning of period</w:t>
            </w:r>
          </w:p>
        </w:tc>
        <w:tc>
          <w:tcPr>
            <w:tcW w:w="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255,316,701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250,369,692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060" w:type="dxa"/>
            <w:vAlign w:val="bottom"/>
          </w:tcPr>
          <w:p>
            <w:pPr>
              <w:spacing w:after="0"/>
              <w:rPr>
                <w:sz w:val="20"/>
                <w:szCs w:val="20"/>
                <w:color w:val="auto"/>
              </w:rPr>
            </w:pPr>
            <w:r>
              <w:rPr>
                <w:rFonts w:ascii="Arial" w:cs="Arial" w:eastAsia="Arial" w:hAnsi="Arial"/>
                <w:sz w:val="18"/>
                <w:szCs w:val="18"/>
                <w:color w:val="auto"/>
                <w:w w:val="96"/>
              </w:rPr>
              <w:t>Net assets at end of period (including undistributed net investment income of $0 in 2015 and $0 in 2014)</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257,796,358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258,514,055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6.96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end of period</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37,032,825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33,725,223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increase in stockholder's equity resulting from operations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8,904,995</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15,694,256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Adjustments to reconcile net increase in stockholder’s equity resulting from operations to net cash provided by in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Net realized gains on investment transactions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(98,406)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3,532,611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(6,386,526)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(62,257,431)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(88,665,326)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60,112,789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94,762,590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Net accretion of discount on investments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5,032,797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3,602,374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300,388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594,525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Payment-in-kind interest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(716,524)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730,239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Increase in receivable for open trades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(2,943,835)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payable for open trades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(10,551,850)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Increase in interest and dividends receivable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(168,262)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other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(377,858)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Decrease (increase) in due from affiliates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614,830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due to affiliates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2,185,091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(699,553)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(590,959)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7,138,381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15,872,236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Issuance of restricted shares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1,820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stockholders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(16,019,236)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(16,296,300)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(218,535)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restricted cash</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10,684,204</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(5,551,747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(16,995,322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CHANGE IN CASH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1,586,634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(1,123,086)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1,220,798</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3,433,675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END OF PERIOD</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2,807,432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2,310,589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 during the period</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4,917,229</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4,985,509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708,417</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300,813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June 30, 2015</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320"/>
          </w:cols>
          <w:pgMar w:left="240" w:top="877"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4L Technologies Inc. (fka Clover Holdings, Inc.)</w:t>
      </w:r>
      <w:r>
        <w:rPr>
          <w:rFonts w:ascii="Arial" w:cs="Arial" w:eastAsia="Arial" w:hAnsi="Arial"/>
          <w:sz w:val="26"/>
          <w:szCs w:val="26"/>
          <w:color w:val="auto"/>
          <w:vertAlign w:val="superscript"/>
        </w:rPr>
        <w:t>9, 11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Advanced Lighting Technologies, Inc.</w:t>
      </w:r>
      <w:r>
        <w:rPr>
          <w:rFonts w:ascii="Arial" w:cs="Arial" w:eastAsia="Arial" w:hAnsi="Arial"/>
          <w:sz w:val="30"/>
          <w:szCs w:val="30"/>
          <w:color w:val="auto"/>
          <w:vertAlign w:val="superscript"/>
        </w:rPr>
        <w:t>9, 11</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Alaska Communications Systems Holdings, Inc.</w:t>
      </w:r>
      <w:r>
        <w:rPr>
          <w:rFonts w:ascii="Arial" w:cs="Arial" w:eastAsia="Arial" w:hAnsi="Arial"/>
          <w:sz w:val="26"/>
          <w:szCs w:val="26"/>
          <w:color w:val="auto"/>
          <w:vertAlign w:val="superscript"/>
        </w:rPr>
        <w:t>9, 11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Alere Inc. (fka IM US Holdings, LLC)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AmSurg Corp.</w:t>
      </w:r>
      <w:r>
        <w:rPr>
          <w:rFonts w:ascii="Arial" w:cs="Arial" w:eastAsia="Arial" w:hAnsi="Arial"/>
          <w:sz w:val="30"/>
          <w:szCs w:val="30"/>
          <w:color w:val="auto"/>
          <w:vertAlign w:val="superscript"/>
        </w:rPr>
        <w:t>11</w:t>
      </w:r>
    </w:p>
    <w:p>
      <w:pPr>
        <w:spacing w:after="0" w:line="3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Anaren, Inc.</w:t>
      </w:r>
      <w:r>
        <w:rPr>
          <w:rFonts w:ascii="Arial" w:cs="Arial" w:eastAsia="Arial" w:hAnsi="Arial"/>
          <w:sz w:val="30"/>
          <w:szCs w:val="30"/>
          <w:color w:val="auto"/>
          <w:vertAlign w:val="superscript"/>
        </w:rPr>
        <w:t>9, 11</w:t>
      </w:r>
    </w:p>
    <w:p>
      <w:pPr>
        <w:spacing w:after="0" w:line="3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Asurion, LLC (fka Asurion Corporation)</w:t>
      </w:r>
      <w:r>
        <w:rPr>
          <w:rFonts w:ascii="Arial" w:cs="Arial" w:eastAsia="Arial" w:hAnsi="Arial"/>
          <w:sz w:val="30"/>
          <w:szCs w:val="30"/>
          <w:color w:val="auto"/>
          <w:vertAlign w:val="superscript"/>
        </w:rPr>
        <w:t>9, 11</w:t>
      </w:r>
    </w:p>
    <w:p>
      <w:pPr>
        <w:spacing w:after="0" w:line="200" w:lineRule="exact"/>
        <w:rPr>
          <w:sz w:val="20"/>
          <w:szCs w:val="20"/>
          <w:color w:val="auto"/>
        </w:rPr>
      </w:pPr>
    </w:p>
    <w:p>
      <w:pPr>
        <w:spacing w:after="0" w:line="3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Banking, Finance, Insurance &amp; Real Estate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AZ Chem US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Chemicals, Plastics and Rubber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Bankruptcy Management Solutions, Inc.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1"/>
        </w:trPr>
        <w:tc>
          <w:tcPr>
            <w:tcW w:w="230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90"/>
              <w:spacing w:after="0" w:line="271" w:lineRule="exact"/>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Senior Secured Loan — Term</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5.5% Cash, 1.0%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2,779,000</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2,756,481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2,695,908</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First Lien Bond — 10.5%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06/2019 - 00753CAE2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10.5% Cash, Due 6/19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2,972,087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2,547,600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7.5% Cash, 1.0%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7/22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1,002,228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1,007,915</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6.3% Cash, 1.5%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10/16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1,294,902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1,292,011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1,295,032</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Senior Secured Loan — B</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4.3% Cash, 1.0%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6/22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1,250,000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1,246,873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1,252,625</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3.8% Cash, 0.8%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2,977,444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2,977,444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2,981,165</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5.5% Cash, 1.0%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2/21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1,970,000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1,954,074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1,969,803</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3"/>
              </w:rPr>
              <w:t>Incremental Tranche B-1 Term</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5.0% Cash, 1.3%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5/19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1,902,705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1,914,090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1,909,707</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4.5% Cash, 1.0%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6/21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451,370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449,446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451,934</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B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7.0% Cash, 1.0%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6/18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691,364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691,364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646,425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-6268085</wp:posOffset>
            </wp:positionV>
            <wp:extent cx="7246620" cy="43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-5693410</wp:posOffset>
            </wp:positionV>
            <wp:extent cx="7246620"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-4982210</wp:posOffset>
            </wp:positionV>
            <wp:extent cx="7246620"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-4270375</wp:posOffset>
            </wp:positionV>
            <wp:extent cx="7246620"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-3558540</wp:posOffset>
            </wp:positionV>
            <wp:extent cx="7246620"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-2846705</wp:posOffset>
            </wp:positionV>
            <wp:extent cx="7246620"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-2134870</wp:posOffset>
            </wp:positionV>
            <wp:extent cx="7246620" cy="711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1183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-1285875</wp:posOffset>
            </wp:positionV>
            <wp:extent cx="7246620"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-574040</wp:posOffset>
            </wp:positionV>
            <wp:extent cx="7246620" cy="574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-6988810</wp:posOffset>
            </wp:positionV>
            <wp:extent cx="7246620" cy="582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620"/>
          </w:cols>
          <w:pgMar w:left="240" w:top="877" w:right="339" w:bottom="1440" w:gutter="0" w:footer="0" w:header="0"/>
          <w:type w:val="continuous"/>
        </w:sect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7"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BarBri, Inc. (Gemini Holdings, Inc.)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2,731,875</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2,722,603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2,723,679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BBB Industries US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2,938,204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2,928,461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Bellisio Foods, Inc. </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8"/>
              </w:rPr>
              <w:t>Senior Secured Loan — U.S.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B Loans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1,947,351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1,940,399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1,913,467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562"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Carolina Beverage Group LLC</w:t>
      </w:r>
      <w:r>
        <w:rPr>
          <w:rFonts w:ascii="Arial" w:cs="Arial" w:eastAsia="Arial" w:hAnsi="Arial"/>
          <w:sz w:val="26"/>
          <w:szCs w:val="26"/>
          <w:color w:val="auto"/>
          <w:vertAlign w:val="superscript"/>
        </w:rPr>
        <w:t>9</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Beverage, Food and Tobacco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Senior Secured Bond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-121920</wp:posOffset>
            </wp:positionV>
            <wp:extent cx="7246620" cy="574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10.625% - 08/2018 -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143818AA0 144A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10.6% Cash, Due 8/18</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1,500,000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1,512,620</w:t>
            </w:r>
          </w:p>
        </w:tc>
        <w:tc>
          <w:tcPr>
            <w:tcW w:w="1100" w:type="dxa"/>
            <w:vAlign w:val="bottom"/>
          </w:tcPr>
          <w:p>
            <w:pPr>
              <w:jc w:val="right"/>
              <w:spacing w:after="0"/>
              <w:rPr>
                <w:sz w:val="20"/>
                <w:szCs w:val="20"/>
                <w:color w:val="auto"/>
              </w:rPr>
            </w:pPr>
            <w:r>
              <w:rPr>
                <w:rFonts w:ascii="Arial" w:cs="Arial" w:eastAsia="Arial" w:hAnsi="Arial"/>
                <w:sz w:val="18"/>
                <w:szCs w:val="18"/>
                <w:color w:val="auto"/>
              </w:rPr>
              <w:t>1,481,700</w:t>
            </w:r>
          </w:p>
        </w:tc>
      </w:tr>
    </w:tbl>
    <w:p>
      <w:pPr>
        <w:spacing w:after="0" w:line="74" w:lineRule="exact"/>
        <w:rPr>
          <w:sz w:val="20"/>
          <w:szCs w:val="20"/>
          <w:color w:val="auto"/>
        </w:rPr>
      </w:pPr>
    </w:p>
    <w:p>
      <w:pPr>
        <w:sectPr>
          <w:pgSz w:w="11900" w:h="16838" w:orient="portrait"/>
          <w:cols w:equalWidth="0" w:num="2">
            <w:col w:w="3980" w:space="720"/>
            <w:col w:w="6720"/>
          </w:cols>
          <w:pgMar w:left="240" w:top="877" w:right="239" w:bottom="562"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CCS Intermediate Holdings, LLC</w:t>
            </w:r>
            <w:r>
              <w:rPr>
                <w:rFonts w:ascii="Arial" w:cs="Arial" w:eastAsia="Arial" w:hAnsi="Arial"/>
                <w:sz w:val="30"/>
                <w:szCs w:val="30"/>
                <w:color w:val="auto"/>
                <w:vertAlign w:val="superscript"/>
              </w:rPr>
              <w:t>9, 11</w:t>
            </w: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Secured Loan — Initial</w:t>
            </w:r>
          </w:p>
        </w:tc>
        <w:tc>
          <w:tcPr>
            <w:tcW w:w="1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Loan (First Lien)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5.0% Cash, 1.0% Libor Floor,</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7/21</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2,977,500</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2,964,498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2,888,175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Cengage Learning Acquisitions, Inc. (fka TL Acquisitions,</w:t>
            </w:r>
          </w:p>
        </w:tc>
        <w:tc>
          <w:tcPr>
            <w:tcW w:w="2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Senior Secured Loan — Term</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Inc.)</w:t>
            </w:r>
            <w:r>
              <w:rPr>
                <w:rFonts w:ascii="Arial" w:cs="Arial" w:eastAsia="Arial" w:hAnsi="Arial"/>
                <w:sz w:val="25"/>
                <w:szCs w:val="25"/>
                <w:color w:val="auto"/>
                <w:vertAlign w:val="superscript"/>
              </w:rPr>
              <w:t>9, 11</w:t>
            </w: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7.0% Cash, 1.0% Libor Floor,</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3/20</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2,979,950</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2,973,892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2,988,338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Checkout Holding Corp. (fka Catalina Marketing)</w:t>
            </w:r>
            <w:r>
              <w:rPr>
                <w:rFonts w:ascii="Arial" w:cs="Arial" w:eastAsia="Arial" w:hAnsi="Arial"/>
                <w:sz w:val="23"/>
                <w:szCs w:val="23"/>
                <w:color w:val="auto"/>
                <w:vertAlign w:val="superscript"/>
              </w:rPr>
              <w:t>9, 11</w:t>
            </w:r>
          </w:p>
        </w:tc>
        <w:tc>
          <w:tcPr>
            <w:tcW w:w="2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Senior Secured Loan — Term</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 Loan (First Lien)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4.5% Cash, 1.0% Libor Floor,</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4/21</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990,000</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985,908</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878,625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Consolidated Communications, Inc.</w:t>
            </w:r>
            <w:r>
              <w:rPr>
                <w:rFonts w:ascii="Arial" w:cs="Arial" w:eastAsia="Arial" w:hAnsi="Arial"/>
                <w:sz w:val="23"/>
                <w:szCs w:val="23"/>
                <w:color w:val="auto"/>
                <w:vertAlign w:val="superscript"/>
              </w:rPr>
              <w:t>11</w:t>
            </w:r>
          </w:p>
        </w:tc>
        <w:tc>
          <w:tcPr>
            <w:tcW w:w="2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Senior Secured Loan — Initial</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Loan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4.3% Cash, 1.0% Libor Floor,</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12/20</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2,977,330</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2,987,499</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2,984,773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CRGT Inc.</w:t>
            </w:r>
            <w:r>
              <w:rPr>
                <w:rFonts w:ascii="Arial" w:cs="Arial" w:eastAsia="Arial" w:hAnsi="Arial"/>
                <w:sz w:val="23"/>
                <w:szCs w:val="23"/>
                <w:color w:val="auto"/>
                <w:vertAlign w:val="superscript"/>
              </w:rPr>
              <w:t>9, 11</w:t>
            </w:r>
          </w:p>
        </w:tc>
        <w:tc>
          <w:tcPr>
            <w:tcW w:w="2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Senior Secured Loan — Term</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7.5% Cash, 1.0% Libor Floor,</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12/20</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2,962,500</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2,908,022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2,947,095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Crowley Holdings Preferred, LLC</w:t>
            </w:r>
            <w:r>
              <w:rPr>
                <w:rFonts w:ascii="Arial" w:cs="Arial" w:eastAsia="Arial" w:hAnsi="Arial"/>
                <w:sz w:val="23"/>
                <w:szCs w:val="23"/>
                <w:color w:val="auto"/>
                <w:vertAlign w:val="superscript"/>
              </w:rPr>
              <w:t>9</w:t>
            </w:r>
          </w:p>
        </w:tc>
        <w:tc>
          <w:tcPr>
            <w:tcW w:w="2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Preferred Stock — 12.000% -</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12/2049 - Series A Income</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Securities</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 Cash, 2.0% PIK, Due</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12/49</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10,308,332</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10,308,332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10,411,415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Crowne Group, LLC</w:t>
            </w:r>
            <w:r>
              <w:rPr>
                <w:rFonts w:ascii="Arial" w:cs="Arial" w:eastAsia="Arial" w:hAnsi="Arial"/>
                <w:sz w:val="23"/>
                <w:szCs w:val="23"/>
                <w:color w:val="auto"/>
                <w:vertAlign w:val="superscript"/>
              </w:rPr>
              <w:t>9, 11</w:t>
            </w:r>
          </w:p>
        </w:tc>
        <w:tc>
          <w:tcPr>
            <w:tcW w:w="2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Senior Secured Loan — Term</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 (First Lien)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6.0% Cash, 1.0% Libor Floor,</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9/20</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3,970,000</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3,917,727</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3,863,207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CSM Bakery Solutions Limited (fka CSM Bakery Supplies</w:t>
            </w:r>
          </w:p>
        </w:tc>
        <w:tc>
          <w:tcPr>
            <w:tcW w:w="2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Junior Secured Loan — Term</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Limited)</w:t>
            </w:r>
            <w:r>
              <w:rPr>
                <w:rFonts w:ascii="Arial" w:cs="Arial" w:eastAsia="Arial" w:hAnsi="Arial"/>
                <w:sz w:val="25"/>
                <w:szCs w:val="25"/>
                <w:color w:val="auto"/>
                <w:vertAlign w:val="superscript"/>
              </w:rPr>
              <w:t>9</w:t>
            </w: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 (Second Lien)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8.8% Cash, 1.0% Libor Floor,</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80" w:type="dxa"/>
            <w:vAlign w:val="bottom"/>
            <w:vMerge w:val="restart"/>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7/21</w:t>
            </w:r>
          </w:p>
        </w:tc>
        <w:tc>
          <w:tcPr>
            <w:tcW w:w="14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3,000,000</w:t>
            </w:r>
          </w:p>
        </w:tc>
        <w:tc>
          <w:tcPr>
            <w:tcW w:w="14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3,015,110</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vMerge w:val="continue"/>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6</w:t>
            </w: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562"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CSM Bakery Solutions Limited (fka CSM Bakery Supplies</w:t>
            </w:r>
          </w:p>
        </w:tc>
        <w:tc>
          <w:tcPr>
            <w:tcW w:w="12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Limited)</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2,610,113</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2,609,282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CT Technologies Intermediate Holdings, Inc. (Smart Holdings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Corp.) (aka HealthPort)</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Term Loan Retired 07/01/2015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2,985,000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2,957,539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2,999,925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21" w:right="239" w:bottom="8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DBI Holding LLC</w:t>
      </w:r>
      <w:r>
        <w:rPr>
          <w:rFonts w:ascii="Arial" w:cs="Arial" w:eastAsia="Arial" w:hAnsi="Arial"/>
          <w:sz w:val="30"/>
          <w:szCs w:val="30"/>
          <w:color w:val="auto"/>
          <w:vertAlign w:val="superscript"/>
        </w:rPr>
        <w:t>9</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DBI Holding LLC</w:t>
      </w:r>
      <w:r>
        <w:rPr>
          <w:rFonts w:ascii="Arial" w:cs="Arial" w:eastAsia="Arial" w:hAnsi="Arial"/>
          <w:sz w:val="30"/>
          <w:szCs w:val="30"/>
          <w:color w:val="auto"/>
          <w:vertAlign w:val="superscript"/>
        </w:rPr>
        <w:t>9</w:t>
      </w:r>
    </w:p>
    <w:p>
      <w:pPr>
        <w:spacing w:after="0" w:line="200" w:lineRule="exact"/>
        <w:rPr>
          <w:sz w:val="20"/>
          <w:szCs w:val="20"/>
          <w:color w:val="auto"/>
        </w:rPr>
      </w:pPr>
    </w:p>
    <w:p>
      <w:pPr>
        <w:spacing w:after="0" w:line="3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DJO Finance LLC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Drew Marine Group Inc.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ELO Touch Solutions,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EWT Holdings III Corp. (fka WTG Holdings III Corp.)</w:t>
      </w:r>
      <w:r>
        <w:rPr>
          <w:rFonts w:ascii="Arial" w:cs="Arial" w:eastAsia="Arial" w:hAnsi="Arial"/>
          <w:sz w:val="28"/>
          <w:szCs w:val="28"/>
          <w:color w:val="auto"/>
          <w:vertAlign w:val="superscript"/>
        </w:rPr>
        <w:t>9</w:t>
      </w: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Fender Musical Instruments Corporation</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FHC Health Systems,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First American Payment Systems, L.P.</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Banking, Finance, Insurance &amp; Real Estate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First Data Corporation</w:t>
      </w:r>
      <w:r>
        <w:rPr>
          <w:rFonts w:ascii="Arial" w:cs="Arial" w:eastAsia="Arial" w:hAnsi="Arial"/>
          <w:sz w:val="30"/>
          <w:szCs w:val="30"/>
          <w:color w:val="auto"/>
          <w:vertAlign w:val="superscript"/>
        </w:rPr>
        <w:t>9, 11</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Banking, Finance, Insurance &amp; Real Estate</w:t>
      </w:r>
    </w:p>
    <w:p>
      <w:pPr>
        <w:spacing w:after="0" w:line="20" w:lineRule="exact"/>
        <w:rPr>
          <w:sz w:val="20"/>
          <w:szCs w:val="20"/>
          <w:color w:val="auto"/>
        </w:rPr>
      </w:pPr>
      <w:r>
        <w:rPr>
          <w:sz w:val="20"/>
          <w:szCs w:val="20"/>
          <w:color w:val="auto"/>
        </w:rPr>
        <w:br w:type="column"/>
      </w:r>
    </w:p>
    <w:p>
      <w:pPr>
        <w:ind w:right="200"/>
        <w:spacing w:after="0" w:line="259" w:lineRule="auto"/>
        <w:rPr>
          <w:sz w:val="20"/>
          <w:szCs w:val="20"/>
          <w:color w:val="auto"/>
        </w:rPr>
      </w:pPr>
      <w:r>
        <w:rPr>
          <w:rFonts w:ascii="Arial" w:cs="Arial" w:eastAsia="Arial" w:hAnsi="Arial"/>
          <w:sz w:val="18"/>
          <w:szCs w:val="18"/>
          <w:color w:val="auto"/>
        </w:rPr>
        <w:t>Senior Unsecured Bond — 13% - 09/2019 – PIK Note 0.0% Cash, 13.0% PIK, Due 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-557530</wp:posOffset>
            </wp:positionV>
            <wp:extent cx="7246620"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Senior Subordinated Bond — 13% - 09/2019 - Senior Subordinated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-410845</wp:posOffset>
            </wp:positionV>
            <wp:extent cx="7246620" cy="711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711835"/>
                    </a:xfrm>
                    <a:prstGeom prst="rect">
                      <a:avLst/>
                    </a:prstGeom>
                    <a:noFill/>
                  </pic:spPr>
                </pic:pic>
              </a:graphicData>
            </a:graphic>
          </wp:anchor>
        </w:drawing>
      </w:r>
    </w:p>
    <w:p>
      <w:pPr>
        <w:ind w:right="200"/>
        <w:spacing w:after="0" w:line="261" w:lineRule="auto"/>
        <w:rPr>
          <w:sz w:val="20"/>
          <w:szCs w:val="20"/>
          <w:color w:val="auto"/>
        </w:rPr>
      </w:pPr>
      <w:r>
        <w:rPr>
          <w:rFonts w:ascii="Arial" w:cs="Arial" w:eastAsia="Arial" w:hAnsi="Arial"/>
          <w:sz w:val="18"/>
          <w:szCs w:val="18"/>
          <w:color w:val="auto"/>
        </w:rPr>
        <w:t>12.0% Cash, 1.0% PIK, Due 9/19</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Term Loan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4.3%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6/20</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Junior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Loan (Second Lien)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8.0%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5/21</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Loan (First Lien)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8.0% Cash, 1.5%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6/18</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Junior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Loan (Second Lien)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8.5%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1/22</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5.8% Cash, 1.3%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4/19</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Term Loan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5.0%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12/21</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Junior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Loan (Second Lien)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10.8% Cash, 1.3% Libor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4/19</w:t>
      </w:r>
    </w:p>
    <w:p>
      <w:pPr>
        <w:spacing w:after="0" w:line="25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Senior Secured Loan — 2018 New Dollar Term Loan 3.7% Cash, Due 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-433705</wp:posOffset>
            </wp:positionV>
            <wp:extent cx="7246620" cy="43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3,733,857</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3,524,810</w:t>
            </w:r>
          </w:p>
        </w:tc>
        <w:tc>
          <w:tcPr>
            <w:tcW w:w="1100" w:type="dxa"/>
            <w:vAlign w:val="bottom"/>
          </w:tcPr>
          <w:p>
            <w:pPr>
              <w:jc w:val="right"/>
              <w:spacing w:after="0"/>
              <w:rPr>
                <w:sz w:val="20"/>
                <w:szCs w:val="20"/>
                <w:color w:val="auto"/>
              </w:rPr>
            </w:pPr>
            <w:r>
              <w:rPr>
                <w:rFonts w:ascii="Arial" w:cs="Arial" w:eastAsia="Arial" w:hAnsi="Arial"/>
                <w:sz w:val="18"/>
                <w:szCs w:val="18"/>
                <w:color w:val="auto"/>
              </w:rPr>
              <w:t>3,618,855</w:t>
            </w:r>
          </w:p>
        </w:tc>
      </w:tr>
      <w:tr>
        <w:trPr>
          <w:trHeight w:val="1337"/>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4,391,390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4,375,084</w:t>
            </w:r>
          </w:p>
        </w:tc>
        <w:tc>
          <w:tcPr>
            <w:tcW w:w="1100" w:type="dxa"/>
            <w:vAlign w:val="bottom"/>
          </w:tcPr>
          <w:p>
            <w:pPr>
              <w:jc w:val="right"/>
              <w:spacing w:after="0"/>
              <w:rPr>
                <w:sz w:val="20"/>
                <w:szCs w:val="20"/>
                <w:color w:val="auto"/>
              </w:rPr>
            </w:pPr>
            <w:r>
              <w:rPr>
                <w:rFonts w:ascii="Arial" w:cs="Arial" w:eastAsia="Arial" w:hAnsi="Arial"/>
                <w:sz w:val="18"/>
                <w:szCs w:val="18"/>
                <w:color w:val="auto"/>
              </w:rPr>
              <w:t>4,278,531</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2,058,377</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2,058,377</w:t>
            </w:r>
          </w:p>
        </w:tc>
        <w:tc>
          <w:tcPr>
            <w:tcW w:w="1100" w:type="dxa"/>
            <w:vAlign w:val="bottom"/>
          </w:tcPr>
          <w:p>
            <w:pPr>
              <w:jc w:val="right"/>
              <w:spacing w:after="0"/>
              <w:rPr>
                <w:sz w:val="20"/>
                <w:szCs w:val="20"/>
                <w:color w:val="auto"/>
              </w:rPr>
            </w:pPr>
            <w:r>
              <w:rPr>
                <w:rFonts w:ascii="Arial" w:cs="Arial" w:eastAsia="Arial" w:hAnsi="Arial"/>
                <w:sz w:val="18"/>
                <w:szCs w:val="18"/>
                <w:color w:val="auto"/>
              </w:rPr>
              <w:t>2,058,377</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2,500,000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2,495,069</w:t>
            </w:r>
          </w:p>
        </w:tc>
        <w:tc>
          <w:tcPr>
            <w:tcW w:w="1100" w:type="dxa"/>
            <w:vAlign w:val="bottom"/>
          </w:tcPr>
          <w:p>
            <w:pPr>
              <w:jc w:val="right"/>
              <w:spacing w:after="0"/>
              <w:rPr>
                <w:sz w:val="20"/>
                <w:szCs w:val="20"/>
                <w:color w:val="auto"/>
              </w:rPr>
            </w:pPr>
            <w:r>
              <w:rPr>
                <w:rFonts w:ascii="Arial" w:cs="Arial" w:eastAsia="Arial" w:hAnsi="Arial"/>
                <w:sz w:val="18"/>
                <w:szCs w:val="18"/>
                <w:color w:val="auto"/>
              </w:rPr>
              <w:t>2,522,500</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1,586,611</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1,544,041</w:t>
            </w:r>
          </w:p>
        </w:tc>
        <w:tc>
          <w:tcPr>
            <w:tcW w:w="1100" w:type="dxa"/>
            <w:vAlign w:val="bottom"/>
          </w:tcPr>
          <w:p>
            <w:pPr>
              <w:jc w:val="right"/>
              <w:spacing w:after="0"/>
              <w:rPr>
                <w:sz w:val="20"/>
                <w:szCs w:val="20"/>
                <w:color w:val="auto"/>
              </w:rPr>
            </w:pPr>
            <w:r>
              <w:rPr>
                <w:rFonts w:ascii="Arial" w:cs="Arial" w:eastAsia="Arial" w:hAnsi="Arial"/>
                <w:sz w:val="18"/>
                <w:szCs w:val="18"/>
                <w:color w:val="auto"/>
              </w:rPr>
              <w:t>1,580,424</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4,000,000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3,983,630</w:t>
            </w:r>
          </w:p>
        </w:tc>
        <w:tc>
          <w:tcPr>
            <w:tcW w:w="1100" w:type="dxa"/>
            <w:vAlign w:val="bottom"/>
          </w:tcPr>
          <w:p>
            <w:pPr>
              <w:jc w:val="right"/>
              <w:spacing w:after="0"/>
              <w:rPr>
                <w:sz w:val="20"/>
                <w:szCs w:val="20"/>
                <w:color w:val="auto"/>
              </w:rPr>
            </w:pPr>
            <w:r>
              <w:rPr>
                <w:rFonts w:ascii="Arial" w:cs="Arial" w:eastAsia="Arial" w:hAnsi="Arial"/>
                <w:sz w:val="18"/>
                <w:szCs w:val="18"/>
                <w:color w:val="auto"/>
              </w:rPr>
              <w:t>4,035,600</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1,772,515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1,781,753</w:t>
            </w:r>
          </w:p>
        </w:tc>
        <w:tc>
          <w:tcPr>
            <w:tcW w:w="1100" w:type="dxa"/>
            <w:vAlign w:val="bottom"/>
          </w:tcPr>
          <w:p>
            <w:pPr>
              <w:jc w:val="right"/>
              <w:spacing w:after="0"/>
              <w:rPr>
                <w:sz w:val="20"/>
                <w:szCs w:val="20"/>
                <w:color w:val="auto"/>
              </w:rPr>
            </w:pPr>
            <w:r>
              <w:rPr>
                <w:rFonts w:ascii="Arial" w:cs="Arial" w:eastAsia="Arial" w:hAnsi="Arial"/>
                <w:sz w:val="18"/>
                <w:szCs w:val="18"/>
                <w:color w:val="auto"/>
              </w:rPr>
              <w:t>1,773,047</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3,897,375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3,860,941</w:t>
            </w:r>
          </w:p>
        </w:tc>
        <w:tc>
          <w:tcPr>
            <w:tcW w:w="1100" w:type="dxa"/>
            <w:vAlign w:val="bottom"/>
          </w:tcPr>
          <w:p>
            <w:pPr>
              <w:jc w:val="right"/>
              <w:spacing w:after="0"/>
              <w:rPr>
                <w:sz w:val="20"/>
                <w:szCs w:val="20"/>
                <w:color w:val="auto"/>
              </w:rPr>
            </w:pPr>
            <w:r>
              <w:rPr>
                <w:rFonts w:ascii="Arial" w:cs="Arial" w:eastAsia="Arial" w:hAnsi="Arial"/>
                <w:sz w:val="18"/>
                <w:szCs w:val="18"/>
                <w:color w:val="auto"/>
              </w:rPr>
              <w:t>3,869,119</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2,796,448</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2,763,831</w:t>
            </w:r>
          </w:p>
        </w:tc>
        <w:tc>
          <w:tcPr>
            <w:tcW w:w="1100" w:type="dxa"/>
            <w:vAlign w:val="bottom"/>
          </w:tcPr>
          <w:p>
            <w:pPr>
              <w:jc w:val="right"/>
              <w:spacing w:after="0"/>
              <w:rPr>
                <w:sz w:val="20"/>
                <w:szCs w:val="20"/>
                <w:color w:val="auto"/>
              </w:rPr>
            </w:pPr>
            <w:r>
              <w:rPr>
                <w:rFonts w:ascii="Arial" w:cs="Arial" w:eastAsia="Arial" w:hAnsi="Arial"/>
                <w:sz w:val="18"/>
                <w:szCs w:val="18"/>
                <w:color w:val="auto"/>
              </w:rPr>
              <w:t>2,822,455</w:t>
            </w:r>
          </w:p>
        </w:tc>
      </w:tr>
      <w:tr>
        <w:trPr>
          <w:trHeight w:val="905"/>
        </w:trPr>
        <w:tc>
          <w:tcPr>
            <w:tcW w:w="1080" w:type="dxa"/>
            <w:vAlign w:val="bottom"/>
          </w:tcPr>
          <w:p>
            <w:pPr>
              <w:jc w:val="right"/>
              <w:ind w:right="270"/>
              <w:spacing w:after="0"/>
              <w:rPr>
                <w:sz w:val="20"/>
                <w:szCs w:val="20"/>
                <w:color w:val="auto"/>
              </w:rPr>
            </w:pPr>
            <w:r>
              <w:rPr>
                <w:rFonts w:ascii="Arial" w:cs="Arial" w:eastAsia="Arial" w:hAnsi="Arial"/>
                <w:sz w:val="18"/>
                <w:szCs w:val="18"/>
                <w:color w:val="auto"/>
              </w:rPr>
              <w:t>500,000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503,055</w:t>
            </w:r>
          </w:p>
        </w:tc>
        <w:tc>
          <w:tcPr>
            <w:tcW w:w="1100" w:type="dxa"/>
            <w:vAlign w:val="bottom"/>
          </w:tcPr>
          <w:p>
            <w:pPr>
              <w:jc w:val="right"/>
              <w:spacing w:after="0"/>
              <w:rPr>
                <w:sz w:val="20"/>
                <w:szCs w:val="20"/>
                <w:color w:val="auto"/>
              </w:rPr>
            </w:pPr>
            <w:r>
              <w:rPr>
                <w:rFonts w:ascii="Arial" w:cs="Arial" w:eastAsia="Arial" w:hAnsi="Arial"/>
                <w:sz w:val="18"/>
                <w:szCs w:val="18"/>
                <w:color w:val="auto"/>
              </w:rPr>
              <w:t>498,150</w:t>
            </w:r>
          </w:p>
        </w:tc>
      </w:tr>
    </w:tbl>
    <w:p>
      <w:pPr>
        <w:spacing w:after="0" w:line="200" w:lineRule="exact"/>
        <w:rPr>
          <w:sz w:val="20"/>
          <w:szCs w:val="20"/>
          <w:color w:val="auto"/>
        </w:rPr>
      </w:pPr>
    </w:p>
    <w:p>
      <w:pPr>
        <w:sectPr>
          <w:pgSz w:w="11900" w:h="16838" w:orient="portrait"/>
          <w:cols w:equalWidth="0" w:num="3">
            <w:col w:w="4080" w:space="620"/>
            <w:col w:w="2260" w:space="720"/>
            <w:col w:w="3740"/>
          </w:cols>
          <w:pgMar w:left="240" w:top="1121" w:right="239" w:bottom="8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840" w:gutter="0" w:footer="0" w:header="0"/>
          <w:type w:val="continuous"/>
        </w:sectPr>
      </w:pPr>
    </w:p>
    <w:bookmarkStart w:id="9" w:name="page10"/>
    <w:bookmarkEnd w:id="9"/>
    <w:p>
      <w:pPr>
        <w:spacing w:after="0" w:line="257" w:lineRule="exact"/>
        <w:rPr>
          <w:sz w:val="20"/>
          <w:szCs w:val="20"/>
          <w:color w:val="auto"/>
        </w:rPr>
      </w:pPr>
    </w:p>
    <w:p>
      <w:pPr>
        <w:ind w:right="940"/>
        <w:spacing w:after="0" w:line="292" w:lineRule="auto"/>
        <w:rPr>
          <w:sz w:val="20"/>
          <w:szCs w:val="20"/>
          <w:color w:val="auto"/>
        </w:rPr>
      </w:pPr>
      <w:r>
        <w:rPr>
          <w:rFonts w:ascii="Arial" w:cs="Arial" w:eastAsia="Arial" w:hAnsi="Arial"/>
          <w:sz w:val="18"/>
          <w:szCs w:val="18"/>
          <w:b w:val="1"/>
          <w:bCs w:val="1"/>
          <w:color w:val="auto"/>
        </w:rPr>
        <w:t xml:space="preserve">Portfolio Company / Principal Business </w:t>
      </w:r>
      <w:r>
        <w:rPr>
          <w:rFonts w:ascii="Arial" w:cs="Arial" w:eastAsia="Arial" w:hAnsi="Arial"/>
          <w:sz w:val="18"/>
          <w:szCs w:val="18"/>
          <w:color w:val="auto"/>
        </w:rPr>
        <w:t>Getty Images, Inc.</w:t>
      </w:r>
      <w:r>
        <w:rPr>
          <w:rFonts w:ascii="Arial" w:cs="Arial" w:eastAsia="Arial" w:hAnsi="Arial"/>
          <w:sz w:val="30"/>
          <w:szCs w:val="30"/>
          <w:color w:val="auto"/>
          <w:vertAlign w:val="superscript"/>
        </w:rPr>
        <w:t>9, 11</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Advertising, Printing &amp; Publishing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GK Holdings, Inc. (aka Global Knowledge)</w:t>
      </w:r>
      <w:r>
        <w:rPr>
          <w:rFonts w:ascii="Arial" w:cs="Arial" w:eastAsia="Arial" w:hAnsi="Arial"/>
          <w:sz w:val="28"/>
          <w:szCs w:val="28"/>
          <w:color w:val="auto"/>
          <w:vertAlign w:val="superscript"/>
        </w:rPr>
        <w:t>9</w:t>
      </w: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GK Holdings, Inc. (aka Global Knowledge)</w:t>
      </w:r>
      <w:r>
        <w:rPr>
          <w:rFonts w:ascii="Arial" w:cs="Arial" w:eastAsia="Arial" w:hAnsi="Arial"/>
          <w:sz w:val="26"/>
          <w:szCs w:val="26"/>
          <w:color w:val="auto"/>
          <w:vertAlign w:val="superscript"/>
        </w:rPr>
        <w:t>9, 11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Global Tel*Link Corporation</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 Standard Baking,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Grande Communications Networks LLC</w:t>
      </w:r>
      <w:r>
        <w:rPr>
          <w:rFonts w:ascii="Arial" w:cs="Arial" w:eastAsia="Arial" w:hAnsi="Arial"/>
          <w:sz w:val="28"/>
          <w:szCs w:val="28"/>
          <w:color w:val="auto"/>
          <w:vertAlign w:val="superscript"/>
        </w:rPr>
        <w:t>9, 11</w:t>
      </w: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Grifols Worldwide Operations Limited</w:t>
      </w:r>
      <w:r>
        <w:rPr>
          <w:rFonts w:ascii="Arial" w:cs="Arial" w:eastAsia="Arial" w:hAnsi="Arial"/>
          <w:sz w:val="30"/>
          <w:szCs w:val="30"/>
          <w:color w:val="auto"/>
          <w:vertAlign w:val="superscript"/>
        </w:rPr>
        <w:t>11</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Gymboree Corporation., The</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1"/>
        </w:trPr>
        <w:tc>
          <w:tcPr>
            <w:tcW w:w="230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90"/>
              <w:spacing w:after="0" w:line="271" w:lineRule="exact"/>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Senior Secured Loan — Initial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4.8% Cash, 1.3%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10/19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2,174,016</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2,178,653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1,616,652</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3"/>
              </w:rPr>
              <w:t>10.5%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1/22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1,471,712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1,471,500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6.5%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1/21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2,487,500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2,464,283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2,511,131</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9.0% Cash, 1.3%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11/20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3,941,068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3,820,800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4/21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2,487,742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2,487,500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3,920,066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3,924,616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3,917,322</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8"/>
              </w:rPr>
              <w:t>Senior Secured Loan — U.S.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Tranche B 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3.2% Cash, Due 2/21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2,977,387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2,957,053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2,979,754</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B 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8.5% Cash, 1.5%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1/18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2,932,500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2,902,131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2,932,500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13.8% Cash, Due 7/18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6,909,329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7,105,000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5.0% Cash, 1.5%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2/18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1,421,105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1,398,904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1,019,643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-5993765</wp:posOffset>
            </wp:positionV>
            <wp:extent cx="7246620" cy="574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-5281930</wp:posOffset>
            </wp:positionV>
            <wp:extent cx="7246620" cy="574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-4570095</wp:posOffset>
            </wp:positionV>
            <wp:extent cx="7246620" cy="574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-3858260</wp:posOffset>
            </wp:positionV>
            <wp:extent cx="7246620" cy="574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-3146425</wp:posOffset>
            </wp:positionV>
            <wp:extent cx="7246620" cy="574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-2434590</wp:posOffset>
            </wp:positionV>
            <wp:extent cx="7246620" cy="43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-1860550</wp:posOffset>
            </wp:positionV>
            <wp:extent cx="7246620" cy="574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-1148715</wp:posOffset>
            </wp:positionV>
            <wp:extent cx="7246620" cy="43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-574040</wp:posOffset>
            </wp:positionV>
            <wp:extent cx="7246620" cy="574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-6714490</wp:posOffset>
            </wp:positionV>
            <wp:extent cx="7246620" cy="582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877" w:right="2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Hargray Communications Group, Inc. (HCP Acquisition</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 Initial</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LLC)</w:t>
            </w:r>
            <w:r>
              <w:rPr>
                <w:rFonts w:ascii="Arial" w:cs="Arial" w:eastAsia="Arial" w:hAnsi="Arial"/>
                <w:sz w:val="25"/>
                <w:szCs w:val="25"/>
                <w:color w:val="auto"/>
                <w:vertAlign w:val="superscript"/>
              </w:rPr>
              <w:t>9, 11</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 Loan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5.3% Cash, 1.0% Libor Floor,</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Due 6/19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2,930,662</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2,911,080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2,934,472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Harland Clarke Holdings Corp. (fka Clarke American Corp.)</w:t>
            </w:r>
            <w:r>
              <w:rPr>
                <w:rFonts w:ascii="Arial" w:cs="Arial" w:eastAsia="Arial" w:hAnsi="Arial"/>
                <w:sz w:val="23"/>
                <w:szCs w:val="23"/>
                <w:color w:val="auto"/>
                <w:vertAlign w:val="superscript"/>
              </w:rPr>
              <w:t>9,</w:t>
            </w:r>
          </w:p>
        </w:tc>
        <w:tc>
          <w:tcPr>
            <w:tcW w:w="2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Loan —</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Tranche B-3 Term Loan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7.0% Cash, 1.5% Libor Floor,</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Due 5/18</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7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3,325,000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3,303,059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3,342,922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80" w:type="dxa"/>
            <w:vAlign w:val="bottom"/>
          </w:tcPr>
          <w:p>
            <w:pPr>
              <w:spacing w:after="0"/>
              <w:rPr>
                <w:sz w:val="19"/>
                <w:szCs w:val="19"/>
                <w:color w:val="auto"/>
              </w:rPr>
            </w:pPr>
          </w:p>
        </w:tc>
        <w:tc>
          <w:tcPr>
            <w:tcW w:w="2740" w:type="dxa"/>
            <w:vAlign w:val="bottom"/>
            <w:gridSpan w:val="4"/>
          </w:tcPr>
          <w:p>
            <w:pPr>
              <w:ind w:left="120"/>
              <w:spacing w:after="0"/>
              <w:rPr>
                <w:sz w:val="20"/>
                <w:szCs w:val="20"/>
                <w:color w:val="auto"/>
              </w:rPr>
            </w:pPr>
            <w:r>
              <w:rPr>
                <w:rFonts w:ascii="Arial" w:cs="Arial" w:eastAsia="Arial" w:hAnsi="Arial"/>
                <w:sz w:val="18"/>
                <w:szCs w:val="18"/>
                <w:b w:val="1"/>
                <w:bCs w:val="1"/>
                <w:color w:val="auto"/>
              </w:rPr>
              <w:t>Investment</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4580" w:type="dxa"/>
            <w:vAlign w:val="bottom"/>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740" w:type="dxa"/>
            <w:vAlign w:val="bottom"/>
            <w:gridSpan w:val="4"/>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r>
      <w:tr>
        <w:trPr>
          <w:trHeight w:val="196"/>
        </w:trPr>
        <w:tc>
          <w:tcPr>
            <w:tcW w:w="458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Harland Clarke Holdings Corp. (fka Clarke American Corp.)</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5"/>
        </w:trPr>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Tranche B-4 Term Loan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6.0% Cash, 1.0% Libor Floor,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580" w:type="dxa"/>
            <w:vAlign w:val="bottom"/>
            <w:shd w:val="clear" w:color="auto" w:fill="CCEEFF"/>
          </w:tcPr>
          <w:p>
            <w:pPr>
              <w:spacing w:after="0"/>
              <w:rPr>
                <w:sz w:val="20"/>
                <w:szCs w:val="20"/>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Due 8/19</w:t>
            </w: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Media: Advertising, Printing &amp; Publishing</w:t>
            </w:r>
          </w:p>
        </w:tc>
        <w:tc>
          <w:tcPr>
            <w:tcW w:w="2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1,443,750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1,438,365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1,449,388</w:t>
            </w:r>
          </w:p>
        </w:tc>
      </w:tr>
    </w:tbl>
    <w:p>
      <w:pPr>
        <w:spacing w:after="0" w:line="200" w:lineRule="exact"/>
        <w:rPr>
          <w:sz w:val="20"/>
          <w:szCs w:val="20"/>
          <w:color w:val="auto"/>
        </w:rPr>
      </w:pPr>
    </w:p>
    <w:p>
      <w:pPr>
        <w:sectPr>
          <w:pgSz w:w="11900" w:h="16838" w:orient="portrait"/>
          <w:cols w:equalWidth="0" w:num="1">
            <w:col w:w="11420"/>
          </w:cols>
          <w:pgMar w:left="240" w:top="877" w:right="239" w:bottom="8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Hoffmaster Group, Inc.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Forest Products &amp; Paper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Hoffmaster Group,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Forest Products &amp; Paper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Hunter Defense Technologies,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Integra Telecom Holdings,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Architectural Products, Inc.</w:t>
      </w:r>
      <w:r>
        <w:rPr>
          <w:rFonts w:ascii="Arial" w:cs="Arial" w:eastAsia="Arial" w:hAnsi="Arial"/>
          <w:sz w:val="30"/>
          <w:szCs w:val="30"/>
          <w:color w:val="auto"/>
          <w:vertAlign w:val="superscript"/>
        </w:rPr>
        <w:t>7, 9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Metals &amp; Mining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Kellermeyer Bergensons Services, LLC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Key Safety Systems,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Kinetic Concepts,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Landslide Holdings, Inc. (Crimson Acquisition Corp.)</w:t>
      </w:r>
      <w:r>
        <w:rPr>
          <w:rFonts w:ascii="Arial" w:cs="Arial" w:eastAsia="Arial" w:hAnsi="Arial"/>
          <w:sz w:val="26"/>
          <w:szCs w:val="26"/>
          <w:color w:val="auto"/>
          <w:vertAlign w:val="superscript"/>
        </w:rPr>
        <w:t>9, 11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MB Aerospace ACP Holdings III Corp.</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 General, Inc.</w:t>
      </w:r>
      <w:r>
        <w:rPr>
          <w:rFonts w:ascii="Arial" w:cs="Arial" w:eastAsia="Arial" w:hAnsi="Arial"/>
          <w:sz w:val="30"/>
          <w:szCs w:val="30"/>
          <w:color w:val="auto"/>
          <w:vertAlign w:val="superscript"/>
        </w:rPr>
        <w:t>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Junior Secured Loan —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Term Loan (Second Lien)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 Cash, 1.0% Libor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5/21</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Term Loan (First Lien)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5.3%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5/20</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Loan (First Lien)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6.5%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8/19</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B-1 Loan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5.3%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8/20</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Cash, 3.3% PIK, 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Libor Floor, Due 5/15</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Term Loan (First Lien)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6.0%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10/21</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Term Loan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4.8%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8/21</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Loan —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-107315</wp:posOffset>
            </wp:positionV>
            <wp:extent cx="7246620" cy="574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Term E-1 Loan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4.5%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5/18</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Term Loan (First Lien)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5.0%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2/20</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Loan —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-107315</wp:posOffset>
            </wp:positionV>
            <wp:extent cx="7246620" cy="574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Term Loan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5.0%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5/19</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 Loan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4.0% Cash, 1.0% Libor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Due 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440" w:val="left"/>
          <w:tab w:leader="none" w:pos="2900" w:val="left"/>
        </w:tabs>
        <w:rPr>
          <w:sz w:val="20"/>
          <w:szCs w:val="20"/>
          <w:color w:val="auto"/>
        </w:rPr>
      </w:pPr>
      <w:r>
        <w:rPr>
          <w:rFonts w:ascii="Arial" w:cs="Arial" w:eastAsia="Arial" w:hAnsi="Arial"/>
          <w:sz w:val="18"/>
          <w:szCs w:val="18"/>
          <w:color w:val="auto"/>
        </w:rPr>
        <w:t>2,000,000</w:t>
      </w:r>
      <w:r>
        <w:rPr>
          <w:sz w:val="20"/>
          <w:szCs w:val="20"/>
          <w:color w:val="auto"/>
        </w:rPr>
        <w:tab/>
      </w:r>
      <w:r>
        <w:rPr>
          <w:rFonts w:ascii="Arial" w:cs="Arial" w:eastAsia="Arial" w:hAnsi="Arial"/>
          <w:sz w:val="18"/>
          <w:szCs w:val="18"/>
          <w:color w:val="auto"/>
        </w:rPr>
        <w:t>1,974,855</w:t>
      </w:r>
      <w:r>
        <w:rPr>
          <w:sz w:val="20"/>
          <w:szCs w:val="20"/>
          <w:color w:val="auto"/>
        </w:rPr>
        <w:tab/>
      </w:r>
      <w:r>
        <w:rPr>
          <w:rFonts w:ascii="Arial" w:cs="Arial" w:eastAsia="Arial" w:hAnsi="Arial"/>
          <w:sz w:val="16"/>
          <w:szCs w:val="16"/>
          <w:color w:val="auto"/>
        </w:rPr>
        <w:t>1,970,000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440" w:val="left"/>
          <w:tab w:leader="none" w:pos="2900" w:val="left"/>
        </w:tabs>
        <w:rPr>
          <w:sz w:val="20"/>
          <w:szCs w:val="20"/>
          <w:color w:val="auto"/>
        </w:rPr>
      </w:pPr>
      <w:r>
        <w:rPr>
          <w:rFonts w:ascii="Arial" w:cs="Arial" w:eastAsia="Arial" w:hAnsi="Arial"/>
          <w:sz w:val="18"/>
          <w:szCs w:val="18"/>
          <w:color w:val="auto"/>
        </w:rPr>
        <w:t>3,960,000</w:t>
      </w:r>
      <w:r>
        <w:rPr>
          <w:sz w:val="20"/>
          <w:szCs w:val="20"/>
          <w:color w:val="auto"/>
        </w:rPr>
        <w:tab/>
      </w:r>
      <w:r>
        <w:rPr>
          <w:rFonts w:ascii="Arial" w:cs="Arial" w:eastAsia="Arial" w:hAnsi="Arial"/>
          <w:sz w:val="18"/>
          <w:szCs w:val="18"/>
          <w:color w:val="auto"/>
        </w:rPr>
        <w:t>3,927,790</w:t>
      </w:r>
      <w:r>
        <w:rPr>
          <w:sz w:val="20"/>
          <w:szCs w:val="20"/>
          <w:color w:val="auto"/>
        </w:rPr>
        <w:tab/>
      </w:r>
      <w:r>
        <w:rPr>
          <w:rFonts w:ascii="Arial" w:cs="Arial" w:eastAsia="Arial" w:hAnsi="Arial"/>
          <w:sz w:val="16"/>
          <w:szCs w:val="16"/>
          <w:color w:val="auto"/>
        </w:rPr>
        <w:t>3,969,900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440" w:val="left"/>
          <w:tab w:leader="none" w:pos="2900" w:val="left"/>
        </w:tabs>
        <w:rPr>
          <w:sz w:val="20"/>
          <w:szCs w:val="20"/>
          <w:color w:val="auto"/>
        </w:rPr>
      </w:pPr>
      <w:r>
        <w:rPr>
          <w:rFonts w:ascii="Arial" w:cs="Arial" w:eastAsia="Arial" w:hAnsi="Arial"/>
          <w:sz w:val="18"/>
          <w:szCs w:val="18"/>
          <w:color w:val="auto"/>
        </w:rPr>
        <w:t>2,887,500</w:t>
      </w:r>
      <w:r>
        <w:rPr>
          <w:sz w:val="20"/>
          <w:szCs w:val="20"/>
          <w:color w:val="auto"/>
        </w:rPr>
        <w:tab/>
      </w:r>
      <w:r>
        <w:rPr>
          <w:rFonts w:ascii="Arial" w:cs="Arial" w:eastAsia="Arial" w:hAnsi="Arial"/>
          <w:sz w:val="18"/>
          <w:szCs w:val="18"/>
          <w:color w:val="auto"/>
        </w:rPr>
        <w:t>2,863,555</w:t>
      </w:r>
      <w:r>
        <w:rPr>
          <w:sz w:val="20"/>
          <w:szCs w:val="20"/>
          <w:color w:val="auto"/>
        </w:rPr>
        <w:tab/>
      </w:r>
      <w:r>
        <w:rPr>
          <w:rFonts w:ascii="Arial" w:cs="Arial" w:eastAsia="Arial" w:hAnsi="Arial"/>
          <w:sz w:val="16"/>
          <w:szCs w:val="16"/>
          <w:color w:val="auto"/>
        </w:rPr>
        <w:t>2,915,509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440" w:val="left"/>
          <w:tab w:leader="none" w:pos="2900" w:val="left"/>
        </w:tabs>
        <w:rPr>
          <w:sz w:val="20"/>
          <w:szCs w:val="20"/>
          <w:color w:val="auto"/>
        </w:rPr>
      </w:pPr>
      <w:r>
        <w:rPr>
          <w:rFonts w:ascii="Arial" w:cs="Arial" w:eastAsia="Arial" w:hAnsi="Arial"/>
          <w:sz w:val="18"/>
          <w:szCs w:val="18"/>
          <w:color w:val="auto"/>
        </w:rPr>
        <w:t>2,977,310</w:t>
      </w:r>
      <w:r>
        <w:rPr>
          <w:sz w:val="20"/>
          <w:szCs w:val="20"/>
          <w:color w:val="auto"/>
        </w:rPr>
        <w:tab/>
      </w:r>
      <w:r>
        <w:rPr>
          <w:rFonts w:ascii="Arial" w:cs="Arial" w:eastAsia="Arial" w:hAnsi="Arial"/>
          <w:sz w:val="18"/>
          <w:szCs w:val="18"/>
          <w:color w:val="auto"/>
        </w:rPr>
        <w:t>2,966,424</w:t>
      </w:r>
      <w:r>
        <w:rPr>
          <w:sz w:val="20"/>
          <w:szCs w:val="20"/>
          <w:color w:val="auto"/>
        </w:rPr>
        <w:tab/>
      </w:r>
      <w:r>
        <w:rPr>
          <w:rFonts w:ascii="Arial" w:cs="Arial" w:eastAsia="Arial" w:hAnsi="Arial"/>
          <w:sz w:val="16"/>
          <w:szCs w:val="16"/>
          <w:color w:val="auto"/>
        </w:rPr>
        <w:t>2,962,051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tabs>
          <w:tab w:leader="none" w:pos="1560" w:val="left"/>
          <w:tab w:leader="none" w:pos="3200" w:val="left"/>
        </w:tabs>
        <w:rPr>
          <w:sz w:val="20"/>
          <w:szCs w:val="20"/>
          <w:color w:val="auto"/>
        </w:rPr>
      </w:pPr>
      <w:r>
        <w:rPr>
          <w:rFonts w:ascii="Arial" w:cs="Arial" w:eastAsia="Arial" w:hAnsi="Arial"/>
          <w:sz w:val="18"/>
          <w:szCs w:val="18"/>
          <w:color w:val="auto"/>
        </w:rPr>
        <w:t>247,636</w:t>
      </w:r>
      <w:r>
        <w:rPr>
          <w:sz w:val="20"/>
          <w:szCs w:val="20"/>
          <w:color w:val="auto"/>
        </w:rPr>
        <w:tab/>
      </w:r>
      <w:r>
        <w:rPr>
          <w:rFonts w:ascii="Arial" w:cs="Arial" w:eastAsia="Arial" w:hAnsi="Arial"/>
          <w:sz w:val="18"/>
          <w:szCs w:val="18"/>
          <w:color w:val="auto"/>
        </w:rPr>
        <w:t>228,563</w:t>
      </w:r>
      <w:r>
        <w:rPr>
          <w:sz w:val="20"/>
          <w:szCs w:val="20"/>
          <w:color w:val="auto"/>
        </w:rPr>
        <w:tab/>
      </w:r>
      <w:r>
        <w:rPr>
          <w:rFonts w:ascii="Arial" w:cs="Arial" w:eastAsia="Arial" w:hAnsi="Arial"/>
          <w:sz w:val="16"/>
          <w:szCs w:val="16"/>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440" w:val="left"/>
          <w:tab w:leader="none" w:pos="2900" w:val="left"/>
        </w:tabs>
        <w:rPr>
          <w:sz w:val="20"/>
          <w:szCs w:val="20"/>
          <w:color w:val="auto"/>
        </w:rPr>
      </w:pPr>
      <w:r>
        <w:rPr>
          <w:rFonts w:ascii="Arial" w:cs="Arial" w:eastAsia="Arial" w:hAnsi="Arial"/>
          <w:sz w:val="18"/>
          <w:szCs w:val="18"/>
          <w:color w:val="auto"/>
        </w:rPr>
        <w:t>1,990,000</w:t>
      </w:r>
      <w:r>
        <w:rPr>
          <w:sz w:val="20"/>
          <w:szCs w:val="20"/>
          <w:color w:val="auto"/>
        </w:rPr>
        <w:tab/>
      </w:r>
      <w:r>
        <w:rPr>
          <w:rFonts w:ascii="Arial" w:cs="Arial" w:eastAsia="Arial" w:hAnsi="Arial"/>
          <w:sz w:val="18"/>
          <w:szCs w:val="18"/>
          <w:color w:val="auto"/>
        </w:rPr>
        <w:t>1,971,943</w:t>
      </w:r>
      <w:r>
        <w:rPr>
          <w:sz w:val="20"/>
          <w:szCs w:val="20"/>
          <w:color w:val="auto"/>
        </w:rPr>
        <w:tab/>
      </w:r>
      <w:r>
        <w:rPr>
          <w:rFonts w:ascii="Arial" w:cs="Arial" w:eastAsia="Arial" w:hAnsi="Arial"/>
          <w:sz w:val="16"/>
          <w:szCs w:val="16"/>
          <w:color w:val="auto"/>
        </w:rPr>
        <w:t>1,981,841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440" w:val="left"/>
          <w:tab w:leader="none" w:pos="2900" w:val="left"/>
        </w:tabs>
        <w:rPr>
          <w:sz w:val="20"/>
          <w:szCs w:val="20"/>
          <w:color w:val="auto"/>
        </w:rPr>
      </w:pPr>
      <w:r>
        <w:rPr>
          <w:rFonts w:ascii="Arial" w:cs="Arial" w:eastAsia="Arial" w:hAnsi="Arial"/>
          <w:sz w:val="18"/>
          <w:szCs w:val="18"/>
          <w:color w:val="auto"/>
        </w:rPr>
        <w:t>1,488,750</w:t>
      </w:r>
      <w:r>
        <w:rPr>
          <w:sz w:val="20"/>
          <w:szCs w:val="20"/>
          <w:color w:val="auto"/>
        </w:rPr>
        <w:tab/>
      </w:r>
      <w:r>
        <w:rPr>
          <w:rFonts w:ascii="Arial" w:cs="Arial" w:eastAsia="Arial" w:hAnsi="Arial"/>
          <w:sz w:val="18"/>
          <w:szCs w:val="18"/>
          <w:color w:val="auto"/>
        </w:rPr>
        <w:t>1,482,197</w:t>
      </w:r>
      <w:r>
        <w:rPr>
          <w:sz w:val="20"/>
          <w:szCs w:val="20"/>
          <w:color w:val="auto"/>
        </w:rPr>
        <w:tab/>
      </w:r>
      <w:r>
        <w:rPr>
          <w:rFonts w:ascii="Arial" w:cs="Arial" w:eastAsia="Arial" w:hAnsi="Arial"/>
          <w:sz w:val="16"/>
          <w:szCs w:val="16"/>
          <w:color w:val="auto"/>
        </w:rPr>
        <w:t>1,497,124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440" w:val="left"/>
          <w:tab w:leader="none" w:pos="2900" w:val="left"/>
        </w:tabs>
        <w:rPr>
          <w:sz w:val="20"/>
          <w:szCs w:val="20"/>
          <w:color w:val="auto"/>
        </w:rPr>
      </w:pPr>
      <w:r>
        <w:rPr>
          <w:rFonts w:ascii="Arial" w:cs="Arial" w:eastAsia="Arial" w:hAnsi="Arial"/>
          <w:sz w:val="18"/>
          <w:szCs w:val="18"/>
          <w:color w:val="auto"/>
        </w:rPr>
        <w:t>2,977,330</w:t>
      </w:r>
      <w:r>
        <w:rPr>
          <w:sz w:val="20"/>
          <w:szCs w:val="20"/>
          <w:color w:val="auto"/>
        </w:rPr>
        <w:tab/>
      </w:r>
      <w:r>
        <w:rPr>
          <w:rFonts w:ascii="Arial" w:cs="Arial" w:eastAsia="Arial" w:hAnsi="Arial"/>
          <w:sz w:val="18"/>
          <w:szCs w:val="18"/>
          <w:color w:val="auto"/>
        </w:rPr>
        <w:t>2,970,965</w:t>
      </w:r>
      <w:r>
        <w:rPr>
          <w:sz w:val="20"/>
          <w:szCs w:val="20"/>
          <w:color w:val="auto"/>
        </w:rPr>
        <w:tab/>
      </w:r>
      <w:r>
        <w:rPr>
          <w:rFonts w:ascii="Arial" w:cs="Arial" w:eastAsia="Arial" w:hAnsi="Arial"/>
          <w:sz w:val="16"/>
          <w:szCs w:val="16"/>
          <w:color w:val="auto"/>
        </w:rPr>
        <w:t>2,993,050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440" w:val="left"/>
          <w:tab w:leader="none" w:pos="2900" w:val="left"/>
        </w:tabs>
        <w:rPr>
          <w:sz w:val="20"/>
          <w:szCs w:val="20"/>
          <w:color w:val="auto"/>
        </w:rPr>
      </w:pPr>
      <w:r>
        <w:rPr>
          <w:rFonts w:ascii="Arial" w:cs="Arial" w:eastAsia="Arial" w:hAnsi="Arial"/>
          <w:sz w:val="18"/>
          <w:szCs w:val="18"/>
          <w:color w:val="auto"/>
        </w:rPr>
        <w:t>3,434,854</w:t>
      </w:r>
      <w:r>
        <w:rPr>
          <w:sz w:val="20"/>
          <w:szCs w:val="20"/>
          <w:color w:val="auto"/>
        </w:rPr>
        <w:tab/>
      </w:r>
      <w:r>
        <w:rPr>
          <w:rFonts w:ascii="Arial" w:cs="Arial" w:eastAsia="Arial" w:hAnsi="Arial"/>
          <w:sz w:val="18"/>
          <w:szCs w:val="18"/>
          <w:color w:val="auto"/>
        </w:rPr>
        <w:t>3,442,469</w:t>
      </w:r>
      <w:r>
        <w:rPr>
          <w:sz w:val="20"/>
          <w:szCs w:val="20"/>
          <w:color w:val="auto"/>
        </w:rPr>
        <w:tab/>
      </w:r>
      <w:r>
        <w:rPr>
          <w:rFonts w:ascii="Arial" w:cs="Arial" w:eastAsia="Arial" w:hAnsi="Arial"/>
          <w:sz w:val="16"/>
          <w:szCs w:val="16"/>
          <w:color w:val="auto"/>
        </w:rPr>
        <w:t>3,434,854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440" w:val="left"/>
          <w:tab w:leader="none" w:pos="2900" w:val="left"/>
        </w:tabs>
        <w:rPr>
          <w:sz w:val="20"/>
          <w:szCs w:val="20"/>
          <w:color w:val="auto"/>
        </w:rPr>
      </w:pPr>
      <w:r>
        <w:rPr>
          <w:rFonts w:ascii="Arial" w:cs="Arial" w:eastAsia="Arial" w:hAnsi="Arial"/>
          <w:sz w:val="18"/>
          <w:szCs w:val="18"/>
          <w:color w:val="auto"/>
        </w:rPr>
        <w:t>3,920,000</w:t>
      </w:r>
      <w:r>
        <w:rPr>
          <w:sz w:val="20"/>
          <w:szCs w:val="20"/>
          <w:color w:val="auto"/>
        </w:rPr>
        <w:tab/>
      </w:r>
      <w:r>
        <w:rPr>
          <w:rFonts w:ascii="Arial" w:cs="Arial" w:eastAsia="Arial" w:hAnsi="Arial"/>
          <w:sz w:val="18"/>
          <w:szCs w:val="18"/>
          <w:color w:val="auto"/>
        </w:rPr>
        <w:t>3,894,370</w:t>
      </w:r>
      <w:r>
        <w:rPr>
          <w:sz w:val="20"/>
          <w:szCs w:val="20"/>
          <w:color w:val="auto"/>
        </w:rPr>
        <w:tab/>
      </w:r>
      <w:r>
        <w:rPr>
          <w:rFonts w:ascii="Arial" w:cs="Arial" w:eastAsia="Arial" w:hAnsi="Arial"/>
          <w:sz w:val="16"/>
          <w:szCs w:val="16"/>
          <w:color w:val="auto"/>
        </w:rPr>
        <w:t>3,920,000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440" w:val="left"/>
          <w:tab w:leader="none" w:pos="2900" w:val="left"/>
        </w:tabs>
        <w:rPr>
          <w:sz w:val="20"/>
          <w:szCs w:val="20"/>
          <w:color w:val="auto"/>
        </w:rPr>
      </w:pPr>
      <w:r>
        <w:rPr>
          <w:rFonts w:ascii="Arial" w:cs="Arial" w:eastAsia="Arial" w:hAnsi="Arial"/>
          <w:sz w:val="18"/>
          <w:szCs w:val="18"/>
          <w:color w:val="auto"/>
        </w:rPr>
        <w:t>2,761,905</w:t>
      </w:r>
      <w:r>
        <w:rPr>
          <w:sz w:val="20"/>
          <w:szCs w:val="20"/>
          <w:color w:val="auto"/>
        </w:rPr>
        <w:tab/>
      </w:r>
      <w:r>
        <w:rPr>
          <w:rFonts w:ascii="Arial" w:cs="Arial" w:eastAsia="Arial" w:hAnsi="Arial"/>
          <w:sz w:val="18"/>
          <w:szCs w:val="18"/>
          <w:color w:val="auto"/>
        </w:rPr>
        <w:t>2,765,071</w:t>
      </w:r>
      <w:r>
        <w:rPr>
          <w:sz w:val="20"/>
          <w:szCs w:val="20"/>
          <w:color w:val="auto"/>
        </w:rPr>
        <w:tab/>
      </w:r>
      <w:r>
        <w:rPr>
          <w:rFonts w:ascii="Arial" w:cs="Arial" w:eastAsia="Arial" w:hAnsi="Arial"/>
          <w:sz w:val="16"/>
          <w:szCs w:val="16"/>
          <w:color w:val="auto"/>
        </w:rPr>
        <w:t>2,765,357</w:t>
      </w:r>
    </w:p>
    <w:p>
      <w:pPr>
        <w:spacing w:after="0" w:line="200" w:lineRule="exact"/>
        <w:rPr>
          <w:sz w:val="20"/>
          <w:szCs w:val="20"/>
          <w:color w:val="auto"/>
        </w:rPr>
      </w:pPr>
    </w:p>
    <w:p>
      <w:pPr>
        <w:sectPr>
          <w:pgSz w:w="11900" w:h="16838" w:orient="portrait"/>
          <w:cols w:equalWidth="0" w:num="3">
            <w:col w:w="4200" w:space="500"/>
            <w:col w:w="2260" w:space="720"/>
            <w:col w:w="3740"/>
          </w:cols>
          <w:pgMar w:left="240" w:top="877" w:right="239" w:bottom="8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8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Medical Specialties Distributors, LLC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3,940,000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3,910,865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Millennium Health, LLC (fka Millennium Laboratories,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LLC)</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vMerge w:val="restart"/>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2,977,444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2,977,444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1,429,173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Nellson Nutraceutical, LLC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Nellson Nutraceutical, LLC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Nielsen &amp; Bainbrige, LLC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Nielsen &amp; Bainbrige, LLC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Nielsen &amp; Bainbrige, LLC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NM Z Parent Inc. (aka Zep, Inc.)</w:t>
      </w:r>
      <w:r>
        <w:rPr>
          <w:rFonts w:ascii="Arial" w:cs="Arial" w:eastAsia="Arial" w:hAnsi="Arial"/>
          <w:sz w:val="26"/>
          <w:szCs w:val="26"/>
          <w:color w:val="auto"/>
          <w:vertAlign w:val="superscript"/>
        </w:rPr>
        <w:t>9, 11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Chemicals, Plastics and Rubber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Novetta, LLC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-121920</wp:posOffset>
            </wp:positionV>
            <wp:extent cx="7246620" cy="5746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A-1 Loan (First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Cash, 1.0% Libor Floor,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Due 12/21</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2,386,554</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2,366,863</w:t>
            </w:r>
          </w:p>
        </w:tc>
        <w:tc>
          <w:tcPr>
            <w:tcW w:w="1100" w:type="dxa"/>
            <w:vAlign w:val="bottom"/>
          </w:tcPr>
          <w:p>
            <w:pPr>
              <w:jc w:val="right"/>
              <w:spacing w:after="0"/>
              <w:rPr>
                <w:sz w:val="20"/>
                <w:szCs w:val="20"/>
                <w:color w:val="auto"/>
              </w:rPr>
            </w:pPr>
            <w:r>
              <w:rPr>
                <w:rFonts w:ascii="Arial" w:cs="Arial" w:eastAsia="Arial" w:hAnsi="Arial"/>
                <w:sz w:val="18"/>
                <w:szCs w:val="18"/>
                <w:color w:val="auto"/>
              </w:rPr>
              <w:t>2,387,270</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A-2 Loan (First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6.0% Cash, 1.0% Libor Floor,</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Due 12/21</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2,103,446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2,085,330</w:t>
            </w:r>
          </w:p>
        </w:tc>
        <w:tc>
          <w:tcPr>
            <w:tcW w:w="1100" w:type="dxa"/>
            <w:vAlign w:val="bottom"/>
          </w:tcPr>
          <w:p>
            <w:pPr>
              <w:jc w:val="right"/>
              <w:spacing w:after="0"/>
              <w:rPr>
                <w:sz w:val="20"/>
                <w:szCs w:val="20"/>
                <w:color w:val="auto"/>
              </w:rPr>
            </w:pPr>
            <w:r>
              <w:rPr>
                <w:rFonts w:ascii="Arial" w:cs="Arial" w:eastAsia="Arial" w:hAnsi="Arial"/>
                <w:sz w:val="18"/>
                <w:szCs w:val="18"/>
                <w:color w:val="auto"/>
              </w:rPr>
              <w:t>2,104,077</w:t>
            </w:r>
          </w:p>
        </w:tc>
      </w:tr>
      <w:tr>
        <w:trPr>
          <w:trHeight w:val="45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 (First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6.0% Cash, 1.0% Libor Floor,</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Due 8/20</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995,000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986,369</w:t>
            </w:r>
          </w:p>
        </w:tc>
        <w:tc>
          <w:tcPr>
            <w:tcW w:w="1100" w:type="dxa"/>
            <w:vAlign w:val="bottom"/>
          </w:tcPr>
          <w:p>
            <w:pPr>
              <w:jc w:val="right"/>
              <w:spacing w:after="0"/>
              <w:rPr>
                <w:sz w:val="20"/>
                <w:szCs w:val="20"/>
                <w:color w:val="auto"/>
              </w:rPr>
            </w:pPr>
            <w:r>
              <w:rPr>
                <w:rFonts w:ascii="Arial" w:cs="Arial" w:eastAsia="Arial" w:hAnsi="Arial"/>
                <w:sz w:val="18"/>
                <w:szCs w:val="18"/>
                <w:color w:val="auto"/>
              </w:rPr>
              <w:t>985,050</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Junior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 (Second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10.3% Cash, 1.0% Libor Floor,</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Due 8/21</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2,091,954</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2,063,548</w:t>
            </w:r>
          </w:p>
        </w:tc>
        <w:tc>
          <w:tcPr>
            <w:tcW w:w="1100" w:type="dxa"/>
            <w:vAlign w:val="bottom"/>
          </w:tcPr>
          <w:p>
            <w:pPr>
              <w:jc w:val="right"/>
              <w:spacing w:after="0"/>
              <w:rPr>
                <w:sz w:val="20"/>
                <w:szCs w:val="20"/>
                <w:color w:val="auto"/>
              </w:rPr>
            </w:pPr>
            <w:r>
              <w:rPr>
                <w:rFonts w:ascii="Arial" w:cs="Arial" w:eastAsia="Arial" w:hAnsi="Arial"/>
                <w:sz w:val="18"/>
                <w:szCs w:val="18"/>
                <w:color w:val="auto"/>
              </w:rPr>
              <w:t>2,050,115</w:t>
            </w:r>
          </w:p>
        </w:tc>
      </w:tr>
      <w:tr>
        <w:trPr>
          <w:trHeight w:val="45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 (First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6.0% Cash, 1.0% Libor Floor,</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Due 8/20</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3,805,000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3,771,078</w:t>
            </w:r>
          </w:p>
        </w:tc>
        <w:tc>
          <w:tcPr>
            <w:tcW w:w="1100" w:type="dxa"/>
            <w:vAlign w:val="bottom"/>
          </w:tcPr>
          <w:p>
            <w:pPr>
              <w:jc w:val="right"/>
              <w:spacing w:after="0"/>
              <w:rPr>
                <w:sz w:val="20"/>
                <w:szCs w:val="20"/>
                <w:color w:val="auto"/>
              </w:rPr>
            </w:pPr>
            <w:r>
              <w:rPr>
                <w:rFonts w:ascii="Arial" w:cs="Arial" w:eastAsia="Arial" w:hAnsi="Arial"/>
                <w:sz w:val="18"/>
                <w:szCs w:val="18"/>
                <w:color w:val="auto"/>
              </w:rPr>
              <w:t>3,766,950</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Initial</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 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5.8% Cash, 1.0% Libor Floor,</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Due 6/22</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3,500,000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3,512,502</w:t>
            </w:r>
          </w:p>
        </w:tc>
        <w:tc>
          <w:tcPr>
            <w:tcW w:w="1100" w:type="dxa"/>
            <w:vAlign w:val="bottom"/>
          </w:tcPr>
          <w:p>
            <w:pPr>
              <w:jc w:val="right"/>
              <w:spacing w:after="0"/>
              <w:rPr>
                <w:sz w:val="20"/>
                <w:szCs w:val="20"/>
                <w:color w:val="auto"/>
              </w:rPr>
            </w:pPr>
            <w:r>
              <w:rPr>
                <w:rFonts w:ascii="Arial" w:cs="Arial" w:eastAsia="Arial" w:hAnsi="Arial"/>
                <w:sz w:val="18"/>
                <w:szCs w:val="18"/>
                <w:color w:val="auto"/>
              </w:rPr>
              <w:t>3,512,600</w:t>
            </w:r>
          </w:p>
        </w:tc>
      </w:tr>
      <w:tr>
        <w:trPr>
          <w:trHeight w:val="458"/>
        </w:trPr>
        <w:tc>
          <w:tcPr>
            <w:tcW w:w="2620" w:type="dxa"/>
            <w:vAlign w:val="bottom"/>
          </w:tcPr>
          <w:p>
            <w:pPr>
              <w:spacing w:after="0"/>
              <w:rPr>
                <w:sz w:val="20"/>
                <w:szCs w:val="20"/>
                <w:color w:val="auto"/>
              </w:rPr>
            </w:pPr>
            <w:r>
              <w:rPr>
                <w:rFonts w:ascii="Arial" w:cs="Arial" w:eastAsia="Arial" w:hAnsi="Arial"/>
                <w:sz w:val="18"/>
                <w:szCs w:val="18"/>
                <w:color w:val="auto"/>
              </w:rPr>
              <w:t>Senior Secured Loan — Initial</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 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6.0% Cash, 1.0% Libor Floor,</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Due 10/20</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2,729,375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2,704,795</w:t>
            </w:r>
          </w:p>
        </w:tc>
        <w:tc>
          <w:tcPr>
            <w:tcW w:w="1100" w:type="dxa"/>
            <w:vAlign w:val="bottom"/>
          </w:tcPr>
          <w:p>
            <w:pPr>
              <w:jc w:val="right"/>
              <w:spacing w:after="0"/>
              <w:rPr>
                <w:sz w:val="20"/>
                <w:szCs w:val="20"/>
                <w:color w:val="auto"/>
              </w:rPr>
            </w:pPr>
            <w:r>
              <w:rPr>
                <w:rFonts w:ascii="Arial" w:cs="Arial" w:eastAsia="Arial" w:hAnsi="Arial"/>
                <w:sz w:val="18"/>
                <w:szCs w:val="18"/>
                <w:color w:val="auto"/>
              </w:rPr>
              <w:t>2,690,891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-4210050</wp:posOffset>
            </wp:positionV>
            <wp:extent cx="7246620" cy="574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-3472815</wp:posOffset>
            </wp:positionV>
            <wp:extent cx="7246620" cy="5746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-2760980</wp:posOffset>
            </wp:positionV>
            <wp:extent cx="7246620" cy="5746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-2023110</wp:posOffset>
            </wp:positionV>
            <wp:extent cx="7246620" cy="5746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-1311275</wp:posOffset>
            </wp:positionV>
            <wp:extent cx="7246620" cy="574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-574040</wp:posOffset>
            </wp:positionV>
            <wp:extent cx="7246620" cy="5746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980" w:space="720"/>
            <w:col w:w="672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6"/>
              </w:rPr>
              <w:t>Novitex Acquisition, LLC (fka ARSloane Acquisition, LLC)</w:t>
            </w:r>
            <w:r>
              <w:rPr>
                <w:rFonts w:ascii="Arial" w:cs="Arial" w:eastAsia="Arial" w:hAnsi="Arial"/>
                <w:sz w:val="30"/>
                <w:szCs w:val="30"/>
                <w:color w:val="auto"/>
                <w:w w:val="96"/>
                <w:vertAlign w:val="superscript"/>
              </w:rPr>
              <w:t>9,</w:t>
            </w: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w:t>
            </w:r>
          </w:p>
        </w:tc>
        <w:tc>
          <w:tcPr>
            <w:tcW w:w="1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Tranche B-2 Term Loan (First</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7.5% Cash, 1.3% Libor Floor,</w:t>
            </w:r>
          </w:p>
        </w:tc>
        <w:tc>
          <w:tcPr>
            <w:tcW w:w="14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Due 7/20</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985,056</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976,819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937,774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9</w:t>
            </w:r>
          </w:p>
        </w:tc>
        <w:tc>
          <w:tcPr>
            <w:tcW w:w="2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Term</w:t>
            </w:r>
          </w:p>
        </w:tc>
        <w:tc>
          <w:tcPr>
            <w:tcW w:w="1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 (Second Lien)</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9.5% Cash, 1.0% Libor Floor,</w:t>
            </w:r>
          </w:p>
        </w:tc>
        <w:tc>
          <w:tcPr>
            <w:tcW w:w="14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Due 12/19</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1,932,311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1,932,311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1,884,969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10</w:t>
            </w:r>
          </w:p>
        </w:tc>
        <w:tc>
          <w:tcPr>
            <w:tcW w:w="1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Onex Carestream Finance LP</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 2013)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1,909,238</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1,914,986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1,910,288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Orbitz Worldwide,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C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Hotel, Gaming &amp; Leisure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2,819,576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2,819,576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2,824,862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Otter Products, LLC (OtterBox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5.8%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2,754,168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2,734,080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2,676,776</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Ozburn-Hessey Holding Company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6.8% Cash, 1.3%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3,494,596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3,487,824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PGX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3,853,571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3,819,747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3,853,571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Playpower,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4.8%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Construction &amp; Building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1,985,014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Post Holdings,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1"/>
              </w:rPr>
              <w:t>Senior Secured Loan — Series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 Incremental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3.8% Cash, 0.8%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2,977,452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2,970,701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2,966,435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PQ Corporation</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Senior Secured Loan — 2014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Chemicals, Plastics and Rubber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2,977,099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2,977,099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PSC Industrial Holdings Corp.</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5.8%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1,971,873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1,983,373</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Quad-C JH Holdings Inc. (aka Joerns Healthcare)</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3,935,698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Restorix Health,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Unsecured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Delayed Draw</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 Cash, 1.5% PIK, Due</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2,018,787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2,018,787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2,018,787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Restorix Health, Inc.</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Senior Unsecured Loan —</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Subordinated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 Cash, 1.5% PIK, Due</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8,124,738</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8,124,738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8,124,738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Reynolds Group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Incremental U.S.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Containers, Packaging and Glass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2,916,649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2,916,649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2,930,328</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Roscoe Medical,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11.3% Cash, Due 9/19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6,648,400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6,478,900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Rovi Solutions Corporation / Rovi Guides,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3.8% Cash, 0.8%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2,977,444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2,942,563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2,962,095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Sandy Creek Energy Associates, L.P.</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Utilities: Electric</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2,805,007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2,794,225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SGF Produce Holding Corp.(Frozsun,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5.6%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2,180,291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2,166,554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2,180,291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SGF Produce Holding Corp.(Frozsun,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5.6%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4,919,511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4,920,428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4,919,511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Stafford Logistics, Inc.(dba Custom Ecology,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6.8% Cash, 1.3%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2,861,935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2,842,873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2,854,781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Sun Products Corporation, The (fka Huish Detergents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Tranche B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1.3%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Non-durable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3,882,654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3,861,506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3,792,887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Tank Partners Holdings,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Senior Secured Loan — Loan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9.8% Cash, 3.5% PIK, 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Libor Floor, Due 8/19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10,570,454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10,416,387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9,788,240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TPF II Power, LLC (TPF II Covert Midco,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Utilities: Electric</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10/21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3,009,831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3,014,850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4" w:name="page15"/>
    <w:bookmarkEnd w:id="14"/>
    <w:p>
      <w:pPr>
        <w:spacing w:after="0" w:line="257" w:lineRule="exact"/>
        <w:rPr>
          <w:sz w:val="20"/>
          <w:szCs w:val="20"/>
          <w:color w:val="auto"/>
        </w:rPr>
      </w:pPr>
    </w:p>
    <w:p>
      <w:pPr>
        <w:ind w:right="1220"/>
        <w:spacing w:after="0" w:line="292" w:lineRule="auto"/>
        <w:rPr>
          <w:sz w:val="20"/>
          <w:szCs w:val="20"/>
          <w:color w:val="auto"/>
        </w:rPr>
      </w:pPr>
      <w:r>
        <w:rPr>
          <w:rFonts w:ascii="Arial" w:cs="Arial" w:eastAsia="Arial" w:hAnsi="Arial"/>
          <w:sz w:val="18"/>
          <w:szCs w:val="18"/>
          <w:b w:val="1"/>
          <w:bCs w:val="1"/>
          <w:color w:val="auto"/>
        </w:rPr>
        <w:t xml:space="preserve">Portfolio Company / Principal Business </w:t>
      </w:r>
      <w:r>
        <w:rPr>
          <w:rFonts w:ascii="Arial" w:cs="Arial" w:eastAsia="Arial" w:hAnsi="Arial"/>
          <w:sz w:val="18"/>
          <w:szCs w:val="18"/>
          <w:color w:val="auto"/>
        </w:rPr>
        <w:t>TRSO I, Inc.</w:t>
      </w:r>
      <w:r>
        <w:rPr>
          <w:rFonts w:ascii="Arial" w:cs="Arial" w:eastAsia="Arial" w:hAnsi="Arial"/>
          <w:sz w:val="30"/>
          <w:szCs w:val="30"/>
          <w:color w:val="auto"/>
          <w:vertAlign w:val="superscript"/>
        </w:rPr>
        <w:t>9</w:t>
      </w:r>
    </w:p>
    <w:p>
      <w:pPr>
        <w:spacing w:after="0" w:line="251" w:lineRule="exact"/>
        <w:rPr>
          <w:sz w:val="20"/>
          <w:szCs w:val="20"/>
          <w:color w:val="auto"/>
        </w:rPr>
      </w:pPr>
    </w:p>
    <w:p>
      <w:pPr>
        <w:jc w:val="center"/>
        <w:ind w:right="2560"/>
        <w:spacing w:after="0"/>
        <w:rPr>
          <w:sz w:val="20"/>
          <w:szCs w:val="20"/>
          <w:color w:val="auto"/>
        </w:rPr>
      </w:pPr>
      <w:r>
        <w:rPr>
          <w:rFonts w:ascii="Arial" w:cs="Arial" w:eastAsia="Arial" w:hAnsi="Arial"/>
          <w:sz w:val="18"/>
          <w:szCs w:val="18"/>
          <w:i w:val="1"/>
          <w:iCs w:val="1"/>
          <w:color w:val="auto"/>
        </w:rPr>
        <w:t>Energy: Oil &amp; Gas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U.S. Shipping Corp (fka U.S. Shipping Partners LP)</w:t>
      </w:r>
      <w:r>
        <w:rPr>
          <w:rFonts w:ascii="Arial" w:cs="Arial" w:eastAsia="Arial" w:hAnsi="Arial"/>
          <w:sz w:val="26"/>
          <w:szCs w:val="26"/>
          <w:color w:val="auto"/>
          <w:vertAlign w:val="superscript"/>
        </w:rPr>
        <w:t>9, 11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Univar Inc.</w:t>
      </w:r>
      <w:r>
        <w:rPr>
          <w:rFonts w:ascii="Arial" w:cs="Arial" w:eastAsia="Arial" w:hAnsi="Arial"/>
          <w:sz w:val="30"/>
          <w:szCs w:val="30"/>
          <w:color w:val="auto"/>
          <w:vertAlign w:val="superscript"/>
        </w:rPr>
        <w:t>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Chemicals, Plastics and Rubber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USJ-IMECO Holding Company, LLC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Vantiv, LLC (fka Fifth Third Processing Solutions, LLC)</w:t>
      </w:r>
      <w:r>
        <w:rPr>
          <w:rFonts w:ascii="Arial" w:cs="Arial" w:eastAsia="Arial" w:hAnsi="Arial"/>
          <w:sz w:val="26"/>
          <w:szCs w:val="26"/>
          <w:color w:val="auto"/>
          <w:vertAlign w:val="superscript"/>
        </w:rPr>
        <w:t>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Banking, Finance, Insurance &amp; Real Estate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Verdesian Life Sciences, LLC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1"/>
        </w:trPr>
        <w:tc>
          <w:tcPr>
            <w:tcW w:w="230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90"/>
              <w:spacing w:after="0" w:line="271" w:lineRule="exact"/>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Junior Secured Loan — Term</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3"/>
              </w:rPr>
              <w:t>11.0% Cash, 1.0%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12/17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990,082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967,700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7.0% Cash, 1.0%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6/20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1,003,643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903,200</w:t>
            </w:r>
          </w:p>
        </w:tc>
      </w:tr>
      <w:tr>
        <w:trPr>
          <w:trHeight w:val="45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B-1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5.8% Cash, 0.8%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2/20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826,613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828,897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817,570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Tranche B-2 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5.3% Cash, 1.0%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6/21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1,498,750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1,498,800</w:t>
            </w:r>
          </w:p>
        </w:tc>
      </w:tr>
      <w:tr>
        <w:trPr>
          <w:trHeight w:val="45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B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5.0% Cash, 1.5%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6/17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2,879,528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2,874,890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2,879,528</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7.0% Cash, 1.0%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4/20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3,950,000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3,934,078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3,950,000</w:t>
            </w:r>
          </w:p>
        </w:tc>
      </w:tr>
      <w:tr>
        <w:trPr>
          <w:trHeight w:val="45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B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3.8% Cash, 0.8%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6/21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1,698,532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1,702,414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1,701,717</w:t>
            </w:r>
          </w:p>
        </w:tc>
      </w:tr>
      <w:tr>
        <w:trPr>
          <w:trHeight w:val="45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6.0% Cash, 1.0% Libor Floor,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7/20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950,037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938,105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928,376</w:t>
            </w:r>
          </w:p>
        </w:tc>
      </w:tr>
      <w:tr>
        <w:trPr>
          <w:trHeight w:val="648"/>
        </w:trPr>
        <w:tc>
          <w:tcPr>
            <w:tcW w:w="2300" w:type="dxa"/>
            <w:vAlign w:val="bottom"/>
            <w:gridSpan w:val="2"/>
          </w:tcPr>
          <w:p>
            <w:pPr>
              <w:ind w:left="9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-5359400</wp:posOffset>
            </wp:positionV>
            <wp:extent cx="7246620" cy="574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-4621530</wp:posOffset>
            </wp:positionV>
            <wp:extent cx="7246620" cy="5746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-3909695</wp:posOffset>
            </wp:positionV>
            <wp:extent cx="7246620" cy="5746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-3172460</wp:posOffset>
            </wp:positionV>
            <wp:extent cx="7246620" cy="5746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-2460625</wp:posOffset>
            </wp:positionV>
            <wp:extent cx="7246620" cy="5746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-1723390</wp:posOffset>
            </wp:positionV>
            <wp:extent cx="7246620" cy="5746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-985520</wp:posOffset>
            </wp:positionV>
            <wp:extent cx="7246620" cy="5746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-6079490</wp:posOffset>
            </wp:positionV>
            <wp:extent cx="7246620" cy="5829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260" w:space="440"/>
            <w:col w:w="6620"/>
          </w:cols>
          <w:pgMar w:left="240" w:top="87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ind w:left="140"/>
              <w:spacing w:after="0" w:line="271" w:lineRule="exact"/>
              <w:rPr>
                <w:sz w:val="20"/>
                <w:szCs w:val="20"/>
                <w:color w:val="auto"/>
              </w:rPr>
            </w:pPr>
            <w:r>
              <w:rPr>
                <w:rFonts w:ascii="Arial" w:cs="Arial" w:eastAsia="Arial" w:hAnsi="Arial"/>
                <w:sz w:val="18"/>
                <w:szCs w:val="18"/>
                <w:b w:val="1"/>
                <w:bCs w:val="1"/>
                <w:color w:val="auto"/>
              </w:rPr>
              <w:t>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Verdesian Life Sciences, LLC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3,138,730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3,100,416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3,067,167</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Vestcom International, Inc. (fka Vector Investment Holdings,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Inc.)</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Retail</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3,005,045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2,990,716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3,008,801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WideOpenWest Finance, LLC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9, 11</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275" w:lineRule="exact"/>
        <w:rPr>
          <w:sz w:val="20"/>
          <w:szCs w:val="20"/>
          <w:color w:val="auto"/>
        </w:rPr>
      </w:pPr>
    </w:p>
    <w:p>
      <w:pPr>
        <w:ind w:left="180" w:right="800" w:hanging="161"/>
        <w:spacing w:after="0" w:line="347" w:lineRule="auto"/>
        <w:rPr>
          <w:sz w:val="20"/>
          <w:szCs w:val="20"/>
          <w:color w:val="auto"/>
        </w:rPr>
      </w:pPr>
      <w:r>
        <w:rPr>
          <w:rFonts w:ascii="Arial" w:cs="Arial" w:eastAsia="Arial" w:hAnsi="Arial"/>
          <w:sz w:val="16"/>
          <w:szCs w:val="16"/>
          <w:b w:val="1"/>
          <w:bCs w:val="1"/>
          <w:color w:val="auto"/>
        </w:rPr>
        <w:t>Total Investment in Debt Securities (116% of net asset value at fair value)</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8"/>
          <w:szCs w:val="18"/>
          <w:color w:val="auto"/>
        </w:rPr>
        <w:t>Senior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-121920</wp:posOffset>
            </wp:positionV>
            <wp:extent cx="7246620" cy="5746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6.3% Cash, 1.0% Libor Floor,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Due 11/18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2,957,255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2,936,695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2,957,255</w:t>
            </w:r>
          </w:p>
        </w:tc>
      </w:tr>
      <w:tr>
        <w:trPr>
          <w:trHeight w:val="458"/>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Senior Secured Loan — Term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Loan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6.3% Cash, 1.0% Libor Floor,</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Due 11/18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3,943,007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3,916,231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3,943,007</w:t>
            </w:r>
          </w:p>
        </w:tc>
      </w:tr>
      <w:tr>
        <w:trPr>
          <w:trHeight w:val="418"/>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Senior Secured Loan —</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Replacement Term B Loan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4.5% Cash, 1.0% Libor Floor,</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Due 4/19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2,940,000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2,959,761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2,940,000</w:t>
            </w:r>
          </w:p>
        </w:tc>
      </w:tr>
      <w:tr>
        <w:trPr>
          <w:trHeight w:val="458"/>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Senior Unsecured Bond —</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540" w:type="dxa"/>
            <w:vAlign w:val="bottom"/>
          </w:tcPr>
          <w:p>
            <w:pPr>
              <w:ind w:left="120"/>
              <w:spacing w:after="0"/>
              <w:rPr>
                <w:sz w:val="20"/>
                <w:szCs w:val="20"/>
                <w:color w:val="auto"/>
              </w:rPr>
            </w:pPr>
            <w:r>
              <w:rPr>
                <w:rFonts w:ascii="Arial" w:cs="Arial" w:eastAsia="Arial" w:hAnsi="Arial"/>
                <w:sz w:val="18"/>
                <w:szCs w:val="18"/>
                <w:color w:val="auto"/>
              </w:rPr>
              <w:t>9.000% - 05/2017</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9.0% Cash, Due 5/17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5,001,887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r>
      <w:tr>
        <w:trPr>
          <w:trHeight w:val="418"/>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Senior Unsecured Bond —</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540" w:type="dxa"/>
            <w:vAlign w:val="bottom"/>
          </w:tcPr>
          <w:p>
            <w:pPr>
              <w:ind w:left="120"/>
              <w:spacing w:after="0"/>
              <w:rPr>
                <w:sz w:val="20"/>
                <w:szCs w:val="20"/>
                <w:color w:val="auto"/>
              </w:rPr>
            </w:pPr>
            <w:r>
              <w:rPr>
                <w:rFonts w:ascii="Arial" w:cs="Arial" w:eastAsia="Arial" w:hAnsi="Arial"/>
                <w:sz w:val="18"/>
                <w:szCs w:val="18"/>
                <w:color w:val="auto"/>
              </w:rPr>
              <w:t>9.000% - 05/2017</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9.0% Cash, Due 5/17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3,001,132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r>
      <w:tr>
        <w:trPr>
          <w:trHeight w:val="453"/>
        </w:trPr>
        <w:tc>
          <w:tcPr>
            <w:tcW w:w="25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303,656,137</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301,909,681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297,915,304</w:t>
            </w:r>
          </w:p>
        </w:tc>
      </w:tr>
      <w:tr>
        <w:trPr>
          <w:trHeight w:val="20"/>
        </w:trPr>
        <w:tc>
          <w:tcPr>
            <w:tcW w:w="2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-2923540</wp:posOffset>
            </wp:positionV>
            <wp:extent cx="7246620" cy="5746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-2211705</wp:posOffset>
            </wp:positionV>
            <wp:extent cx="7246620" cy="5746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-1474470</wp:posOffset>
            </wp:positionV>
            <wp:extent cx="7246620" cy="43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-899795</wp:posOffset>
            </wp:positionV>
            <wp:extent cx="7246620" cy="4457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-290830</wp:posOffset>
            </wp:positionV>
            <wp:extent cx="7246620" cy="283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3860" w:space="720"/>
            <w:col w:w="6840"/>
          </w:cols>
          <w:pgMar w:left="240" w:top="877" w:right="239" w:bottom="1440"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3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Ownership/Shares</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5, 9</w:t>
            </w:r>
          </w:p>
        </w:tc>
        <w:tc>
          <w:tcPr>
            <w:tcW w:w="100" w:type="dxa"/>
            <w:vAlign w:val="bottom"/>
            <w:tcBorders>
              <w:top w:val="single" w:sz="8" w:color="CCEEFF"/>
            </w:tcBorders>
            <w:shd w:val="clear" w:color="auto" w:fill="CCEEFF"/>
          </w:tcPr>
          <w:p>
            <w:pPr>
              <w:spacing w:after="0"/>
              <w:rPr>
                <w:sz w:val="20"/>
                <w:szCs w:val="20"/>
                <w:color w:val="auto"/>
              </w:rPr>
            </w:pPr>
          </w:p>
        </w:tc>
        <w:tc>
          <w:tcPr>
            <w:tcW w:w="2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Partnership Interests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Series A Preferred Interests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700,703</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 Investments</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4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Incorporated)</w:t>
            </w:r>
            <w:r>
              <w:rPr>
                <w:rFonts w:ascii="Arial" w:cs="Arial" w:eastAsia="Arial" w:hAnsi="Arial"/>
                <w:sz w:val="29"/>
                <w:szCs w:val="29"/>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Warrants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1,280,609</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Membership Units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3, 5,</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Capital Equipment</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Shares</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2,144,194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Hotel, Gaming &amp; Leisure</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Units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941,600</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5, 9, 13</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108,893</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5, 9, 13</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1,342,373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Equity Securities</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(3% of net asset value at fair value)</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8,514,487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7,542,085</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CLO Subordinated Investments</w:t>
            </w: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52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color w:val="auto"/>
                <w:vertAlign w:val="superscript"/>
              </w:rPr>
              <w:t>14</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2520" w:type="dxa"/>
            <w:vAlign w:val="bottom"/>
            <w:gridSpan w:val="3"/>
            <w:vMerge w:val="continue"/>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Grant Grove CLO, Ltd.</w:t>
            </w:r>
            <w:r>
              <w:rPr>
                <w:rFonts w:ascii="Arial" w:cs="Arial" w:eastAsia="Arial" w:hAnsi="Arial"/>
                <w:sz w:val="22"/>
                <w:szCs w:val="22"/>
                <w:color w:val="auto"/>
                <w:vertAlign w:val="superscript"/>
              </w:rPr>
              <w:t>3</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Subordinated Securities,</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effective interest 11.3%, 1/21</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2,498,355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522,005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tcPr>
          <w:p>
            <w:pPr>
              <w:spacing w:after="0" w:line="242" w:lineRule="exact"/>
              <w:rPr>
                <w:sz w:val="20"/>
                <w:szCs w:val="20"/>
                <w:color w:val="auto"/>
              </w:rPr>
            </w:pPr>
            <w:r>
              <w:rPr>
                <w:rFonts w:ascii="Arial" w:cs="Arial" w:eastAsia="Arial" w:hAnsi="Arial"/>
                <w:sz w:val="17"/>
                <w:szCs w:val="17"/>
                <w:color w:val="auto"/>
              </w:rPr>
              <w:t>Katonah III, Ltd.</w:t>
            </w:r>
            <w:r>
              <w:rPr>
                <w:rFonts w:ascii="Arial" w:cs="Arial" w:eastAsia="Arial" w:hAnsi="Arial"/>
                <w:sz w:val="28"/>
                <w:szCs w:val="28"/>
                <w:color w:val="auto"/>
                <w:vertAlign w:val="superscript"/>
              </w:rPr>
              <w:t>3, 10, 15</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Preferred Shares, 5/15</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1,361,891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Katonah VII CLO Ltd.</w:t>
            </w:r>
            <w:r>
              <w:rPr>
                <w:rFonts w:ascii="Arial" w:cs="Arial" w:eastAsia="Arial" w:hAnsi="Arial"/>
                <w:sz w:val="28"/>
                <w:szCs w:val="28"/>
                <w:color w:val="auto"/>
                <w:vertAlign w:val="superscript"/>
              </w:rPr>
              <w:t>3, 6, 15</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Subordinated Securities, 11/17</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3,530,487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tcPr>
          <w:p>
            <w:pPr>
              <w:spacing w:after="0" w:line="242" w:lineRule="exact"/>
              <w:rPr>
                <w:sz w:val="20"/>
                <w:szCs w:val="20"/>
                <w:color w:val="auto"/>
              </w:rPr>
            </w:pPr>
            <w:r>
              <w:rPr>
                <w:rFonts w:ascii="Arial" w:cs="Arial" w:eastAsia="Arial" w:hAnsi="Arial"/>
                <w:sz w:val="17"/>
                <w:szCs w:val="17"/>
                <w:color w:val="auto"/>
              </w:rPr>
              <w:t>Katonah VIII CLO Ltd</w:t>
            </w:r>
            <w:r>
              <w:rPr>
                <w:rFonts w:ascii="Arial" w:cs="Arial" w:eastAsia="Arial" w:hAnsi="Arial"/>
                <w:sz w:val="28"/>
                <w:szCs w:val="28"/>
                <w:color w:val="auto"/>
                <w:vertAlign w:val="superscript"/>
              </w:rPr>
              <w:t>3, 6, 15</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 5/18</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2,706,408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Katonah IX CLO Ltd</w:t>
            </w:r>
            <w:r>
              <w:rPr>
                <w:rFonts w:ascii="Arial" w:cs="Arial" w:eastAsia="Arial" w:hAnsi="Arial"/>
                <w:sz w:val="28"/>
                <w:szCs w:val="28"/>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 effective</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2.1%, 1/19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1,203,125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5"/>
                <w:szCs w:val="15"/>
                <w:color w:val="auto"/>
              </w:rPr>
              <w:t xml:space="preserve">Katonah X CLO Ltd </w:t>
            </w:r>
            <w:r>
              <w:rPr>
                <w:rFonts w:ascii="Arial" w:cs="Arial" w:eastAsia="Arial" w:hAnsi="Arial"/>
                <w:sz w:val="23"/>
                <w:szCs w:val="23"/>
                <w:color w:val="auto"/>
                <w:vertAlign w:val="superscript"/>
              </w:rPr>
              <w:t>3, 6</w:t>
            </w:r>
          </w:p>
        </w:tc>
        <w:tc>
          <w:tcPr>
            <w:tcW w:w="25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Subordinated Securities,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effective interest 16.8%, 4/20</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8,932,776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4,686,406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Katonah 2007-I CLO Ltd.</w:t>
            </w:r>
            <w:r>
              <w:rPr>
                <w:rFonts w:ascii="Arial" w:cs="Arial" w:eastAsia="Arial" w:hAnsi="Arial"/>
                <w:sz w:val="28"/>
                <w:szCs w:val="28"/>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 effective</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26.9%, 4/22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23,740,077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24,674,912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tcPr>
          <w:p>
            <w:pPr>
              <w:spacing w:after="0" w:line="242" w:lineRule="exact"/>
              <w:rPr>
                <w:sz w:val="20"/>
                <w:szCs w:val="20"/>
                <w:color w:val="auto"/>
              </w:rPr>
            </w:pPr>
            <w:r>
              <w:rPr>
                <w:rFonts w:ascii="Arial" w:cs="Arial" w:eastAsia="Arial" w:hAnsi="Arial"/>
                <w:sz w:val="17"/>
                <w:szCs w:val="17"/>
                <w:color w:val="auto"/>
              </w:rPr>
              <w:t>Trimaran CLO V, Ltd.</w:t>
            </w:r>
            <w:r>
              <w:rPr>
                <w:rFonts w:ascii="Arial" w:cs="Arial" w:eastAsia="Arial" w:hAnsi="Arial"/>
                <w:sz w:val="28"/>
                <w:szCs w:val="28"/>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Notes, effective</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interest 43.2%, 3/18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142,490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Trimaran CLO VII, Ltd.</w:t>
            </w:r>
            <w:r>
              <w:rPr>
                <w:rFonts w:ascii="Arial" w:cs="Arial" w:eastAsia="Arial" w:hAnsi="Arial"/>
                <w:sz w:val="28"/>
                <w:szCs w:val="28"/>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Income Notes, effective</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43.9%, 6/21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1,340,875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5"/>
                <w:szCs w:val="15"/>
                <w:color w:val="auto"/>
              </w:rPr>
              <w:t>Catamaran CLO 2012-1 Ltd.</w:t>
            </w:r>
            <w:r>
              <w:rPr>
                <w:rFonts w:ascii="Arial" w:cs="Arial" w:eastAsia="Arial" w:hAnsi="Arial"/>
                <w:sz w:val="23"/>
                <w:szCs w:val="23"/>
                <w:color w:val="auto"/>
                <w:vertAlign w:val="superscript"/>
              </w:rPr>
              <w:t>3, 6</w:t>
            </w:r>
          </w:p>
        </w:tc>
        <w:tc>
          <w:tcPr>
            <w:tcW w:w="25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Subordinated Notes, 10.2%</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effective interest, 12/23</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7,507,610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5,052,888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Catamaran CLO 2013- 1 Ltd.</w:t>
            </w:r>
            <w:r>
              <w:rPr>
                <w:rFonts w:ascii="Arial" w:cs="Arial" w:eastAsia="Arial" w:hAnsi="Arial"/>
                <w:sz w:val="28"/>
                <w:szCs w:val="28"/>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 effective</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13.3%, 1/25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6,881,847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6,963,300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tcPr>
          <w:p>
            <w:pPr>
              <w:spacing w:after="0" w:line="242" w:lineRule="exact"/>
              <w:rPr>
                <w:sz w:val="20"/>
                <w:szCs w:val="20"/>
                <w:color w:val="auto"/>
              </w:rPr>
            </w:pPr>
            <w:r>
              <w:rPr>
                <w:rFonts w:ascii="Arial" w:cs="Arial" w:eastAsia="Arial" w:hAnsi="Arial"/>
                <w:sz w:val="17"/>
                <w:szCs w:val="17"/>
                <w:color w:val="auto"/>
              </w:rPr>
              <w:t>Catamaran CLO 2014-1 Ltd.</w:t>
            </w:r>
            <w:r>
              <w:rPr>
                <w:rFonts w:ascii="Arial" w:cs="Arial" w:eastAsia="Arial" w:hAnsi="Arial"/>
                <w:sz w:val="28"/>
                <w:szCs w:val="28"/>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Notes, effective</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interest 8.2%, 4/26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9,690,780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7,908,078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Dryden 30 Senior Loan Fund</w:t>
            </w:r>
            <w:r>
              <w:rPr>
                <w:rFonts w:ascii="Arial" w:cs="Arial" w:eastAsia="Arial" w:hAnsi="Arial"/>
                <w:sz w:val="28"/>
                <w:szCs w:val="28"/>
                <w:color w:val="auto"/>
                <w:vertAlign w:val="superscript"/>
              </w:rPr>
              <w:t>3</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 effective</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interest 27.7%, 11/25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1,712,276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2,368,925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tcPr>
          <w:p>
            <w:pPr>
              <w:spacing w:after="0" w:line="242" w:lineRule="exact"/>
              <w:rPr>
                <w:sz w:val="20"/>
                <w:szCs w:val="20"/>
                <w:color w:val="auto"/>
              </w:rPr>
            </w:pPr>
            <w:r>
              <w:rPr>
                <w:rFonts w:ascii="Arial" w:cs="Arial" w:eastAsia="Arial" w:hAnsi="Arial"/>
                <w:sz w:val="17"/>
                <w:szCs w:val="17"/>
                <w:color w:val="auto"/>
              </w:rPr>
              <w:t>Catamaran CLO 2014-2 Ltd.</w:t>
            </w:r>
            <w:r>
              <w:rPr>
                <w:rFonts w:ascii="Arial" w:cs="Arial" w:eastAsia="Arial" w:hAnsi="Arial"/>
                <w:sz w:val="28"/>
                <w:szCs w:val="28"/>
                <w:color w:val="auto"/>
                <w:vertAlign w:val="superscript"/>
              </w:rPr>
              <w:t>3, 6</w:t>
            </w: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Subordinated Notes, effective</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520" w:type="dxa"/>
            <w:vAlign w:val="bottom"/>
            <w:gridSpan w:val="3"/>
          </w:tcPr>
          <w:p>
            <w:pPr>
              <w:ind w:left="120"/>
              <w:spacing w:after="0"/>
              <w:rPr>
                <w:sz w:val="20"/>
                <w:szCs w:val="20"/>
                <w:color w:val="auto"/>
              </w:rPr>
            </w:pPr>
            <w:r>
              <w:rPr>
                <w:rFonts w:ascii="Arial" w:cs="Arial" w:eastAsia="Arial" w:hAnsi="Arial"/>
                <w:sz w:val="18"/>
                <w:szCs w:val="18"/>
                <w:color w:val="auto"/>
              </w:rPr>
              <w:t>interest 7.2%, 10/26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8,847,407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7,763,580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Catamaran CLO 2015-1 Ltd.</w:t>
            </w:r>
            <w:r>
              <w:rPr>
                <w:rFonts w:ascii="Arial" w:cs="Arial" w:eastAsia="Arial" w:hAnsi="Arial"/>
                <w:sz w:val="28"/>
                <w:szCs w:val="28"/>
                <w:color w:val="auto"/>
                <w:vertAlign w:val="superscript"/>
              </w:rPr>
              <w:t>3, 6</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 effective</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1"/>
                <w:szCs w:val="21"/>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9.9%, 4/27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12,132,538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9,531,720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Subordinated Securities</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92,228,942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73,078,455</w:t>
            </w:r>
          </w:p>
        </w:tc>
        <w:tc>
          <w:tcPr>
            <w:tcW w:w="0" w:type="dxa"/>
            <w:vAlign w:val="bottom"/>
          </w:tcPr>
          <w:p>
            <w:pPr>
              <w:spacing w:after="0"/>
              <w:rPr>
                <w:sz w:val="1"/>
                <w:szCs w:val="1"/>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w:t>
            </w: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Catamaran CLO 2012-1 Ltd.</w:t>
            </w:r>
            <w:r>
              <w:rPr>
                <w:rFonts w:ascii="Arial" w:cs="Arial" w:eastAsia="Arial" w:hAnsi="Arial"/>
                <w:sz w:val="22"/>
                <w:szCs w:val="22"/>
                <w:color w:val="auto"/>
                <w:vertAlign w:val="superscript"/>
              </w:rPr>
              <w:t>3, 6</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Float - 12/2023 - F -</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14889CAE0 Par Value of</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$4,500,000 Due 12/23</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3,949,318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5"/>
                <w:szCs w:val="15"/>
                <w:color w:val="auto"/>
              </w:rPr>
              <w:t>Catamaran CLO 2014-1 Ltd.</w:t>
            </w:r>
            <w:r>
              <w:rPr>
                <w:rFonts w:ascii="Arial" w:cs="Arial" w:eastAsia="Arial" w:hAnsi="Arial"/>
                <w:sz w:val="23"/>
                <w:szCs w:val="23"/>
                <w:color w:val="auto"/>
                <w:vertAlign w:val="superscript"/>
              </w:rPr>
              <w:t>3, 6</w:t>
            </w:r>
          </w:p>
        </w:tc>
        <w:tc>
          <w:tcPr>
            <w:tcW w:w="25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Float - 04/2026 - E -</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ind w:left="180"/>
              <w:spacing w:after="0"/>
              <w:rPr>
                <w:sz w:val="20"/>
                <w:szCs w:val="20"/>
                <w:color w:val="auto"/>
              </w:rPr>
            </w:pPr>
            <w:r>
              <w:rPr>
                <w:rFonts w:ascii="Arial" w:cs="Arial" w:eastAsia="Arial" w:hAnsi="Arial"/>
                <w:sz w:val="18"/>
                <w:szCs w:val="18"/>
                <w:color w:val="auto"/>
              </w:rPr>
              <w:t>14889FAC7 Par Value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ind w:left="180"/>
              <w:spacing w:after="0"/>
              <w:rPr>
                <w:sz w:val="20"/>
                <w:szCs w:val="20"/>
                <w:color w:val="auto"/>
              </w:rPr>
            </w:pPr>
            <w:r>
              <w:rPr>
                <w:rFonts w:ascii="Arial" w:cs="Arial" w:eastAsia="Arial" w:hAnsi="Arial"/>
                <w:sz w:val="18"/>
                <w:szCs w:val="18"/>
                <w:color w:val="auto"/>
              </w:rPr>
              <w:t>$1,525,000 Due 4/26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1,422,789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Total Investment in CLO Rated-Note</w:t>
            </w: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5,372,107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5,370,000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tcPr>
          <w:p>
            <w:pPr>
              <w:spacing w:after="0" w:line="198" w:lineRule="exact"/>
              <w:rPr>
                <w:sz w:val="20"/>
                <w:szCs w:val="20"/>
                <w:color w:val="auto"/>
              </w:rPr>
            </w:pPr>
            <w:r>
              <w:rPr>
                <w:rFonts w:ascii="Arial" w:cs="Arial" w:eastAsia="Arial" w:hAnsi="Arial"/>
                <w:sz w:val="18"/>
                <w:szCs w:val="18"/>
                <w:b w:val="1"/>
                <w:bCs w:val="1"/>
                <w:color w:val="auto"/>
              </w:rPr>
              <w:t>Total Investment in CLO Fund Securities</w:t>
            </w: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60" w:type="dxa"/>
            <w:vAlign w:val="bottom"/>
          </w:tcPr>
          <w:p>
            <w:pPr>
              <w:ind w:left="160"/>
              <w:spacing w:after="0"/>
              <w:rPr>
                <w:sz w:val="20"/>
                <w:szCs w:val="20"/>
                <w:color w:val="auto"/>
              </w:rPr>
            </w:pPr>
            <w:r>
              <w:rPr>
                <w:rFonts w:ascii="Arial" w:cs="Arial" w:eastAsia="Arial" w:hAnsi="Arial"/>
                <w:sz w:val="18"/>
                <w:szCs w:val="18"/>
                <w:b w:val="1"/>
                <w:bCs w:val="1"/>
                <w:color w:val="auto"/>
              </w:rPr>
              <w:t>(30% of net asset value at fair value)</w:t>
            </w: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97,601,049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78,448,455</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Asset Manager Affiliates</w:t>
      </w:r>
    </w:p>
    <w:p>
      <w:pPr>
        <w:spacing w:after="0" w:line="200" w:lineRule="exact"/>
        <w:rPr>
          <w:sz w:val="20"/>
          <w:szCs w:val="20"/>
          <w:color w:val="auto"/>
        </w:rPr>
      </w:pPr>
    </w:p>
    <w:p>
      <w:pPr>
        <w:spacing w:after="0" w:line="241" w:lineRule="exact"/>
        <w:rPr>
          <w:sz w:val="20"/>
          <w:szCs w:val="20"/>
          <w:color w:val="auto"/>
        </w:rPr>
      </w:pPr>
    </w:p>
    <w:p>
      <w:pPr>
        <w:ind w:right="820"/>
        <w:spacing w:after="0" w:line="333" w:lineRule="auto"/>
        <w:rPr>
          <w:sz w:val="20"/>
          <w:szCs w:val="20"/>
          <w:color w:val="auto"/>
        </w:rPr>
      </w:pPr>
      <w:r>
        <w:rPr>
          <w:rFonts w:ascii="Arial" w:cs="Arial" w:eastAsia="Arial" w:hAnsi="Arial"/>
          <w:sz w:val="17"/>
          <w:szCs w:val="17"/>
          <w:b w:val="1"/>
          <w:bCs w:val="1"/>
          <w:color w:val="auto"/>
        </w:rPr>
        <w:t xml:space="preserve">Portfolio Company / Principal Business </w:t>
      </w:r>
      <w:r>
        <w:rPr>
          <w:rFonts w:ascii="Arial" w:cs="Arial" w:eastAsia="Arial" w:hAnsi="Arial"/>
          <w:sz w:val="17"/>
          <w:szCs w:val="17"/>
          <w:color w:val="auto"/>
        </w:rPr>
        <w:t>Asset Manager Affiliates</w:t>
      </w:r>
      <w:r>
        <w:rPr>
          <w:rFonts w:ascii="Arial" w:cs="Arial" w:eastAsia="Arial" w:hAnsi="Arial"/>
          <w:sz w:val="27"/>
          <w:szCs w:val="27"/>
          <w:color w:val="auto"/>
          <w:vertAlign w:val="superscript"/>
        </w:rPr>
        <w:t>9, 12</w:t>
      </w:r>
    </w:p>
    <w:p>
      <w:pPr>
        <w:spacing w:after="0" w:line="41" w:lineRule="exact"/>
        <w:rPr>
          <w:sz w:val="20"/>
          <w:szCs w:val="20"/>
          <w:color w:val="auto"/>
        </w:rPr>
      </w:pPr>
    </w:p>
    <w:p>
      <w:pPr>
        <w:ind w:left="180" w:right="420" w:hanging="161"/>
        <w:spacing w:after="0" w:line="347" w:lineRule="auto"/>
        <w:rPr>
          <w:sz w:val="20"/>
          <w:szCs w:val="20"/>
          <w:color w:val="auto"/>
        </w:rPr>
      </w:pPr>
      <w:r>
        <w:rPr>
          <w:rFonts w:ascii="Arial" w:cs="Arial" w:eastAsia="Arial" w:hAnsi="Arial"/>
          <w:sz w:val="16"/>
          <w:szCs w:val="16"/>
          <w:b w:val="1"/>
          <w:bCs w:val="1"/>
          <w:color w:val="auto"/>
        </w:rPr>
        <w:t>Total Investment in Asset Manager Affiliates (29% of net asset value at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 Deposits and Money Market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Percentage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Ownership</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20" w:type="dxa"/>
            <w:vAlign w:val="bottom"/>
            <w:gridSpan w:val="3"/>
          </w:tcPr>
          <w:p>
            <w:pPr>
              <w:ind w:left="120"/>
              <w:spacing w:after="0"/>
              <w:rPr>
                <w:sz w:val="20"/>
                <w:szCs w:val="20"/>
                <w:color w:val="auto"/>
              </w:rPr>
            </w:pPr>
            <w:r>
              <w:rPr>
                <w:rFonts w:ascii="Arial" w:cs="Arial" w:eastAsia="Arial" w:hAnsi="Arial"/>
                <w:sz w:val="18"/>
                <w:szCs w:val="18"/>
                <w:color w:val="auto"/>
              </w:rPr>
              <w:t>Asset Management Company</w:t>
            </w: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100.0%  $</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99"/>
              </w:rPr>
              <w:t>57,942,090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73,737,000</w:t>
            </w: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57,942,090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73,737,000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-290830</wp:posOffset>
            </wp:positionV>
            <wp:extent cx="7246620" cy="283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-625475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60" w:lineRule="exact"/>
        <w:rPr>
          <w:sz w:val="20"/>
          <w:szCs w:val="20"/>
          <w:color w:val="auto"/>
        </w:rPr>
      </w:pPr>
    </w:p>
    <w:p>
      <w:pPr>
        <w:sectPr>
          <w:pgSz w:w="11900" w:h="16838" w:orient="portrait"/>
          <w:cols w:equalWidth="0" w:num="2">
            <w:col w:w="3860" w:space="720"/>
            <w:col w:w="684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345"/>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Time Deposit and Money Market Accounts</w:t>
            </w:r>
          </w:p>
        </w:tc>
        <w:tc>
          <w:tcPr>
            <w:tcW w:w="10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Yield</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Par /Amortized Cost</w:t>
            </w:r>
          </w:p>
        </w:tc>
        <w:tc>
          <w:tcPr>
            <w:tcW w:w="14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JP Morgan Business Money Market Account</w:t>
            </w:r>
            <w:r>
              <w:rPr>
                <w:rFonts w:ascii="Arial" w:cs="Arial" w:eastAsia="Arial" w:hAnsi="Arial"/>
                <w:sz w:val="28"/>
                <w:szCs w:val="28"/>
                <w:color w:val="auto"/>
                <w:vertAlign w:val="superscript"/>
              </w:rPr>
              <w:t>8, 9</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249,184</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9</w:t>
            </w:r>
          </w:p>
        </w:tc>
        <w:tc>
          <w:tcPr>
            <w:tcW w:w="10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4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16,208,632</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16,208,632</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40" w:type="dxa"/>
            <w:vAlign w:val="bottom"/>
            <w:gridSpan w:val="2"/>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80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Time Deposit and Money Market Accounts</w:t>
            </w: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(6% of net asset value at fair value)</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16,457,816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16,457,816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4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29"/>
                <w:szCs w:val="29"/>
                <w:b w:val="1"/>
                <w:bCs w:val="1"/>
                <w:color w:val="auto"/>
                <w:vertAlign w:val="superscript"/>
              </w:rPr>
              <w:t>4</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(184% of net asset value at fair value)</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482,425,123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474,100,660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9" w:name="page20"/>
    <w:bookmarkEnd w:id="19"/>
    <w:p>
      <w:pPr>
        <w:ind w:left="332" w:hanging="332"/>
        <w:spacing w:after="0" w:line="238" w:lineRule="auto"/>
        <w:tabs>
          <w:tab w:leader="none" w:pos="332"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w:t>
      </w:r>
    </w:p>
    <w:p>
      <w:pPr>
        <w:spacing w:after="0" w:line="1" w:lineRule="exact"/>
        <w:rPr>
          <w:sz w:val="20"/>
          <w:szCs w:val="20"/>
          <w:color w:val="auto"/>
        </w:rPr>
      </w:pPr>
    </w:p>
    <w:p>
      <w:pPr>
        <w:ind w:left="332" w:right="80"/>
        <w:spacing w:after="0" w:line="250" w:lineRule="auto"/>
        <w:rPr>
          <w:sz w:val="20"/>
          <w:szCs w:val="20"/>
          <w:color w:val="auto"/>
        </w:rPr>
      </w:pPr>
      <w:r>
        <w:rPr>
          <w:rFonts w:ascii="Arial" w:cs="Arial" w:eastAsia="Arial" w:hAnsi="Arial"/>
          <w:sz w:val="18"/>
          <w:szCs w:val="18"/>
          <w:color w:val="auto"/>
        </w:rPr>
        <w:t>weighted average annual stated interest rate in effect at June 30, 2015. As noted in the table above, 81% (based on par) of debt securities contain LIBOR floors which range between .75% and 3.00%.</w:t>
      </w:r>
    </w:p>
    <w:p>
      <w:pPr>
        <w:ind w:left="332" w:hanging="332"/>
        <w:spacing w:after="0" w:line="181" w:lineRule="auto"/>
        <w:tabs>
          <w:tab w:leader="none" w:pos="332"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June 30, 2015, as determined by the Company’s Board of Directors.</w:t>
      </w:r>
    </w:p>
    <w:p>
      <w:pPr>
        <w:ind w:left="332" w:hanging="332"/>
        <w:spacing w:after="0" w:line="180" w:lineRule="auto"/>
        <w:tabs>
          <w:tab w:leader="none" w:pos="332"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spacing w:after="0" w:line="2" w:lineRule="exact"/>
        <w:rPr>
          <w:sz w:val="20"/>
          <w:szCs w:val="20"/>
          <w:color w:val="auto"/>
        </w:rPr>
      </w:pPr>
    </w:p>
    <w:p>
      <w:pPr>
        <w:ind w:left="332" w:right="640" w:hanging="332"/>
        <w:spacing w:after="0" w:line="214" w:lineRule="auto"/>
        <w:tabs>
          <w:tab w:leader="none" w:pos="332"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The aggregate cost of investments for federal income tax purposes is approximately $500 million. The aggregate gross unrealized appreciation is approximately $20 million, the aggregate gross unrealized depreciation is approximately $45 million, and the net unrealized depreciation is</w:t>
      </w:r>
    </w:p>
    <w:p>
      <w:pPr>
        <w:ind w:left="332"/>
        <w:spacing w:after="0"/>
        <w:rPr>
          <w:sz w:val="20"/>
          <w:szCs w:val="20"/>
          <w:color w:val="auto"/>
        </w:rPr>
      </w:pPr>
      <w:r>
        <w:rPr>
          <w:rFonts w:ascii="Arial" w:cs="Arial" w:eastAsia="Arial" w:hAnsi="Arial"/>
          <w:sz w:val="18"/>
          <w:szCs w:val="18"/>
          <w:color w:val="auto"/>
        </w:rPr>
        <w:t>approximately $25 million.</w:t>
      </w:r>
    </w:p>
    <w:p>
      <w:pPr>
        <w:ind w:left="332" w:hanging="332"/>
        <w:spacing w:after="0" w:line="180" w:lineRule="auto"/>
        <w:tabs>
          <w:tab w:leader="none" w:pos="332"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Non-income producing.</w:t>
      </w:r>
    </w:p>
    <w:p>
      <w:pPr>
        <w:ind w:left="332" w:hanging="332"/>
        <w:spacing w:after="0" w:line="181" w:lineRule="auto"/>
        <w:tabs>
          <w:tab w:leader="none" w:pos="332"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332" w:hanging="332"/>
        <w:spacing w:after="0" w:line="180" w:lineRule="auto"/>
        <w:tabs>
          <w:tab w:leader="none" w:pos="332"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332" w:hanging="332"/>
        <w:spacing w:after="0" w:line="180" w:lineRule="auto"/>
        <w:tabs>
          <w:tab w:leader="none" w:pos="332"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332" w:hanging="332"/>
        <w:spacing w:after="0" w:line="181" w:lineRule="auto"/>
        <w:tabs>
          <w:tab w:leader="none" w:pos="332"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ind w:left="332" w:hanging="332"/>
        <w:spacing w:after="0" w:line="180" w:lineRule="auto"/>
        <w:tabs>
          <w:tab w:leader="none" w:pos="332"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As of June 30, 2015, this CLO Fund Security was not providing a taxable distribution.</w:t>
      </w:r>
    </w:p>
    <w:p>
      <w:pPr>
        <w:spacing w:after="0" w:line="2" w:lineRule="exact"/>
        <w:rPr>
          <w:rFonts w:ascii="Arial" w:cs="Arial" w:eastAsia="Arial" w:hAnsi="Arial"/>
          <w:sz w:val="25"/>
          <w:szCs w:val="25"/>
          <w:color w:val="auto"/>
          <w:vertAlign w:val="superscript"/>
        </w:rPr>
      </w:pPr>
    </w:p>
    <w:p>
      <w:pPr>
        <w:ind w:left="332" w:hanging="332"/>
        <w:spacing w:after="0" w:line="186" w:lineRule="auto"/>
        <w:tabs>
          <w:tab w:leader="none" w:pos="332"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As of June 30, 2015, this investment is owned by KCAP Senior Funding I, LLC and was pledged to secure KCAP Senior Funding I, LLC’s obligation.</w:t>
      </w:r>
    </w:p>
    <w:p>
      <w:pPr>
        <w:spacing w:after="0" w:line="2" w:lineRule="exact"/>
        <w:rPr>
          <w:rFonts w:ascii="Arial" w:cs="Arial" w:eastAsia="Arial" w:hAnsi="Arial"/>
          <w:sz w:val="24"/>
          <w:szCs w:val="24"/>
          <w:color w:val="auto"/>
          <w:vertAlign w:val="superscript"/>
        </w:rPr>
      </w:pPr>
    </w:p>
    <w:p>
      <w:pPr>
        <w:ind w:left="332" w:right="220" w:hanging="332"/>
        <w:spacing w:after="0" w:line="214" w:lineRule="auto"/>
        <w:tabs>
          <w:tab w:leader="none" w:pos="33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1" w:lineRule="exact"/>
        <w:rPr>
          <w:rFonts w:ascii="Arial" w:cs="Arial" w:eastAsia="Arial" w:hAnsi="Arial"/>
          <w:sz w:val="30"/>
          <w:szCs w:val="30"/>
          <w:color w:val="auto"/>
          <w:vertAlign w:val="superscript"/>
        </w:rPr>
      </w:pPr>
    </w:p>
    <w:p>
      <w:pPr>
        <w:ind w:left="332" w:hanging="332"/>
        <w:spacing w:after="0" w:line="180" w:lineRule="auto"/>
        <w:tabs>
          <w:tab w:leader="none" w:pos="332"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Non-voting.</w:t>
      </w:r>
    </w:p>
    <w:p>
      <w:pPr>
        <w:spacing w:after="0" w:line="2" w:lineRule="exact"/>
        <w:rPr>
          <w:rFonts w:ascii="Arial" w:cs="Arial" w:eastAsia="Arial" w:hAnsi="Arial"/>
          <w:sz w:val="25"/>
          <w:szCs w:val="25"/>
          <w:color w:val="auto"/>
          <w:vertAlign w:val="superscript"/>
        </w:rPr>
      </w:pPr>
    </w:p>
    <w:p>
      <w:pPr>
        <w:jc w:val="both"/>
        <w:ind w:left="332" w:right="180" w:hanging="332"/>
        <w:spacing w:after="0" w:line="214" w:lineRule="auto"/>
        <w:tabs>
          <w:tab w:leader="none" w:pos="33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30"/>
          <w:szCs w:val="30"/>
          <w:color w:val="auto"/>
          <w:vertAlign w:val="superscript"/>
        </w:rPr>
      </w:pPr>
    </w:p>
    <w:p>
      <w:pPr>
        <w:ind w:left="332" w:hanging="332"/>
        <w:spacing w:after="0" w:line="180" w:lineRule="auto"/>
        <w:tabs>
          <w:tab w:leader="none" w:pos="332"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Transaction has been called.</w:t>
      </w: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81" w:right="25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4L Technologies Inc. (fka Clover Holdings, Inc.)</w:t>
      </w:r>
      <w:r>
        <w:rPr>
          <w:rFonts w:ascii="Arial" w:cs="Arial" w:eastAsia="Arial" w:hAnsi="Arial"/>
          <w:sz w:val="26"/>
          <w:szCs w:val="26"/>
          <w:color w:val="auto"/>
          <w:vertAlign w:val="superscript"/>
        </w:rPr>
        <w:t>9, 11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Advanced Lighting Technologies,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Alaska Communications Systems Holdings, Inc.</w:t>
      </w:r>
      <w:r>
        <w:rPr>
          <w:rFonts w:ascii="Arial" w:cs="Arial" w:eastAsia="Arial" w:hAnsi="Arial"/>
          <w:sz w:val="26"/>
          <w:szCs w:val="26"/>
          <w:color w:val="auto"/>
          <w:vertAlign w:val="superscript"/>
        </w:rPr>
        <w:t>9, 11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Alere Inc. (fka IM US Holdings, LLC)</w:t>
      </w:r>
      <w:r>
        <w:rPr>
          <w:rFonts w:ascii="Arial" w:cs="Arial" w:eastAsia="Arial" w:hAnsi="Arial"/>
          <w:sz w:val="30"/>
          <w:szCs w:val="30"/>
          <w:color w:val="auto"/>
          <w:vertAlign w:val="superscript"/>
        </w:rPr>
        <w:t>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AmSurg Corp.</w:t>
      </w:r>
      <w:r>
        <w:rPr>
          <w:rFonts w:ascii="Arial" w:cs="Arial" w:eastAsia="Arial" w:hAnsi="Arial"/>
          <w:sz w:val="30"/>
          <w:szCs w:val="30"/>
          <w:color w:val="auto"/>
          <w:vertAlign w:val="superscript"/>
        </w:rPr>
        <w:t>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Anaren,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Asurion, LLC (fka Asurion Corporation)</w:t>
      </w:r>
      <w:r>
        <w:rPr>
          <w:rFonts w:ascii="Arial" w:cs="Arial" w:eastAsia="Arial" w:hAnsi="Arial"/>
          <w:sz w:val="30"/>
          <w:szCs w:val="30"/>
          <w:color w:val="auto"/>
          <w:vertAlign w:val="superscript"/>
        </w:rPr>
        <w:t>9, 11</w:t>
      </w:r>
    </w:p>
    <w:p>
      <w:pPr>
        <w:spacing w:after="0" w:line="200" w:lineRule="exact"/>
        <w:rPr>
          <w:sz w:val="20"/>
          <w:szCs w:val="20"/>
          <w:color w:val="auto"/>
        </w:rPr>
      </w:pPr>
    </w:p>
    <w:p>
      <w:pPr>
        <w:spacing w:after="0" w:line="3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Banking, Finance, Insurance &amp; Real Estate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AZ Chem US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Chemicals, Plastics and Rubber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Bankruptcy Management Solutions, Inc.</w:t>
      </w:r>
      <w:r>
        <w:rPr>
          <w:rFonts w:ascii="Arial" w:cs="Arial" w:eastAsia="Arial" w:hAnsi="Arial"/>
          <w:sz w:val="30"/>
          <w:szCs w:val="30"/>
          <w:color w:val="auto"/>
          <w:vertAlign w:val="superscript"/>
        </w:rPr>
        <w:t>9</w:t>
      </w:r>
    </w:p>
    <w:p>
      <w:pPr>
        <w:spacing w:after="0" w:line="3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As of December 31, 2014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1"/>
        </w:trPr>
        <w:tc>
          <w:tcPr>
            <w:tcW w:w="230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10"/>
              <w:spacing w:after="0" w:line="271" w:lineRule="exact"/>
              <w:rPr>
                <w:sz w:val="20"/>
                <w:szCs w:val="20"/>
                <w:color w:val="auto"/>
              </w:rPr>
            </w:pPr>
            <w:r>
              <w:rPr>
                <w:rFonts w:ascii="Arial" w:cs="Arial" w:eastAsia="Arial" w:hAnsi="Arial"/>
                <w:sz w:val="18"/>
                <w:szCs w:val="18"/>
                <w:b w:val="1"/>
                <w:bCs w:val="1"/>
                <w:color w:val="auto"/>
                <w:w w:val="92"/>
              </w:rPr>
              <w:t>Fair Value</w:t>
            </w:r>
            <w:r>
              <w:rPr>
                <w:rFonts w:ascii="Arial" w:cs="Arial" w:eastAsia="Arial" w:hAnsi="Arial"/>
                <w:sz w:val="30"/>
                <w:szCs w:val="30"/>
                <w:color w:val="auto"/>
                <w:w w:val="92"/>
                <w:vertAlign w:val="superscript"/>
              </w:rPr>
              <w:t>2</w:t>
            </w: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Senior Secured Loan — Term</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2,793,000</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2,768,057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2,723,175</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First Lien Bond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10.5% Cash, Due 6/19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2,962,507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2,580,000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7.5%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7/22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1,002,384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992,000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6.3% Cash, 1.5%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10/16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5,200,227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5,193,935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5,200,227</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Senior Secured Loan — B</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4.3%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6/17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2,992,277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2,988,629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2,972,947</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3.8% Cash, 0.8%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2,992,481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2,992,481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2,975,020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2/21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1,980,000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1,962,587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1,955,250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3"/>
              </w:rPr>
              <w:t>Incremental Tranche B-1 Term</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5.0% Cash, 1.3%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5/19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1,917,430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1,932,331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1,896,549</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6/21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467,123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464,966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457,977</w:t>
            </w:r>
          </w:p>
        </w:tc>
      </w:tr>
      <w:tr>
        <w:trPr>
          <w:trHeight w:val="193"/>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5"/>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B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7.0%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Due 6/18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700,227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700,227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624,463</w:t>
            </w:r>
          </w:p>
        </w:tc>
      </w:tr>
      <w:tr>
        <w:trPr>
          <w:trHeight w:val="648"/>
        </w:trPr>
        <w:tc>
          <w:tcPr>
            <w:tcW w:w="2300" w:type="dxa"/>
            <w:vAlign w:val="bottom"/>
            <w:gridSpan w:val="2"/>
          </w:tcPr>
          <w:p>
            <w:pPr>
              <w:ind w:left="9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-6534150</wp:posOffset>
            </wp:positionV>
            <wp:extent cx="7246620" cy="300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-6096635</wp:posOffset>
            </wp:positionV>
            <wp:extent cx="7246620" cy="5746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-5384800</wp:posOffset>
            </wp:positionV>
            <wp:extent cx="7246620" cy="574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-4672965</wp:posOffset>
            </wp:positionV>
            <wp:extent cx="7246620" cy="5746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-3961130</wp:posOffset>
            </wp:positionV>
            <wp:extent cx="7246620" cy="5746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-3249295</wp:posOffset>
            </wp:positionV>
            <wp:extent cx="7246620" cy="5746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-2538095</wp:posOffset>
            </wp:positionV>
            <wp:extent cx="7246620" cy="7118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71183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-1689100</wp:posOffset>
            </wp:positionV>
            <wp:extent cx="7246620" cy="5746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-977265</wp:posOffset>
            </wp:positionV>
            <wp:extent cx="7246620" cy="5657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56578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-7254240</wp:posOffset>
            </wp:positionV>
            <wp:extent cx="7246620" cy="5829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820" w:space="580"/>
            <w:col w:w="6920"/>
          </w:cols>
          <w:pgMar w:left="240" w:top="87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BarBri, Inc. (Gemini Holdings, Inc.)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2,872,500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2,861,557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BBB Industries US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11/21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2,941,316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Bellisio Foods, Inc. </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8"/>
              </w:rPr>
              <w:t>Senior Secured Loan — U.S.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B Loans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2,239,551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2,230,586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Blue Coat Systems,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Senior Secured Loan — New</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468,971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Carolina Beverage Group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Bond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10.6% Cash, Due 8/18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1,515,584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CCS Intermediate Holdings,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2,978,364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Cengage Learning Acquisitions, Inc. (fka TL Acquisitions,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Inc.)</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3/20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2,987,475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2,980,768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Charter Communications Operating, LLC (aka CCO Safari</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LLC)</w:t>
            </w:r>
            <w:r>
              <w:rPr>
                <w:rFonts w:ascii="Arial" w:cs="Arial" w:eastAsia="Arial" w:hAnsi="Arial"/>
                <w:sz w:val="25"/>
                <w:szCs w:val="25"/>
                <w:color w:val="auto"/>
                <w:vertAlign w:val="superscript"/>
              </w:rPr>
              <w:t>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4.3% Cash, 0.8%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3,022,408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3,022,980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Checkout Holding Corp.</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990,534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Consolidated Communications,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4.3%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2,992,443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3,003,588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2,976,538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CRGT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Crowley Holdings Preferred,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Preferred Stock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 Cash, 2.0% PIK, Due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10,206,016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10,206,016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10,418,302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Crowne Group, LLC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3,990,000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3,932,506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3,838,779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CSM Bakery Solutions Limited (fka CSM Bakery Supplies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Junior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Limited)</w:t>
            </w:r>
            <w:r>
              <w:rPr>
                <w:rFonts w:ascii="Arial" w:cs="Arial" w:eastAsia="Arial" w:hAnsi="Arial"/>
                <w:sz w:val="25"/>
                <w:szCs w:val="25"/>
                <w:color w:val="auto"/>
                <w:vertAlign w:val="superscript"/>
              </w:rPr>
              <w:t>9</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8.8%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3,016,357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CSM Bakery Solutions Limited (fka CSM Bakery Supplies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Limited)</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2,623,371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2,622,454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2,570,903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CT Technologies Intermediate Holdings, Inc. (Smart Holdings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Corp.)</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2,970,271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2,988,750</w:t>
            </w: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8"/>
          <w:szCs w:val="18"/>
          <w:color w:val="auto"/>
        </w:rPr>
        <w:t>DBI Holding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DBI Holding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DJO Finance LLC (ReAble Therapeutics Fin LLC)</w:t>
      </w:r>
      <w:r>
        <w:rPr>
          <w:rFonts w:ascii="Arial" w:cs="Arial" w:eastAsia="Arial" w:hAnsi="Arial"/>
          <w:sz w:val="26"/>
          <w:szCs w:val="26"/>
          <w:color w:val="auto"/>
          <w:vertAlign w:val="superscript"/>
        </w:rPr>
        <w:t>9, 11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Drew Marine Group Inc.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ELO Touch Solutions,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EWT Holdings III Corp. (fka WTG Holdings III Corp.)</w:t>
      </w:r>
      <w:r>
        <w:rPr>
          <w:rFonts w:ascii="Arial" w:cs="Arial" w:eastAsia="Arial" w:hAnsi="Arial"/>
          <w:sz w:val="28"/>
          <w:szCs w:val="28"/>
          <w:color w:val="auto"/>
          <w:vertAlign w:val="superscript"/>
        </w:rPr>
        <w:t>9</w:t>
      </w: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Fender Musical Instruments Corporation</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FHC Health Systems,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Senior Unsecured Bond — 13.0% PIK, Due 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-293370</wp:posOffset>
            </wp:positionV>
            <wp:extent cx="7246620" cy="300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9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Senior Subordinated Bond — 12.0% Cash, 1.0% PIK, Due 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-424180</wp:posOffset>
            </wp:positionV>
            <wp:extent cx="724662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Loan —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-114300</wp:posOffset>
            </wp:positionV>
            <wp:extent cx="7246620" cy="5746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Tranche B Term Loan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4.3% Cash, 1.0% Libor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9/17</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Junior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-107315</wp:posOffset>
            </wp:positionV>
            <wp:extent cx="7246620" cy="5746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Loan (Second Lien)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8.0% Cash, 1.0% Libor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5/21</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-107315</wp:posOffset>
            </wp:positionV>
            <wp:extent cx="7246620" cy="5746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Loan (First Lien)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8.0% Cash, 1.5% Libor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6/18</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Junior Secured Loan —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-107315</wp:posOffset>
            </wp:positionV>
            <wp:extent cx="7246620" cy="5746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Loan (Second Lien)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8.5% Cash, 1.0% Libor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1/22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Loan —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-107315</wp:posOffset>
            </wp:positionV>
            <wp:extent cx="7246620" cy="5746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5.8% Cash, 1.3% Libor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4/19</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Loan —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-107315</wp:posOffset>
            </wp:positionV>
            <wp:extent cx="7246620" cy="5746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Term Loan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5.0% Cash, 1.0% Libor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12/21</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3,457,795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3,221,771</w:t>
            </w:r>
          </w:p>
        </w:tc>
        <w:tc>
          <w:tcPr>
            <w:tcW w:w="1100" w:type="dxa"/>
            <w:vAlign w:val="bottom"/>
          </w:tcPr>
          <w:p>
            <w:pPr>
              <w:jc w:val="right"/>
              <w:spacing w:after="0"/>
              <w:rPr>
                <w:sz w:val="20"/>
                <w:szCs w:val="20"/>
                <w:color w:val="auto"/>
              </w:rPr>
            </w:pPr>
            <w:r>
              <w:rPr>
                <w:rFonts w:ascii="Arial" w:cs="Arial" w:eastAsia="Arial" w:hAnsi="Arial"/>
                <w:sz w:val="18"/>
                <w:szCs w:val="18"/>
                <w:color w:val="auto"/>
              </w:rPr>
              <w:t>3,386,218</w:t>
            </w:r>
          </w:p>
        </w:tc>
      </w:tr>
      <w:tr>
        <w:trPr>
          <w:trHeight w:val="864"/>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4,314,949</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4,295,544</w:t>
            </w:r>
          </w:p>
        </w:tc>
        <w:tc>
          <w:tcPr>
            <w:tcW w:w="1100" w:type="dxa"/>
            <w:vAlign w:val="bottom"/>
          </w:tcPr>
          <w:p>
            <w:pPr>
              <w:jc w:val="right"/>
              <w:spacing w:after="0"/>
              <w:rPr>
                <w:sz w:val="20"/>
                <w:szCs w:val="20"/>
                <w:color w:val="auto"/>
              </w:rPr>
            </w:pPr>
            <w:r>
              <w:rPr>
                <w:rFonts w:ascii="Arial" w:cs="Arial" w:eastAsia="Arial" w:hAnsi="Arial"/>
                <w:sz w:val="18"/>
                <w:szCs w:val="18"/>
                <w:color w:val="auto"/>
              </w:rPr>
              <w:t>4,240,301</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2,063,574</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2,063,574</w:t>
            </w:r>
          </w:p>
        </w:tc>
        <w:tc>
          <w:tcPr>
            <w:tcW w:w="1100" w:type="dxa"/>
            <w:vAlign w:val="bottom"/>
          </w:tcPr>
          <w:p>
            <w:pPr>
              <w:jc w:val="right"/>
              <w:spacing w:after="0"/>
              <w:rPr>
                <w:sz w:val="20"/>
                <w:szCs w:val="20"/>
                <w:color w:val="auto"/>
              </w:rPr>
            </w:pPr>
            <w:r>
              <w:rPr>
                <w:rFonts w:ascii="Arial" w:cs="Arial" w:eastAsia="Arial" w:hAnsi="Arial"/>
                <w:sz w:val="18"/>
                <w:szCs w:val="18"/>
                <w:color w:val="auto"/>
              </w:rPr>
              <w:t>2,022,303</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2,500,000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2,494,654</w:t>
            </w:r>
          </w:p>
        </w:tc>
        <w:tc>
          <w:tcPr>
            <w:tcW w:w="1100" w:type="dxa"/>
            <w:vAlign w:val="bottom"/>
          </w:tcPr>
          <w:p>
            <w:pPr>
              <w:jc w:val="right"/>
              <w:spacing w:after="0"/>
              <w:rPr>
                <w:sz w:val="20"/>
                <w:szCs w:val="20"/>
                <w:color w:val="auto"/>
              </w:rPr>
            </w:pPr>
            <w:r>
              <w:rPr>
                <w:rFonts w:ascii="Arial" w:cs="Arial" w:eastAsia="Arial" w:hAnsi="Arial"/>
                <w:sz w:val="18"/>
                <w:szCs w:val="18"/>
                <w:color w:val="auto"/>
              </w:rPr>
              <w:t>2,523,250</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1,726,036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1,677,698</w:t>
            </w:r>
          </w:p>
        </w:tc>
        <w:tc>
          <w:tcPr>
            <w:tcW w:w="1100" w:type="dxa"/>
            <w:vAlign w:val="bottom"/>
          </w:tcPr>
          <w:p>
            <w:pPr>
              <w:jc w:val="right"/>
              <w:spacing w:after="0"/>
              <w:rPr>
                <w:sz w:val="20"/>
                <w:szCs w:val="20"/>
                <w:color w:val="auto"/>
              </w:rPr>
            </w:pPr>
            <w:r>
              <w:rPr>
                <w:rFonts w:ascii="Arial" w:cs="Arial" w:eastAsia="Arial" w:hAnsi="Arial"/>
                <w:sz w:val="18"/>
                <w:szCs w:val="18"/>
                <w:color w:val="auto"/>
              </w:rPr>
              <w:t>1,642,496</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4,000,000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3,982,390</w:t>
            </w:r>
          </w:p>
        </w:tc>
        <w:tc>
          <w:tcPr>
            <w:tcW w:w="1100" w:type="dxa"/>
            <w:vAlign w:val="bottom"/>
          </w:tcPr>
          <w:p>
            <w:pPr>
              <w:jc w:val="right"/>
              <w:spacing w:after="0"/>
              <w:rPr>
                <w:sz w:val="20"/>
                <w:szCs w:val="20"/>
                <w:color w:val="auto"/>
              </w:rPr>
            </w:pPr>
            <w:r>
              <w:rPr>
                <w:rFonts w:ascii="Arial" w:cs="Arial" w:eastAsia="Arial" w:hAnsi="Arial"/>
                <w:sz w:val="18"/>
                <w:szCs w:val="18"/>
                <w:color w:val="auto"/>
              </w:rPr>
              <w:t>4,033,200</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2,002,536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2,012,321</w:t>
            </w:r>
          </w:p>
        </w:tc>
        <w:tc>
          <w:tcPr>
            <w:tcW w:w="1100" w:type="dxa"/>
            <w:vAlign w:val="bottom"/>
          </w:tcPr>
          <w:p>
            <w:pPr>
              <w:jc w:val="right"/>
              <w:spacing w:after="0"/>
              <w:rPr>
                <w:sz w:val="20"/>
                <w:szCs w:val="20"/>
                <w:color w:val="auto"/>
              </w:rPr>
            </w:pPr>
            <w:r>
              <w:rPr>
                <w:rFonts w:ascii="Arial" w:cs="Arial" w:eastAsia="Arial" w:hAnsi="Arial"/>
                <w:sz w:val="18"/>
                <w:szCs w:val="18"/>
                <w:color w:val="auto"/>
              </w:rPr>
              <w:t>1,982,110</w:t>
            </w:r>
          </w:p>
        </w:tc>
      </w:tr>
      <w:tr>
        <w:trPr>
          <w:trHeight w:val="1121"/>
        </w:trPr>
        <w:tc>
          <w:tcPr>
            <w:tcW w:w="1080" w:type="dxa"/>
            <w:vAlign w:val="bottom"/>
          </w:tcPr>
          <w:p>
            <w:pPr>
              <w:jc w:val="right"/>
              <w:ind w:right="270"/>
              <w:spacing w:after="0"/>
              <w:rPr>
                <w:sz w:val="20"/>
                <w:szCs w:val="20"/>
                <w:color w:val="auto"/>
              </w:rPr>
            </w:pPr>
            <w:r>
              <w:rPr>
                <w:rFonts w:ascii="Arial" w:cs="Arial" w:eastAsia="Arial" w:hAnsi="Arial"/>
                <w:sz w:val="18"/>
                <w:szCs w:val="18"/>
                <w:color w:val="auto"/>
                <w:w w:val="87"/>
              </w:rPr>
              <w:t>3,407,143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3,373,191</w:t>
            </w:r>
          </w:p>
        </w:tc>
        <w:tc>
          <w:tcPr>
            <w:tcW w:w="1100" w:type="dxa"/>
            <w:vAlign w:val="bottom"/>
          </w:tcPr>
          <w:p>
            <w:pPr>
              <w:jc w:val="right"/>
              <w:spacing w:after="0"/>
              <w:rPr>
                <w:sz w:val="20"/>
                <w:szCs w:val="20"/>
                <w:color w:val="auto"/>
              </w:rPr>
            </w:pPr>
            <w:r>
              <w:rPr>
                <w:rFonts w:ascii="Arial" w:cs="Arial" w:eastAsia="Arial" w:hAnsi="Arial"/>
                <w:sz w:val="18"/>
                <w:szCs w:val="18"/>
                <w:color w:val="auto"/>
              </w:rPr>
              <w:t>3,381,589</w:t>
            </w:r>
          </w:p>
        </w:tc>
      </w:tr>
    </w:tbl>
    <w:p>
      <w:pPr>
        <w:spacing w:after="0" w:line="200" w:lineRule="exact"/>
        <w:rPr>
          <w:sz w:val="20"/>
          <w:szCs w:val="20"/>
          <w:color w:val="auto"/>
        </w:rPr>
      </w:pPr>
    </w:p>
    <w:p>
      <w:pPr>
        <w:sectPr>
          <w:pgSz w:w="11900" w:h="16838" w:orient="portrait"/>
          <w:cols w:equalWidth="0" w:num="3">
            <w:col w:w="4080" w:space="620"/>
            <w:col w:w="2260" w:space="720"/>
            <w:col w:w="3740"/>
          </w:cols>
          <w:pgMar w:left="240" w:top="877"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23" w:name="page24"/>
    <w:bookmarkEnd w:id="23"/>
    <w:p>
      <w:pPr>
        <w:spacing w:after="0" w:line="257" w:lineRule="exact"/>
        <w:rPr>
          <w:sz w:val="20"/>
          <w:szCs w:val="20"/>
          <w:color w:val="auto"/>
        </w:rPr>
      </w:pPr>
    </w:p>
    <w:p>
      <w:pPr>
        <w:ind w:right="940"/>
        <w:spacing w:after="0" w:line="356" w:lineRule="auto"/>
        <w:rPr>
          <w:sz w:val="20"/>
          <w:szCs w:val="20"/>
          <w:color w:val="auto"/>
        </w:rPr>
      </w:pPr>
      <w:r>
        <w:rPr>
          <w:rFonts w:ascii="Arial" w:cs="Arial" w:eastAsia="Arial" w:hAnsi="Arial"/>
          <w:sz w:val="16"/>
          <w:szCs w:val="16"/>
          <w:b w:val="1"/>
          <w:bCs w:val="1"/>
          <w:color w:val="auto"/>
        </w:rPr>
        <w:t xml:space="preserve">Portfolio Company / Principal Business </w:t>
      </w:r>
      <w:r>
        <w:rPr>
          <w:rFonts w:ascii="Arial" w:cs="Arial" w:eastAsia="Arial" w:hAnsi="Arial"/>
          <w:sz w:val="16"/>
          <w:szCs w:val="16"/>
          <w:color w:val="auto"/>
        </w:rPr>
        <w:t>First American Payment Systems, L.P.</w:t>
      </w:r>
      <w:r>
        <w:rPr>
          <w:rFonts w:ascii="Arial" w:cs="Arial" w:eastAsia="Arial" w:hAnsi="Arial"/>
          <w:sz w:val="26"/>
          <w:szCs w:val="26"/>
          <w:color w:val="auto"/>
          <w:vertAlign w:val="superscript"/>
        </w:rPr>
        <w:t>9</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First Data Corporation</w:t>
      </w:r>
      <w:r>
        <w:rPr>
          <w:rFonts w:ascii="Arial" w:cs="Arial" w:eastAsia="Arial" w:hAnsi="Arial"/>
          <w:sz w:val="30"/>
          <w:szCs w:val="30"/>
          <w:color w:val="auto"/>
          <w:vertAlign w:val="superscript"/>
        </w:rPr>
        <w:t>9, 11</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Getty Images, Inc.</w:t>
      </w:r>
      <w:r>
        <w:rPr>
          <w:rFonts w:ascii="Arial" w:cs="Arial" w:eastAsia="Arial" w:hAnsi="Arial"/>
          <w:sz w:val="30"/>
          <w:szCs w:val="30"/>
          <w:color w:val="auto"/>
          <w:vertAlign w:val="superscript"/>
        </w:rPr>
        <w:t>9, 11</w:t>
      </w:r>
    </w:p>
    <w:p>
      <w:pPr>
        <w:spacing w:after="0" w:line="313"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Global Tel*Link Corporation</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Grande Communications Networks LLC</w:t>
      </w:r>
      <w:r>
        <w:rPr>
          <w:rFonts w:ascii="Arial" w:cs="Arial" w:eastAsia="Arial" w:hAnsi="Arial"/>
          <w:sz w:val="26"/>
          <w:szCs w:val="26"/>
          <w:color w:val="auto"/>
          <w:vertAlign w:val="superscript"/>
        </w:rPr>
        <w:t>9, 11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Grifols Worldwide Operations Limited</w:t>
      </w:r>
      <w:r>
        <w:rPr>
          <w:rFonts w:ascii="Arial" w:cs="Arial" w:eastAsia="Arial" w:hAnsi="Arial"/>
          <w:sz w:val="30"/>
          <w:szCs w:val="30"/>
          <w:color w:val="auto"/>
          <w:vertAlign w:val="superscript"/>
        </w:rPr>
        <w:t>11</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Gymboree Corporation., The</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1"/>
        </w:trPr>
        <w:tc>
          <w:tcPr>
            <w:tcW w:w="230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90"/>
              <w:spacing w:after="0" w:line="271" w:lineRule="exact"/>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Junior Secured Loan — Term</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3"/>
              </w:rPr>
              <w:t>10.8% Cash, 1.3%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4/19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2,796,448</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2,759,556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2,782,466</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Senior Secured Loan — 2018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New Dollar 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3.7% Cash, Due 3/18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968,906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982,190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4.8% Cash, 1.3%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4"/>
        </w:trPr>
        <w:tc>
          <w:tcPr>
            <w:tcW w:w="2300" w:type="dxa"/>
            <w:vAlign w:val="bottom"/>
            <w:gridSpan w:val="2"/>
          </w:tcPr>
          <w:p>
            <w:pPr>
              <w:spacing w:after="0"/>
              <w:rPr>
                <w:sz w:val="20"/>
                <w:szCs w:val="20"/>
                <w:color w:val="auto"/>
              </w:rPr>
            </w:pPr>
            <w:r>
              <w:rPr>
                <w:rFonts w:ascii="Arial" w:cs="Arial" w:eastAsia="Arial" w:hAnsi="Arial"/>
                <w:sz w:val="18"/>
                <w:szCs w:val="18"/>
                <w:color w:val="auto"/>
              </w:rPr>
              <w:t>Due 10/19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2,185,164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2,187,551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2,012,165</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9.0% Cash, 1.3%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11/20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3,935,659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3,889,200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3,940,040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3,944,690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3,938,464</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8"/>
              </w:rPr>
              <w:t>Senior Secured Loan — U.S.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Tranche B Term Loam</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3.2% Cash, Due 2/21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2,992,462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2,970,236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2,956,298</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B 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8.5% Cash, 1.5%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1/18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2,947,500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2,911,129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2,947,500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Junior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13.8% Cash, Due 7/18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6,894,754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7,105,000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5.0% Cash, 1.5%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2/18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1,421,105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1,390,786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935,563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-5127625</wp:posOffset>
            </wp:positionV>
            <wp:extent cx="7246620" cy="43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-4552950</wp:posOffset>
            </wp:positionV>
            <wp:extent cx="7246620" cy="557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55753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-3858260</wp:posOffset>
            </wp:positionV>
            <wp:extent cx="7246620" cy="5746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-3146425</wp:posOffset>
            </wp:positionV>
            <wp:extent cx="7246620" cy="5746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-2434590</wp:posOffset>
            </wp:positionV>
            <wp:extent cx="7246620" cy="43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-1860550</wp:posOffset>
            </wp:positionV>
            <wp:extent cx="7246620" cy="5746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-1148715</wp:posOffset>
            </wp:positionV>
            <wp:extent cx="7246620" cy="43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-574040</wp:posOffset>
            </wp:positionV>
            <wp:extent cx="7246620" cy="5746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-5848350</wp:posOffset>
            </wp:positionV>
            <wp:extent cx="7246620" cy="5829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877" w:right="2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Hargray Communications Group, Inc. (HCP Acquisition</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 Initial</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LLC)</w:t>
            </w:r>
            <w:r>
              <w:rPr>
                <w:rFonts w:ascii="Arial" w:cs="Arial" w:eastAsia="Arial" w:hAnsi="Arial"/>
                <w:sz w:val="25"/>
                <w:szCs w:val="25"/>
                <w:color w:val="auto"/>
                <w:vertAlign w:val="superscript"/>
              </w:rPr>
              <w:t>9, 11</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 Loan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5.3% Cash, 1.0% Libor Floor,</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Due 6/19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2,930,662</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2,908,645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2,928,611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Harland Clarke Holdings Corp. (fka Clarke American Corp.)</w:t>
            </w:r>
            <w:r>
              <w:rPr>
                <w:rFonts w:ascii="Arial" w:cs="Arial" w:eastAsia="Arial" w:hAnsi="Arial"/>
                <w:sz w:val="23"/>
                <w:szCs w:val="23"/>
                <w:color w:val="auto"/>
                <w:vertAlign w:val="superscript"/>
              </w:rPr>
              <w:t>9,</w:t>
            </w:r>
          </w:p>
        </w:tc>
        <w:tc>
          <w:tcPr>
            <w:tcW w:w="2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Loan —</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Tranche B-3 Term Loan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7.0% Cash, 1.5% Libor Floor,</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Due 5/18</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7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3,368,750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3,343,813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3,385,594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Harland Clarke Holdings Corp. (fka Clarke American Corp.)</w:t>
            </w:r>
            <w:r>
              <w:rPr>
                <w:rFonts w:ascii="Arial" w:cs="Arial" w:eastAsia="Arial" w:hAnsi="Arial"/>
                <w:sz w:val="23"/>
                <w:szCs w:val="23"/>
                <w:color w:val="auto"/>
                <w:vertAlign w:val="superscript"/>
              </w:rPr>
              <w:t>9,</w:t>
            </w:r>
          </w:p>
        </w:tc>
        <w:tc>
          <w:tcPr>
            <w:tcW w:w="2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Loan —</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Tranche B-4 Term Loan</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6.0% Cash, 1.0% Libor Floor,</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Due 8/19</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7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1,462,500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1,456,384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1,458,661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22</w:t>
            </w: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24" w:name="page25"/>
    <w:bookmarkEnd w:id="24"/>
    <w:p>
      <w:pPr>
        <w:spacing w:after="0" w:line="257" w:lineRule="exact"/>
        <w:rPr>
          <w:sz w:val="20"/>
          <w:szCs w:val="20"/>
          <w:color w:val="auto"/>
        </w:rPr>
      </w:pPr>
    </w:p>
    <w:p>
      <w:pPr>
        <w:ind w:right="1160"/>
        <w:spacing w:after="0" w:line="292" w:lineRule="auto"/>
        <w:rPr>
          <w:sz w:val="20"/>
          <w:szCs w:val="20"/>
          <w:color w:val="auto"/>
        </w:rPr>
      </w:pPr>
      <w:r>
        <w:rPr>
          <w:rFonts w:ascii="Arial" w:cs="Arial" w:eastAsia="Arial" w:hAnsi="Arial"/>
          <w:sz w:val="18"/>
          <w:szCs w:val="18"/>
          <w:b w:val="1"/>
          <w:bCs w:val="1"/>
          <w:color w:val="auto"/>
        </w:rPr>
        <w:t xml:space="preserve">Portfolio Company / Principal Business </w:t>
      </w:r>
      <w:r>
        <w:rPr>
          <w:rFonts w:ascii="Arial" w:cs="Arial" w:eastAsia="Arial" w:hAnsi="Arial"/>
          <w:sz w:val="18"/>
          <w:szCs w:val="18"/>
          <w:color w:val="auto"/>
        </w:rPr>
        <w:t>Hoffmaster Group, Inc.</w:t>
      </w:r>
      <w:r>
        <w:rPr>
          <w:rFonts w:ascii="Arial" w:cs="Arial" w:eastAsia="Arial" w:hAnsi="Arial"/>
          <w:sz w:val="30"/>
          <w:szCs w:val="30"/>
          <w:color w:val="auto"/>
          <w:vertAlign w:val="superscript"/>
        </w:rPr>
        <w:t>9</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Forest Products &amp; Paper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Hoffmaster Group,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Forest Products &amp; Paper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Hunter Defense Technologies,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Integra Telecom Holdings,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Architectural Products, Inc.</w:t>
      </w:r>
      <w:r>
        <w:rPr>
          <w:rFonts w:ascii="Arial" w:cs="Arial" w:eastAsia="Arial" w:hAnsi="Arial"/>
          <w:sz w:val="30"/>
          <w:szCs w:val="30"/>
          <w:color w:val="auto"/>
          <w:vertAlign w:val="superscript"/>
        </w:rPr>
        <w:t>7, 9</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Metals &amp; Mining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Kellermeyer Bergensons Services, LLC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Key Safety Systems,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Kinetic Concepts,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Landslide Holdings, Inc. (Crimson Acquisition Corp.)</w:t>
      </w:r>
      <w:r>
        <w:rPr>
          <w:rFonts w:ascii="Arial" w:cs="Arial" w:eastAsia="Arial" w:hAnsi="Arial"/>
          <w:sz w:val="26"/>
          <w:szCs w:val="26"/>
          <w:color w:val="auto"/>
          <w:vertAlign w:val="superscript"/>
        </w:rPr>
        <w:t>9, 11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MB Aerospace ACP Holdings III Corp.</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 General, Inc.</w:t>
      </w:r>
      <w:r>
        <w:rPr>
          <w:rFonts w:ascii="Arial" w:cs="Arial" w:eastAsia="Arial" w:hAnsi="Arial"/>
          <w:sz w:val="30"/>
          <w:szCs w:val="30"/>
          <w:color w:val="auto"/>
          <w:vertAlign w:val="superscript"/>
        </w:rPr>
        <w:t>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Medical Specialties Distributors, LLC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1"/>
        </w:trPr>
        <w:tc>
          <w:tcPr>
            <w:tcW w:w="230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90"/>
              <w:spacing w:after="0" w:line="271" w:lineRule="exact"/>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Junior Secured Loan — Initial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3"/>
              </w:rPr>
              <w:t>10.0%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5/21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1,972,727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1,999,000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5.3%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3,980,000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3,944,324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3,943,523</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6.5%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8/19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2,962,500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2,934,961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2,988,866</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B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5.3% Cash, 1.3%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2/19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2,992,386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2,981,164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2,919,461</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5/15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247,636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6.0%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10/21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1,980,432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1,990,000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4.8%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1,496,250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1,489,134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1,488,769</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3"/>
              </w:rPr>
              <w:t>Senior Secured Loan — Dollar</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E-1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4.0%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5/18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2,992,443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2,984,962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2,956,279</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7"/>
              </w:rPr>
              <w:t>Senior Secured Loan — New</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5.0%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2/20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3,456,381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3,464,859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3,451,197</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3"/>
              </w:rPr>
              <w:t>Senior Secured Loan — Dollar</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5.0%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5/19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3,940,000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3,910,979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3,939,212</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B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4.3%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7/20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3,003,750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2,972,805</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6.5%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12/19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3,960,000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3,927,435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3,804,372</w:t>
            </w:r>
          </w:p>
        </w:tc>
      </w:tr>
      <w:tr>
        <w:trPr>
          <w:trHeight w:val="648"/>
        </w:trPr>
        <w:tc>
          <w:tcPr>
            <w:tcW w:w="2300" w:type="dxa"/>
            <w:vAlign w:val="bottom"/>
            <w:gridSpan w:val="2"/>
          </w:tcPr>
          <w:p>
            <w:pPr>
              <w:ind w:left="9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-7966075</wp:posOffset>
            </wp:positionV>
            <wp:extent cx="7246620" cy="5746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-7254240</wp:posOffset>
            </wp:positionV>
            <wp:extent cx="7246620" cy="5746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-6542405</wp:posOffset>
            </wp:positionV>
            <wp:extent cx="7246620" cy="5746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-5831205</wp:posOffset>
            </wp:positionV>
            <wp:extent cx="7246620" cy="43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-5256530</wp:posOffset>
            </wp:positionV>
            <wp:extent cx="7246620" cy="5746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-4544695</wp:posOffset>
            </wp:positionV>
            <wp:extent cx="7246620" cy="5746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-3832860</wp:posOffset>
            </wp:positionV>
            <wp:extent cx="7246620" cy="5746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-3121025</wp:posOffset>
            </wp:positionV>
            <wp:extent cx="7246620" cy="5746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-2409190</wp:posOffset>
            </wp:positionV>
            <wp:extent cx="7246620" cy="5746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-1697355</wp:posOffset>
            </wp:positionV>
            <wp:extent cx="7246620" cy="5746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-985520</wp:posOffset>
            </wp:positionV>
            <wp:extent cx="7246620" cy="5746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-8686800</wp:posOffset>
            </wp:positionV>
            <wp:extent cx="7246620" cy="5829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200" w:space="500"/>
            <w:col w:w="6620"/>
          </w:cols>
          <w:pgMar w:left="240" w:top="87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740" w:type="dxa"/>
            <w:vAlign w:val="bottom"/>
            <w:gridSpan w:val="4"/>
          </w:tcPr>
          <w:p>
            <w:pPr>
              <w:ind w:left="120"/>
              <w:spacing w:after="0"/>
              <w:rPr>
                <w:sz w:val="20"/>
                <w:szCs w:val="20"/>
                <w:color w:val="auto"/>
              </w:rPr>
            </w:pPr>
            <w:r>
              <w:rPr>
                <w:rFonts w:ascii="Arial" w:cs="Arial" w:eastAsia="Arial" w:hAnsi="Arial"/>
                <w:sz w:val="18"/>
                <w:szCs w:val="18"/>
                <w:b w:val="1"/>
                <w:bCs w:val="1"/>
                <w:color w:val="auto"/>
              </w:rPr>
              <w:t>Investment</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740" w:type="dxa"/>
            <w:vAlign w:val="bottom"/>
            <w:gridSpan w:val="4"/>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Millennium Health, LLC (fka Millennium Laboratories,</w:t>
            </w:r>
          </w:p>
        </w:tc>
        <w:tc>
          <w:tcPr>
            <w:tcW w:w="12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Senior Secured Loan —</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LLC)</w:t>
            </w:r>
            <w:r>
              <w:rPr>
                <w:rFonts w:ascii="Arial" w:cs="Arial" w:eastAsia="Arial" w:hAnsi="Arial"/>
                <w:sz w:val="25"/>
                <w:szCs w:val="25"/>
                <w:color w:val="auto"/>
                <w:vertAlign w:val="superscript"/>
              </w:rPr>
              <w:t>9, 11</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Tranche B Term Loan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5.3% Cash, 1.0% Libor Floor,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w:t>
            </w:r>
          </w:p>
        </w:tc>
        <w:tc>
          <w:tcPr>
            <w:tcW w:w="274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6.0% Cash, 1.0% Libor Floor,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Due 8/20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990,487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w:t>
            </w:r>
          </w:p>
        </w:tc>
        <w:tc>
          <w:tcPr>
            <w:tcW w:w="274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Junior Secured Loan — Term</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10.3% Cash, 1.0% Libor Floor,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Due 8/21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1,971,249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9, 11</w:t>
            </w:r>
          </w:p>
        </w:tc>
        <w:tc>
          <w:tcPr>
            <w:tcW w:w="274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6.0% Cash, 1.0% Libor Floor,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Due 8/20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2,971,460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Novetta, LLC</w:t>
            </w:r>
            <w:r>
              <w:rPr>
                <w:rFonts w:ascii="Arial" w:cs="Arial" w:eastAsia="Arial" w:hAnsi="Arial"/>
                <w:sz w:val="23"/>
                <w:szCs w:val="23"/>
                <w:color w:val="auto"/>
                <w:vertAlign w:val="superscript"/>
              </w:rPr>
              <w:t>9</w:t>
            </w:r>
          </w:p>
        </w:tc>
        <w:tc>
          <w:tcPr>
            <w:tcW w:w="274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Initial</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6.0% Cash, 1.0% Libor Floor,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Due 10/20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2,743,125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2,716,093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Novitex Acquisition, LLC (fka ARSloane Acquisition, LLC)</w:t>
            </w:r>
            <w:r>
              <w:rPr>
                <w:rFonts w:ascii="Arial" w:cs="Arial" w:eastAsia="Arial" w:hAnsi="Arial"/>
                <w:sz w:val="23"/>
                <w:szCs w:val="23"/>
                <w:color w:val="auto"/>
                <w:vertAlign w:val="superscript"/>
              </w:rPr>
              <w:t>9,</w:t>
            </w:r>
          </w:p>
        </w:tc>
        <w:tc>
          <w:tcPr>
            <w:tcW w:w="274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Tranche B-2 Term Loan (First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Lien)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7.5% Cash, 1.3% Libor Floor,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990,019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980,923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9</w:t>
            </w:r>
          </w:p>
        </w:tc>
        <w:tc>
          <w:tcPr>
            <w:tcW w:w="274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Junior Secured Loan — Term</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Loan (Second Lien)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9.5% Cash, 1.0% Libor Floor,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Due 12/19</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1,992,920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9, 11</w:t>
            </w:r>
          </w:p>
        </w:tc>
        <w:tc>
          <w:tcPr>
            <w:tcW w:w="274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Loan (First Lien 2013)</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5.0% Cash, 1.0% Libor Floor,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Due 6/19</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1,973,333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1,980,022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1,969,219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Orbitz Worldwide, Inc.</w:t>
            </w:r>
            <w:r>
              <w:rPr>
                <w:rFonts w:ascii="Arial" w:cs="Arial" w:eastAsia="Arial" w:hAnsi="Arial"/>
                <w:sz w:val="23"/>
                <w:szCs w:val="23"/>
                <w:color w:val="auto"/>
                <w:vertAlign w:val="superscript"/>
              </w:rPr>
              <w:t>11</w:t>
            </w:r>
          </w:p>
        </w:tc>
        <w:tc>
          <w:tcPr>
            <w:tcW w:w="274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Tranche C Term Loan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4.5% Cash, 1.0% Libor Floor,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Hotel, Gaming &amp; Leisure</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Due 4/21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Otter Products, LLC (OtterBox Holdings, Inc.)</w:t>
            </w:r>
            <w:r>
              <w:rPr>
                <w:rFonts w:ascii="Arial" w:cs="Arial" w:eastAsia="Arial" w:hAnsi="Arial"/>
                <w:sz w:val="23"/>
                <w:szCs w:val="23"/>
                <w:color w:val="auto"/>
                <w:vertAlign w:val="superscript"/>
              </w:rPr>
              <w:t>9, 11</w:t>
            </w:r>
          </w:p>
        </w:tc>
        <w:tc>
          <w:tcPr>
            <w:tcW w:w="274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5.8% Cash, 1.0% Libor Floor,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Due 6/20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2,968,458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Ozburn-Hessey Holding Company LLC</w:t>
            </w:r>
            <w:r>
              <w:rPr>
                <w:rFonts w:ascii="Arial" w:cs="Arial" w:eastAsia="Arial" w:hAnsi="Arial"/>
                <w:sz w:val="23"/>
                <w:szCs w:val="23"/>
                <w:color w:val="auto"/>
                <w:vertAlign w:val="superscript"/>
              </w:rPr>
              <w:t>9, 11</w:t>
            </w:r>
          </w:p>
        </w:tc>
        <w:tc>
          <w:tcPr>
            <w:tcW w:w="274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6.8% Cash, 1.3% Libor Floor,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27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Due 5/19</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3,512,426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3,503,687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3,544,389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PGX Holdings, Inc.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6.3%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3,975,000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3,936,815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Post Holdings, Inc.</w:t>
            </w:r>
            <w:r>
              <w:rPr>
                <w:rFonts w:ascii="Arial" w:cs="Arial" w:eastAsia="Arial" w:hAnsi="Arial"/>
                <w:sz w:val="23"/>
                <w:szCs w:val="23"/>
                <w:color w:val="auto"/>
                <w:vertAlign w:val="superscript"/>
              </w:rPr>
              <w:t>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1"/>
              </w:rPr>
              <w:t>Senior Secured Loan — Series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 Incremental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3.8% Cash, 0.8%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2,992,481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2,985,129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PQ Corporation</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Senior Secured Loan — 2014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Chemicals, Plastics and Rubber</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8/17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2,992,366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2,992,366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PSC Industrial Holdings Corp.</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(First Lien)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7.0%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1,980,119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Puerto Rico Cable Acquisition Company Inc. (D/B/A Choice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TV)</w:t>
            </w:r>
            <w:r>
              <w:rPr>
                <w:rFonts w:ascii="Arial" w:cs="Arial" w:eastAsia="Arial" w:hAnsi="Arial"/>
                <w:sz w:val="25"/>
                <w:szCs w:val="25"/>
                <w:color w:val="auto"/>
                <w:vertAlign w:val="superscript"/>
              </w:rPr>
              <w:t>9</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909,069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910,287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Puerto Rico Cable Acquisition Company Inc. (D/B/A Choice</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25"/>
                <w:szCs w:val="25"/>
                <w:color w:val="auto"/>
                <w:vertAlign w:val="subscript"/>
              </w:rPr>
              <w:t>TV)</w:t>
            </w:r>
            <w:r>
              <w:rPr>
                <w:rFonts w:ascii="Arial" w:cs="Arial" w:eastAsia="Arial" w:hAnsi="Arial"/>
                <w:sz w:val="12"/>
                <w:szCs w:val="12"/>
                <w:color w:val="auto"/>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2,727,206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2,717,359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2,727,206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QoL Meds,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498,750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496,449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Quad-C JH Holdings Inc. (aka Joerns Healthcare)</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5/20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3,980,000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3,953,083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Restorix Health,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Unsecured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Delayed Draw</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 Cash, 1.5% PIK, Due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2,003,587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2,003,587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2,003,587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Restorix Health, Inc.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Unsecured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Subordinated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 Cash, 1.5% PIK, Due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8,063,397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8,063,397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8,063,397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Reynolds Group Holdings Inc.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Incremental U.S. 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4.0%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Containers, Packaging and Glass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12/18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2,992,443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2,992,443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2,946,734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7" w:name="page28"/>
    <w:bookmarkEnd w:id="27"/>
    <w:p>
      <w:pPr>
        <w:spacing w:after="0" w:line="257" w:lineRule="exact"/>
        <w:rPr>
          <w:sz w:val="20"/>
          <w:szCs w:val="20"/>
          <w:color w:val="auto"/>
        </w:rPr>
      </w:pPr>
    </w:p>
    <w:p>
      <w:pPr>
        <w:ind w:right="940"/>
        <w:spacing w:after="0" w:line="292" w:lineRule="auto"/>
        <w:rPr>
          <w:sz w:val="20"/>
          <w:szCs w:val="20"/>
          <w:color w:val="auto"/>
        </w:rPr>
      </w:pPr>
      <w:r>
        <w:rPr>
          <w:rFonts w:ascii="Arial" w:cs="Arial" w:eastAsia="Arial" w:hAnsi="Arial"/>
          <w:sz w:val="18"/>
          <w:szCs w:val="18"/>
          <w:b w:val="1"/>
          <w:bCs w:val="1"/>
          <w:color w:val="auto"/>
        </w:rPr>
        <w:t xml:space="preserve">Portfolio Company / Principal Business </w:t>
      </w:r>
      <w:r>
        <w:rPr>
          <w:rFonts w:ascii="Arial" w:cs="Arial" w:eastAsia="Arial" w:hAnsi="Arial"/>
          <w:sz w:val="18"/>
          <w:szCs w:val="18"/>
          <w:color w:val="auto"/>
        </w:rPr>
        <w:t>Roscoe Medical, Inc.</w:t>
      </w:r>
      <w:r>
        <w:rPr>
          <w:rFonts w:ascii="Arial" w:cs="Arial" w:eastAsia="Arial" w:hAnsi="Arial"/>
          <w:sz w:val="30"/>
          <w:szCs w:val="30"/>
          <w:color w:val="auto"/>
          <w:vertAlign w:val="superscript"/>
        </w:rPr>
        <w:t>9</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Rovi Solutions Corporation / Rovi Guides, Inc.</w:t>
      </w:r>
      <w:r>
        <w:rPr>
          <w:rFonts w:ascii="Arial" w:cs="Arial" w:eastAsia="Arial" w:hAnsi="Arial"/>
          <w:sz w:val="26"/>
          <w:szCs w:val="26"/>
          <w:color w:val="auto"/>
          <w:vertAlign w:val="superscript"/>
        </w:rPr>
        <w:t>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Safenet,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Sandy Creek Energy Associates, L.P.</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SGF Produce Holding Corp.(Frozsun, Inc.)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1"/>
        </w:trPr>
        <w:tc>
          <w:tcPr>
            <w:tcW w:w="230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90"/>
              <w:spacing w:after="0" w:line="271" w:lineRule="exact"/>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Junior Secured Loan — Term</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11.3% Cash, Due 9/19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6,700,000</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6,642,367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6,499,000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B 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3.8% Cash, 0.8%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2,992,481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2,954,531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2,936,387</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Initial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6.8%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3/20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2,977,500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2,951,435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2,977,500</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5.0%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11/20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2,844,544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2,832,599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2,794,053</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w w:val="95"/>
              </w:rPr>
              <w:t>Senior Secured Loan — Term</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6"/>
              </w:rPr>
              <w:t>5.5% Cash, 1.0% Libor Floor,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2300" w:type="dxa"/>
            <w:vAlign w:val="bottom"/>
            <w:gridSpan w:val="2"/>
          </w:tcPr>
          <w:p>
            <w:pPr>
              <w:spacing w:after="0"/>
              <w:rPr>
                <w:sz w:val="20"/>
                <w:szCs w:val="20"/>
                <w:color w:val="auto"/>
              </w:rPr>
            </w:pPr>
            <w:r>
              <w:rPr>
                <w:rFonts w:ascii="Arial" w:cs="Arial" w:eastAsia="Arial" w:hAnsi="Arial"/>
                <w:sz w:val="18"/>
                <w:szCs w:val="18"/>
                <w:color w:val="auto"/>
              </w:rPr>
              <w:t>Due 3/19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2,191,289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2,175,642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2,191,289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-2709545</wp:posOffset>
            </wp:positionV>
            <wp:extent cx="7246620" cy="5746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-1997710</wp:posOffset>
            </wp:positionV>
            <wp:extent cx="7246620" cy="5746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-1285875</wp:posOffset>
            </wp:positionV>
            <wp:extent cx="7246620" cy="5746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-574040</wp:posOffset>
            </wp:positionV>
            <wp:extent cx="7246620" cy="5746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-3292475</wp:posOffset>
            </wp:positionV>
            <wp:extent cx="7246620"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980" w:space="720"/>
            <w:col w:w="672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SGF Produce Holding Corp.(Frozsun, Inc.)</w:t>
            </w:r>
            <w:r>
              <w:rPr>
                <w:rFonts w:ascii="Arial" w:cs="Arial" w:eastAsia="Arial" w:hAnsi="Arial"/>
                <w:sz w:val="30"/>
                <w:szCs w:val="30"/>
                <w:color w:val="auto"/>
                <w:vertAlign w:val="superscript"/>
              </w:rPr>
              <w:t>9, 11</w:t>
            </w: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Secured Loan — Term</w:t>
            </w:r>
          </w:p>
        </w:tc>
        <w:tc>
          <w:tcPr>
            <w:tcW w:w="1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5.5% Cash, 1.0% Libor Floor,</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Due 3/19</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3,440,528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3,429,224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3,440,528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Stafford Logistics, Inc.(dba Custom Ecology, Inc.)</w:t>
            </w:r>
            <w:r>
              <w:rPr>
                <w:rFonts w:ascii="Arial" w:cs="Arial" w:eastAsia="Arial" w:hAnsi="Arial"/>
                <w:sz w:val="23"/>
                <w:szCs w:val="23"/>
                <w:color w:val="auto"/>
                <w:vertAlign w:val="superscript"/>
              </w:rPr>
              <w:t>9, 11</w:t>
            </w:r>
          </w:p>
        </w:tc>
        <w:tc>
          <w:tcPr>
            <w:tcW w:w="26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Senior Secured Loan — Term</w:t>
            </w:r>
          </w:p>
        </w:tc>
        <w:tc>
          <w:tcPr>
            <w:tcW w:w="1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6.8% Cash, 1.3% Libor Floor,</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Due 6/19</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2,861,935</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2,840,504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2,858,501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Sun Products Corporation, The (fka Huish Detergents Inc.)</w:t>
            </w:r>
            <w:r>
              <w:rPr>
                <w:rFonts w:ascii="Arial" w:cs="Arial" w:eastAsia="Arial" w:hAnsi="Arial"/>
                <w:sz w:val="23"/>
                <w:szCs w:val="23"/>
                <w:color w:val="auto"/>
                <w:vertAlign w:val="superscript"/>
              </w:rPr>
              <w:t>9, 11</w:t>
            </w:r>
          </w:p>
        </w:tc>
        <w:tc>
          <w:tcPr>
            <w:tcW w:w="26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Senior Secured Loan —</w:t>
            </w:r>
          </w:p>
        </w:tc>
        <w:tc>
          <w:tcPr>
            <w:tcW w:w="1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Tranche B Term Loan</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5.5% Cash, 1.3% Libor Floor,</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Non-durable</w:t>
            </w: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Due 3/20</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3,910,711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3,887,178</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3,656,515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26</w:t>
            </w:r>
          </w:p>
        </w:tc>
        <w:tc>
          <w:tcPr>
            <w:tcW w:w="1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Tank Partners Holdings, LLC</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Senior Secured Loan — Loan</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9.8% Cash, 3.5% PIK, 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Libor Floor, Due 8/19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10,385,331</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10,212,907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9,866,065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TPF II Power, LLC (TPF II Covert Midco,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5.5%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Utilities: Electric</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10/21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3,026,933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3,009,375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Trimaran Advisors, L.L.C.</w:t>
            </w:r>
            <w:r>
              <w:rPr>
                <w:rFonts w:ascii="Arial" w:cs="Arial" w:eastAsia="Arial" w:hAnsi="Arial"/>
                <w:sz w:val="23"/>
                <w:szCs w:val="23"/>
                <w:color w:val="auto"/>
                <w:vertAlign w:val="superscript"/>
              </w:rPr>
              <w:t>9, 12</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Unsecured Loan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Revolving Credit Facility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Portfolio Company Loan</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9.0% Cash, Due 11/17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TRSO I, Inc.</w:t>
      </w:r>
      <w:r>
        <w:rPr>
          <w:rFonts w:ascii="Arial" w:cs="Arial" w:eastAsia="Arial" w:hAnsi="Arial"/>
          <w:sz w:val="30"/>
          <w:szCs w:val="30"/>
          <w:color w:val="auto"/>
          <w:vertAlign w:val="superscript"/>
        </w:rPr>
        <w:t>9</w:t>
      </w:r>
    </w:p>
    <w:p>
      <w:pPr>
        <w:spacing w:after="0" w:line="340" w:lineRule="exact"/>
        <w:rPr>
          <w:sz w:val="20"/>
          <w:szCs w:val="20"/>
          <w:color w:val="auto"/>
        </w:rPr>
      </w:pPr>
    </w:p>
    <w:p>
      <w:pPr>
        <w:jc w:val="center"/>
        <w:ind w:right="2280"/>
        <w:spacing w:after="0"/>
        <w:rPr>
          <w:sz w:val="20"/>
          <w:szCs w:val="20"/>
          <w:color w:val="auto"/>
        </w:rPr>
      </w:pPr>
      <w:r>
        <w:rPr>
          <w:rFonts w:ascii="Arial" w:cs="Arial" w:eastAsia="Arial" w:hAnsi="Arial"/>
          <w:sz w:val="18"/>
          <w:szCs w:val="18"/>
          <w:i w:val="1"/>
          <w:iCs w:val="1"/>
          <w:color w:val="auto"/>
        </w:rPr>
        <w:t>Energy: Oil &amp; Gas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Univar Inc.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Chemicals, Plastics and Rubber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USJ-IMECO Holding Company, LLC</w:t>
      </w:r>
      <w:r>
        <w:rPr>
          <w:rFonts w:ascii="Arial" w:cs="Arial" w:eastAsia="Arial" w:hAnsi="Arial"/>
          <w:sz w:val="26"/>
          <w:szCs w:val="26"/>
          <w:color w:val="auto"/>
          <w:vertAlign w:val="superscript"/>
        </w:rPr>
        <w:t>9, 11</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Junior Secured Loan — Term</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 (Second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11.0% Cash, 1.0%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1"/>
        </w:trPr>
        <w:tc>
          <w:tcPr>
            <w:tcW w:w="2620" w:type="dxa"/>
            <w:vAlign w:val="bottom"/>
          </w:tcPr>
          <w:p>
            <w:pPr>
              <w:spacing w:after="0"/>
              <w:rPr>
                <w:sz w:val="20"/>
                <w:szCs w:val="20"/>
                <w:color w:val="auto"/>
              </w:rPr>
            </w:pPr>
            <w:r>
              <w:rPr>
                <w:rFonts w:ascii="Arial" w:cs="Arial" w:eastAsia="Arial" w:hAnsi="Arial"/>
                <w:sz w:val="18"/>
                <w:szCs w:val="18"/>
                <w:color w:val="auto"/>
              </w:rPr>
              <w:t>Due 12/17</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988,097</w:t>
            </w:r>
          </w:p>
        </w:tc>
        <w:tc>
          <w:tcPr>
            <w:tcW w:w="1100" w:type="dxa"/>
            <w:vAlign w:val="bottom"/>
          </w:tcPr>
          <w:p>
            <w:pPr>
              <w:jc w:val="right"/>
              <w:spacing w:after="0"/>
              <w:rPr>
                <w:sz w:val="20"/>
                <w:szCs w:val="20"/>
                <w:color w:val="auto"/>
              </w:rPr>
            </w:pPr>
            <w:r>
              <w:rPr>
                <w:rFonts w:ascii="Arial" w:cs="Arial" w:eastAsia="Arial" w:hAnsi="Arial"/>
                <w:sz w:val="18"/>
                <w:szCs w:val="18"/>
                <w:color w:val="auto"/>
              </w:rPr>
              <w:t>961,300</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Junior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 (Second Lien)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7.0% Cash, 1.0%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1"/>
        </w:trPr>
        <w:tc>
          <w:tcPr>
            <w:tcW w:w="2620" w:type="dxa"/>
            <w:vAlign w:val="bottom"/>
          </w:tcPr>
          <w:p>
            <w:pPr>
              <w:spacing w:after="0"/>
              <w:rPr>
                <w:sz w:val="20"/>
                <w:szCs w:val="20"/>
                <w:color w:val="auto"/>
              </w:rPr>
            </w:pPr>
            <w:r>
              <w:rPr>
                <w:rFonts w:ascii="Arial" w:cs="Arial" w:eastAsia="Arial" w:hAnsi="Arial"/>
                <w:sz w:val="18"/>
                <w:szCs w:val="18"/>
                <w:color w:val="auto"/>
              </w:rPr>
              <w:t>Due 6/20</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1,004,005</w:t>
            </w:r>
          </w:p>
        </w:tc>
        <w:tc>
          <w:tcPr>
            <w:tcW w:w="1100" w:type="dxa"/>
            <w:vAlign w:val="bottom"/>
          </w:tcPr>
          <w:p>
            <w:pPr>
              <w:jc w:val="right"/>
              <w:spacing w:after="0"/>
              <w:rPr>
                <w:sz w:val="20"/>
                <w:szCs w:val="20"/>
                <w:color w:val="auto"/>
              </w:rPr>
            </w:pPr>
            <w:r>
              <w:rPr>
                <w:rFonts w:ascii="Arial" w:cs="Arial" w:eastAsia="Arial" w:hAnsi="Arial"/>
                <w:sz w:val="18"/>
                <w:szCs w:val="18"/>
                <w:color w:val="auto"/>
              </w:rPr>
              <w:t>961,670</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3.5% Cash, 0.8%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1"/>
        </w:trPr>
        <w:tc>
          <w:tcPr>
            <w:tcW w:w="2620" w:type="dxa"/>
            <w:vAlign w:val="bottom"/>
          </w:tcPr>
          <w:p>
            <w:pPr>
              <w:spacing w:after="0"/>
              <w:rPr>
                <w:sz w:val="20"/>
                <w:szCs w:val="20"/>
                <w:color w:val="auto"/>
              </w:rPr>
            </w:pPr>
            <w:r>
              <w:rPr>
                <w:rFonts w:ascii="Arial" w:cs="Arial" w:eastAsia="Arial" w:hAnsi="Arial"/>
                <w:sz w:val="18"/>
                <w:szCs w:val="18"/>
                <w:color w:val="auto"/>
              </w:rPr>
              <w:t>Due 2/17</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906,653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910,624</w:t>
            </w:r>
          </w:p>
        </w:tc>
        <w:tc>
          <w:tcPr>
            <w:tcW w:w="1100" w:type="dxa"/>
            <w:vAlign w:val="bottom"/>
          </w:tcPr>
          <w:p>
            <w:pPr>
              <w:jc w:val="right"/>
              <w:spacing w:after="0"/>
              <w:rPr>
                <w:sz w:val="20"/>
                <w:szCs w:val="20"/>
                <w:color w:val="auto"/>
              </w:rPr>
            </w:pPr>
            <w:r>
              <w:rPr>
                <w:rFonts w:ascii="Arial" w:cs="Arial" w:eastAsia="Arial" w:hAnsi="Arial"/>
                <w:sz w:val="18"/>
                <w:szCs w:val="18"/>
                <w:color w:val="auto"/>
              </w:rPr>
              <w:t>887,060</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B 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5.0% Cash, 1.5%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1"/>
        </w:trPr>
        <w:tc>
          <w:tcPr>
            <w:tcW w:w="2620" w:type="dxa"/>
            <w:vAlign w:val="bottom"/>
          </w:tcPr>
          <w:p>
            <w:pPr>
              <w:spacing w:after="0"/>
              <w:rPr>
                <w:sz w:val="20"/>
                <w:szCs w:val="20"/>
                <w:color w:val="auto"/>
              </w:rPr>
            </w:pPr>
            <w:r>
              <w:rPr>
                <w:rFonts w:ascii="Arial" w:cs="Arial" w:eastAsia="Arial" w:hAnsi="Arial"/>
                <w:sz w:val="18"/>
                <w:szCs w:val="18"/>
                <w:color w:val="auto"/>
              </w:rPr>
              <w:t>Due 6/17</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2,894,577</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2,890,893</w:t>
            </w:r>
          </w:p>
        </w:tc>
        <w:tc>
          <w:tcPr>
            <w:tcW w:w="1100" w:type="dxa"/>
            <w:vAlign w:val="bottom"/>
          </w:tcPr>
          <w:p>
            <w:pPr>
              <w:jc w:val="right"/>
              <w:spacing w:after="0"/>
              <w:rPr>
                <w:sz w:val="20"/>
                <w:szCs w:val="20"/>
                <w:color w:val="auto"/>
              </w:rPr>
            </w:pPr>
            <w:r>
              <w:rPr>
                <w:rFonts w:ascii="Arial" w:cs="Arial" w:eastAsia="Arial" w:hAnsi="Arial"/>
                <w:sz w:val="18"/>
                <w:szCs w:val="18"/>
                <w:color w:val="auto"/>
              </w:rPr>
              <w:t>2,808,536</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Senior Secured Loan — Term</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7.0% Cash, 1.0% Libor Floor,</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1"/>
        </w:trPr>
        <w:tc>
          <w:tcPr>
            <w:tcW w:w="2620" w:type="dxa"/>
            <w:vAlign w:val="bottom"/>
          </w:tcPr>
          <w:p>
            <w:pPr>
              <w:spacing w:after="0"/>
              <w:rPr>
                <w:sz w:val="20"/>
                <w:szCs w:val="20"/>
                <w:color w:val="auto"/>
              </w:rPr>
            </w:pPr>
            <w:r>
              <w:rPr>
                <w:rFonts w:ascii="Arial" w:cs="Arial" w:eastAsia="Arial" w:hAnsi="Arial"/>
                <w:sz w:val="18"/>
                <w:szCs w:val="18"/>
                <w:color w:val="auto"/>
              </w:rPr>
              <w:t>Due 4/20</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3,970,000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3,952,343</w:t>
            </w:r>
          </w:p>
        </w:tc>
        <w:tc>
          <w:tcPr>
            <w:tcW w:w="1100" w:type="dxa"/>
            <w:vAlign w:val="bottom"/>
          </w:tcPr>
          <w:p>
            <w:pPr>
              <w:jc w:val="right"/>
              <w:spacing w:after="0"/>
              <w:rPr>
                <w:sz w:val="20"/>
                <w:szCs w:val="20"/>
                <w:color w:val="auto"/>
              </w:rPr>
            </w:pPr>
            <w:r>
              <w:rPr>
                <w:rFonts w:ascii="Arial" w:cs="Arial" w:eastAsia="Arial" w:hAnsi="Arial"/>
                <w:sz w:val="18"/>
                <w:szCs w:val="18"/>
                <w:color w:val="auto"/>
              </w:rPr>
              <w:t>3,970,000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-3421380</wp:posOffset>
            </wp:positionV>
            <wp:extent cx="7246620" cy="5746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-2709545</wp:posOffset>
            </wp:positionV>
            <wp:extent cx="7246620" cy="5746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-1997710</wp:posOffset>
            </wp:positionV>
            <wp:extent cx="7246620" cy="5746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-1285875</wp:posOffset>
            </wp:positionV>
            <wp:extent cx="7246620" cy="5746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-574040</wp:posOffset>
            </wp:positionV>
            <wp:extent cx="7246620" cy="5746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877"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20" w:type="dxa"/>
            <w:vAlign w:val="bottom"/>
            <w:gridSpan w:val="2"/>
          </w:tcPr>
          <w:p>
            <w:pPr>
              <w:ind w:left="120"/>
              <w:spacing w:after="0" w:line="271"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
              <w:spacing w:after="0" w:line="271"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Vantiv, LLC (fka Fifth Third Processing Solutions, LLC)</w:t>
            </w:r>
            <w:r>
              <w:rPr>
                <w:rFonts w:ascii="Arial" w:cs="Arial" w:eastAsia="Arial" w:hAnsi="Arial"/>
                <w:sz w:val="22"/>
                <w:szCs w:val="22"/>
                <w:color w:val="auto"/>
                <w:vertAlign w:val="superscript"/>
              </w:rPr>
              <w:t>11</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3.8% Cash, 0.8%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6/21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1,994,987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1,999,927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Verdesian Life Sciences, LLC</w:t>
            </w:r>
            <w:r>
              <w:rPr>
                <w:rFonts w:ascii="Arial" w:cs="Arial" w:eastAsia="Arial" w:hAnsi="Arial"/>
                <w:sz w:val="23"/>
                <w:szCs w:val="23"/>
                <w:color w:val="auto"/>
                <w:vertAlign w:val="superscript"/>
              </w:rPr>
              <w:t>9</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975,012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961,553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Verdesian Life Sciences, LLC</w:t>
            </w:r>
            <w:r>
              <w:rPr>
                <w:rFonts w:ascii="Arial" w:cs="Arial" w:eastAsia="Arial" w:hAnsi="Arial"/>
                <w:sz w:val="23"/>
                <w:szCs w:val="23"/>
                <w:color w:val="auto"/>
                <w:vertAlign w:val="superscript"/>
              </w:rPr>
              <w:t>9, 11</w:t>
            </w:r>
          </w:p>
        </w:tc>
        <w:tc>
          <w:tcPr>
            <w:tcW w:w="2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Senior Secured Loan — Initial</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6.0%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7/20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3,221,243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3,178,026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Vestcom International, Inc. (fka Vector Investment Holdings,</w:t>
            </w: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Senior Secured Loan — Term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Inc.)</w:t>
            </w:r>
            <w:r>
              <w:rPr>
                <w:rFonts w:ascii="Arial" w:cs="Arial" w:eastAsia="Arial" w:hAnsi="Arial"/>
                <w:sz w:val="25"/>
                <w:szCs w:val="25"/>
                <w:color w:val="auto"/>
                <w:vertAlign w:val="superscript"/>
              </w:rPr>
              <w:t>9, 11</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5.3% Cash, 1.0% Libor Floor,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Retail</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9/21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2,866,953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2,843,300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2,838,284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9, 11</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WideOpenWest Finance, LLC</w:t>
      </w:r>
      <w:r>
        <w:rPr>
          <w:rFonts w:ascii="Arial" w:cs="Arial" w:eastAsia="Arial" w:hAnsi="Arial"/>
          <w:sz w:val="30"/>
          <w:szCs w:val="30"/>
          <w:color w:val="auto"/>
          <w:vertAlign w:val="superscript"/>
        </w:rPr>
        <w:t>9</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232" w:lineRule="exact"/>
        <w:rPr>
          <w:sz w:val="20"/>
          <w:szCs w:val="20"/>
          <w:color w:val="auto"/>
        </w:rPr>
      </w:pPr>
    </w:p>
    <w:p>
      <w:pPr>
        <w:ind w:left="180" w:right="800" w:hanging="161"/>
        <w:spacing w:after="0" w:line="347" w:lineRule="auto"/>
        <w:rPr>
          <w:sz w:val="20"/>
          <w:szCs w:val="20"/>
          <w:color w:val="auto"/>
        </w:rPr>
      </w:pPr>
      <w:r>
        <w:rPr>
          <w:rFonts w:ascii="Arial" w:cs="Arial" w:eastAsia="Arial" w:hAnsi="Arial"/>
          <w:sz w:val="16"/>
          <w:szCs w:val="16"/>
          <w:b w:val="1"/>
          <w:bCs w:val="1"/>
          <w:color w:val="auto"/>
        </w:rPr>
        <w:t>Total Investment in Debt Securities (125%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Senior Secured Loan — Term</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 w:type="dxa"/>
            <w:vAlign w:val="bottom"/>
          </w:tcPr>
          <w:p>
            <w:pPr>
              <w:ind w:left="120"/>
              <w:spacing w:after="0"/>
              <w:rPr>
                <w:sz w:val="20"/>
                <w:szCs w:val="20"/>
                <w:color w:val="auto"/>
              </w:rPr>
            </w:pPr>
            <w:r>
              <w:rPr>
                <w:rFonts w:ascii="Arial" w:cs="Arial" w:eastAsia="Arial" w:hAnsi="Arial"/>
                <w:sz w:val="18"/>
                <w:szCs w:val="18"/>
                <w:color w:val="auto"/>
                <w:w w:val="94"/>
              </w:rPr>
              <w:t>Loan</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 w:type="dxa"/>
            <w:vAlign w:val="bottom"/>
          </w:tcPr>
          <w:p>
            <w:pPr>
              <w:ind w:left="120"/>
              <w:spacing w:after="0"/>
              <w:rPr>
                <w:sz w:val="20"/>
                <w:szCs w:val="20"/>
                <w:color w:val="auto"/>
              </w:rPr>
            </w:pPr>
            <w:r>
              <w:rPr>
                <w:rFonts w:ascii="Arial" w:cs="Arial" w:eastAsia="Arial" w:hAnsi="Arial"/>
                <w:sz w:val="18"/>
                <w:szCs w:val="18"/>
                <w:color w:val="auto"/>
                <w:w w:val="92"/>
              </w:rPr>
              <w:t>6.3%</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1"/>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Due 11/18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2,972,255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2,948,574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2,972,255</w:t>
            </w:r>
          </w:p>
        </w:tc>
      </w:tr>
      <w:tr>
        <w:trPr>
          <w:trHeight w:val="418"/>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Senior Secured Loan — Term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0" w:type="dxa"/>
            <w:vAlign w:val="bottom"/>
          </w:tcPr>
          <w:p>
            <w:pPr>
              <w:ind w:left="120"/>
              <w:spacing w:after="0"/>
              <w:rPr>
                <w:sz w:val="20"/>
                <w:szCs w:val="20"/>
                <w:color w:val="auto"/>
              </w:rPr>
            </w:pPr>
            <w:r>
              <w:rPr>
                <w:rFonts w:ascii="Arial" w:cs="Arial" w:eastAsia="Arial" w:hAnsi="Arial"/>
                <w:sz w:val="18"/>
                <w:szCs w:val="18"/>
                <w:color w:val="auto"/>
                <w:w w:val="94"/>
              </w:rPr>
              <w:t>Loan</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 w:type="dxa"/>
            <w:vAlign w:val="bottom"/>
          </w:tcPr>
          <w:p>
            <w:pPr>
              <w:ind w:left="120"/>
              <w:spacing w:after="0"/>
              <w:rPr>
                <w:sz w:val="20"/>
                <w:szCs w:val="20"/>
                <w:color w:val="auto"/>
              </w:rPr>
            </w:pPr>
            <w:r>
              <w:rPr>
                <w:rFonts w:ascii="Arial" w:cs="Arial" w:eastAsia="Arial" w:hAnsi="Arial"/>
                <w:sz w:val="18"/>
                <w:szCs w:val="18"/>
                <w:color w:val="auto"/>
                <w:w w:val="92"/>
              </w:rPr>
              <w:t>6.3%</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1"/>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Due 11/18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3,963,007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3,932,167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3,963,007</w:t>
            </w:r>
          </w:p>
        </w:tc>
      </w:tr>
      <w:tr>
        <w:trPr>
          <w:trHeight w:val="418"/>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Senior Secured Loan — Term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B Loan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 w:type="dxa"/>
            <w:vAlign w:val="bottom"/>
          </w:tcPr>
          <w:p>
            <w:pPr>
              <w:ind w:left="120"/>
              <w:spacing w:after="0"/>
              <w:rPr>
                <w:sz w:val="20"/>
                <w:szCs w:val="20"/>
                <w:color w:val="auto"/>
              </w:rPr>
            </w:pPr>
            <w:r>
              <w:rPr>
                <w:rFonts w:ascii="Arial" w:cs="Arial" w:eastAsia="Arial" w:hAnsi="Arial"/>
                <w:sz w:val="18"/>
                <w:szCs w:val="18"/>
                <w:color w:val="auto"/>
                <w:w w:val="92"/>
              </w:rPr>
              <w:t>4.8%</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1"/>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Due 4/19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2,954,887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2,971,397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2,941,974</w:t>
            </w:r>
          </w:p>
        </w:tc>
      </w:tr>
      <w:tr>
        <w:trPr>
          <w:trHeight w:val="418"/>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Senior Unsecured Bond —</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1"/>
        </w:trPr>
        <w:tc>
          <w:tcPr>
            <w:tcW w:w="520" w:type="dxa"/>
            <w:vAlign w:val="bottom"/>
          </w:tcPr>
          <w:p>
            <w:pPr>
              <w:ind w:left="120"/>
              <w:spacing w:after="0"/>
              <w:rPr>
                <w:sz w:val="20"/>
                <w:szCs w:val="20"/>
                <w:color w:val="auto"/>
              </w:rPr>
            </w:pPr>
            <w:r>
              <w:rPr>
                <w:rFonts w:ascii="Arial" w:cs="Arial" w:eastAsia="Arial" w:hAnsi="Arial"/>
                <w:sz w:val="18"/>
                <w:szCs w:val="18"/>
                <w:color w:val="auto"/>
                <w:w w:val="92"/>
              </w:rPr>
              <w:t>9.0%</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Cash, Due 5/17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4,991,504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r>
      <w:tr>
        <w:trPr>
          <w:trHeight w:val="418"/>
        </w:trPr>
        <w:tc>
          <w:tcPr>
            <w:tcW w:w="2780" w:type="dxa"/>
            <w:vAlign w:val="bottom"/>
            <w:gridSpan w:val="3"/>
          </w:tcPr>
          <w:p>
            <w:pPr>
              <w:ind w:left="120"/>
              <w:spacing w:after="0"/>
              <w:rPr>
                <w:sz w:val="20"/>
                <w:szCs w:val="20"/>
                <w:color w:val="auto"/>
              </w:rPr>
            </w:pPr>
            <w:r>
              <w:rPr>
                <w:rFonts w:ascii="Arial" w:cs="Arial" w:eastAsia="Arial" w:hAnsi="Arial"/>
                <w:sz w:val="18"/>
                <w:szCs w:val="18"/>
                <w:color w:val="auto"/>
              </w:rPr>
              <w:t>Senior Unsecured Bond —</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4"/>
        </w:trPr>
        <w:tc>
          <w:tcPr>
            <w:tcW w:w="520" w:type="dxa"/>
            <w:vAlign w:val="bottom"/>
          </w:tcPr>
          <w:p>
            <w:pPr>
              <w:ind w:left="120"/>
              <w:spacing w:after="0"/>
              <w:rPr>
                <w:sz w:val="20"/>
                <w:szCs w:val="20"/>
                <w:color w:val="auto"/>
              </w:rPr>
            </w:pPr>
            <w:r>
              <w:rPr>
                <w:rFonts w:ascii="Arial" w:cs="Arial" w:eastAsia="Arial" w:hAnsi="Arial"/>
                <w:sz w:val="18"/>
                <w:szCs w:val="18"/>
                <w:color w:val="auto"/>
                <w:w w:val="92"/>
              </w:rPr>
              <w:t>9.0%</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Cash, Due 5/17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2,994,903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r>
      <w:tr>
        <w:trPr>
          <w:trHeight w:val="426"/>
        </w:trPr>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324,808,055</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322,884,934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320,143,170</w:t>
            </w:r>
          </w:p>
        </w:tc>
      </w:tr>
      <w:tr>
        <w:trPr>
          <w:trHeight w:val="20"/>
        </w:trPr>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-3318510</wp:posOffset>
            </wp:positionV>
            <wp:extent cx="7246620" cy="5746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-2606675</wp:posOffset>
            </wp:positionV>
            <wp:extent cx="7246620" cy="5746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-1894840</wp:posOffset>
            </wp:positionV>
            <wp:extent cx="7246620" cy="5746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-1183005</wp:posOffset>
            </wp:positionV>
            <wp:extent cx="7246620" cy="3003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-745490</wp:posOffset>
            </wp:positionV>
            <wp:extent cx="7246620" cy="308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-290830</wp:posOffset>
            </wp:positionV>
            <wp:extent cx="7246620" cy="2832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3860" w:space="720"/>
            <w:col w:w="6840"/>
          </w:cols>
          <w:pgMar w:left="240" w:top="877" w:right="239" w:bottom="1440"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3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Ownership/Shares</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5, 9</w:t>
            </w:r>
          </w:p>
        </w:tc>
        <w:tc>
          <w:tcPr>
            <w:tcW w:w="100" w:type="dxa"/>
            <w:vAlign w:val="bottom"/>
            <w:tcBorders>
              <w:top w:val="single" w:sz="8" w:color="CCEEFF"/>
            </w:tcBorders>
            <w:shd w:val="clear" w:color="auto" w:fill="CCEEFF"/>
          </w:tcPr>
          <w:p>
            <w:pPr>
              <w:spacing w:after="0"/>
              <w:rPr>
                <w:sz w:val="20"/>
                <w:szCs w:val="20"/>
                <w:color w:val="auto"/>
              </w:rPr>
            </w:pPr>
          </w:p>
        </w:tc>
        <w:tc>
          <w:tcPr>
            <w:tcW w:w="2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Partnership Interests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Series A Preferred Interests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Warrants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B Warrants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C Warrants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 2013</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391,932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 Investments</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4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Incorporated)</w:t>
            </w:r>
            <w:r>
              <w:rPr>
                <w:rFonts w:ascii="Arial" w:cs="Arial" w:eastAsia="Arial" w:hAnsi="Arial"/>
                <w:sz w:val="29"/>
                <w:szCs w:val="29"/>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Warrants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Membership Units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3, 5,</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Capital Equipment</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Shares</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Hotel, Gaming &amp; Leisure</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1" w:name="page32"/>
    <w:bookmarkEnd w:id="31"/>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10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60" w:type="dxa"/>
            <w:vAlign w:val="bottom"/>
            <w:tcBorders>
              <w:top w:val="single" w:sz="8" w:color="auto"/>
            </w:tcBorders>
          </w:tcPr>
          <w:p>
            <w:pPr>
              <w:spacing w:after="0" w:line="236"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7"/>
                <w:szCs w:val="27"/>
                <w:color w:val="auto"/>
                <w:vertAlign w:val="superscript"/>
              </w:rPr>
              <w:t>5, 9</w:t>
            </w:r>
          </w:p>
        </w:tc>
        <w:tc>
          <w:tcPr>
            <w:tcW w:w="10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Class A Units</w:t>
            </w:r>
          </w:p>
        </w:tc>
        <w:tc>
          <w:tcPr>
            <w:tcW w:w="0" w:type="dxa"/>
            <w:vAlign w:val="bottom"/>
          </w:tcPr>
          <w:p>
            <w:pPr>
              <w:spacing w:after="0"/>
              <w:rPr>
                <w:sz w:val="1"/>
                <w:szCs w:val="1"/>
                <w:color w:val="auto"/>
              </w:rPr>
            </w:pPr>
          </w:p>
        </w:tc>
      </w:tr>
      <w:tr>
        <w:trPr>
          <w:trHeight w:val="458"/>
        </w:trPr>
        <w:tc>
          <w:tcPr>
            <w:tcW w:w="4480" w:type="dxa"/>
            <w:vAlign w:val="bottom"/>
            <w:gridSpan w:val="2"/>
          </w:tcPr>
          <w:p>
            <w:pPr>
              <w:spacing w:after="0"/>
              <w:rPr>
                <w:sz w:val="20"/>
                <w:szCs w:val="20"/>
                <w:color w:val="auto"/>
              </w:rPr>
            </w:pPr>
            <w:r>
              <w:rPr>
                <w:rFonts w:ascii="Arial" w:cs="Arial" w:eastAsia="Arial" w:hAnsi="Arial"/>
                <w:sz w:val="18"/>
                <w:szCs w:val="18"/>
                <w:color w:val="auto"/>
              </w:rPr>
              <w:t>Tank Partners Holdings, LLC</w:t>
            </w:r>
            <w:r>
              <w:rPr>
                <w:rFonts w:ascii="Arial" w:cs="Arial" w:eastAsia="Arial" w:hAnsi="Arial"/>
                <w:sz w:val="30"/>
                <w:szCs w:val="30"/>
                <w:color w:val="auto"/>
                <w:vertAlign w:val="superscript"/>
              </w:rPr>
              <w:t>5, 9</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Unit</w:t>
            </w:r>
          </w:p>
        </w:tc>
        <w:tc>
          <w:tcPr>
            <w:tcW w:w="0" w:type="dxa"/>
            <w:vAlign w:val="bottom"/>
          </w:tcPr>
          <w:p>
            <w:pPr>
              <w:spacing w:after="0"/>
              <w:rPr>
                <w:sz w:val="1"/>
                <w:szCs w:val="1"/>
                <w:color w:val="auto"/>
              </w:rPr>
            </w:pPr>
          </w:p>
        </w:tc>
      </w:tr>
      <w:tr>
        <w:trPr>
          <w:trHeight w:val="458"/>
        </w:trPr>
        <w:tc>
          <w:tcPr>
            <w:tcW w:w="4480" w:type="dxa"/>
            <w:vAlign w:val="bottom"/>
            <w:gridSpan w:val="2"/>
          </w:tcPr>
          <w:p>
            <w:pPr>
              <w:spacing w:after="0"/>
              <w:rPr>
                <w:sz w:val="20"/>
                <w:szCs w:val="20"/>
                <w:color w:val="auto"/>
              </w:rPr>
            </w:pPr>
            <w:r>
              <w:rPr>
                <w:rFonts w:ascii="Arial" w:cs="Arial" w:eastAsia="Arial" w:hAnsi="Arial"/>
                <w:sz w:val="18"/>
                <w:szCs w:val="18"/>
                <w:color w:val="auto"/>
              </w:rPr>
              <w:t>Tank Partners Holdings, LLC</w:t>
            </w:r>
            <w:r>
              <w:rPr>
                <w:rFonts w:ascii="Arial" w:cs="Arial" w:eastAsia="Arial" w:hAnsi="Arial"/>
                <w:sz w:val="30"/>
                <w:szCs w:val="30"/>
                <w:color w:val="auto"/>
                <w:vertAlign w:val="superscript"/>
              </w:rPr>
              <w:t>5, 9</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Warrants</w:t>
            </w:r>
          </w:p>
        </w:tc>
        <w:tc>
          <w:tcPr>
            <w:tcW w:w="0" w:type="dxa"/>
            <w:vAlign w:val="bottom"/>
          </w:tcPr>
          <w:p>
            <w:pPr>
              <w:spacing w:after="0"/>
              <w:rPr>
                <w:sz w:val="1"/>
                <w:szCs w:val="1"/>
                <w:color w:val="auto"/>
              </w:rPr>
            </w:pPr>
          </w:p>
        </w:tc>
      </w:tr>
      <w:tr>
        <w:trPr>
          <w:trHeight w:val="458"/>
        </w:trPr>
        <w:tc>
          <w:tcPr>
            <w:tcW w:w="4480" w:type="dxa"/>
            <w:vAlign w:val="bottom"/>
            <w:gridSpan w:val="2"/>
          </w:tcPr>
          <w:p>
            <w:pPr>
              <w:spacing w:after="0"/>
              <w:rPr>
                <w:sz w:val="20"/>
                <w:szCs w:val="20"/>
                <w:color w:val="auto"/>
              </w:rPr>
            </w:pPr>
            <w:r>
              <w:rPr>
                <w:rFonts w:ascii="Arial" w:cs="Arial" w:eastAsia="Arial" w:hAnsi="Arial"/>
                <w:sz w:val="18"/>
                <w:szCs w:val="18"/>
                <w:color w:val="auto"/>
              </w:rPr>
              <w:t>TRSO II, Inc.</w:t>
            </w:r>
            <w:r>
              <w:rPr>
                <w:rFonts w:ascii="Arial" w:cs="Arial" w:eastAsia="Arial" w:hAnsi="Arial"/>
                <w:sz w:val="30"/>
                <w:szCs w:val="30"/>
                <w:color w:val="auto"/>
                <w:vertAlign w:val="superscript"/>
              </w:rPr>
              <w:t>5, 9</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Equity Securities</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(3% of net asset value at fair value)</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-2340610</wp:posOffset>
            </wp:positionV>
            <wp:extent cx="7246620"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-1894840</wp:posOffset>
            </wp:positionV>
            <wp:extent cx="7246620" cy="3003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-1457325</wp:posOffset>
            </wp:positionV>
            <wp:extent cx="7246620" cy="3003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246620" cy="308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1840" w:type="dxa"/>
            <w:vAlign w:val="bottom"/>
          </w:tcPr>
          <w:p>
            <w:pPr>
              <w:ind w:left="120"/>
              <w:spacing w:after="0"/>
              <w:rPr>
                <w:sz w:val="20"/>
                <w:szCs w:val="20"/>
                <w:color w:val="auto"/>
              </w:rPr>
            </w:pPr>
            <w:r>
              <w:rPr>
                <w:rFonts w:ascii="Arial" w:cs="Arial" w:eastAsia="Arial" w:hAnsi="Arial"/>
                <w:sz w:val="18"/>
                <w:szCs w:val="18"/>
                <w:b w:val="1"/>
                <w:bCs w:val="1"/>
                <w:color w:val="auto"/>
              </w:rPr>
              <w:t>Investment</w:t>
            </w:r>
          </w:p>
        </w:tc>
      </w:tr>
      <w:tr>
        <w:trPr>
          <w:trHeight w:val="236"/>
        </w:trPr>
        <w:tc>
          <w:tcPr>
            <w:tcW w:w="4580" w:type="dxa"/>
            <w:vAlign w:val="bottom"/>
          </w:tcPr>
          <w:p>
            <w:pPr>
              <w:spacing w:after="0" w:line="236"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7"/>
                <w:szCs w:val="27"/>
                <w:color w:val="auto"/>
                <w:vertAlign w:val="superscript"/>
              </w:rPr>
              <w:t>3</w:t>
            </w:r>
          </w:p>
        </w:tc>
        <w:tc>
          <w:tcPr>
            <w:tcW w:w="1840" w:type="dxa"/>
            <w:vAlign w:val="bottom"/>
          </w:tcPr>
          <w:p>
            <w:pPr>
              <w:ind w:left="120"/>
              <w:spacing w:after="0"/>
              <w:rPr>
                <w:sz w:val="20"/>
                <w:szCs w:val="20"/>
                <w:color w:val="auto"/>
              </w:rPr>
            </w:pPr>
            <w:r>
              <w:rPr>
                <w:rFonts w:ascii="Arial" w:cs="Arial" w:eastAsia="Arial" w:hAnsi="Arial"/>
                <w:sz w:val="18"/>
                <w:szCs w:val="18"/>
                <w:color w:val="auto"/>
                <w:w w:val="88"/>
              </w:rPr>
              <w:t>Subordinated Securities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3, 10</w:t>
            </w:r>
          </w:p>
        </w:tc>
        <w:tc>
          <w:tcPr>
            <w:tcW w:w="1840" w:type="dxa"/>
            <w:vAlign w:val="bottom"/>
          </w:tcPr>
          <w:p>
            <w:pPr>
              <w:ind w:left="120"/>
              <w:spacing w:after="0"/>
              <w:rPr>
                <w:sz w:val="20"/>
                <w:szCs w:val="20"/>
                <w:color w:val="auto"/>
              </w:rPr>
            </w:pPr>
            <w:r>
              <w:rPr>
                <w:rFonts w:ascii="Arial" w:cs="Arial" w:eastAsia="Arial" w:hAnsi="Arial"/>
                <w:sz w:val="18"/>
                <w:szCs w:val="18"/>
                <w:color w:val="auto"/>
              </w:rPr>
              <w:t>Preferred Shares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w w:val="88"/>
              </w:rPr>
              <w:t>Subordinated Securities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w w:val="88"/>
              </w:rPr>
              <w:t>Subordinated Securities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rPr>
              <w:t>Preferred Shares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 xml:space="preserve">Katonah X CLO Ltd </w:t>
            </w:r>
            <w:r>
              <w:rPr>
                <w:rFonts w:ascii="Arial" w:cs="Arial" w:eastAsia="Arial" w:hAnsi="Arial"/>
                <w:sz w:val="29"/>
                <w:szCs w:val="29"/>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w w:val="88"/>
              </w:rPr>
              <w:t>Subordinated Securities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rPr>
              <w:t>Preferred Shares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rPr>
              <w:t>Preferred Shares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rPr>
              <w:t>Subordinated Notes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rPr>
              <w:t>Income Notes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rPr>
              <w:t>Income Notes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rPr>
              <w:t>Subordinated Notes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Catamaran CLO 2013- 1 Ltd.</w:t>
            </w:r>
            <w:r>
              <w:rPr>
                <w:rFonts w:ascii="Arial" w:cs="Arial" w:eastAsia="Arial" w:hAnsi="Arial"/>
                <w:sz w:val="29"/>
                <w:szCs w:val="29"/>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rPr>
              <w:t>Subordinated Notes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rPr>
              <w:t>Subordinated Notes</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Dryden 30 Senior Loan Fund</w:t>
            </w:r>
            <w:r>
              <w:rPr>
                <w:rFonts w:ascii="Arial" w:cs="Arial" w:eastAsia="Arial" w:hAnsi="Arial"/>
                <w:sz w:val="29"/>
                <w:szCs w:val="29"/>
                <w:color w:val="auto"/>
                <w:vertAlign w:val="superscript"/>
              </w:rPr>
              <w:t>3</w:t>
            </w:r>
          </w:p>
        </w:tc>
        <w:tc>
          <w:tcPr>
            <w:tcW w:w="1840" w:type="dxa"/>
            <w:vAlign w:val="bottom"/>
          </w:tcPr>
          <w:p>
            <w:pPr>
              <w:ind w:left="120"/>
              <w:spacing w:after="0"/>
              <w:rPr>
                <w:sz w:val="20"/>
                <w:szCs w:val="20"/>
                <w:color w:val="auto"/>
              </w:rPr>
            </w:pPr>
            <w:r>
              <w:rPr>
                <w:rFonts w:ascii="Arial" w:cs="Arial" w:eastAsia="Arial" w:hAnsi="Arial"/>
                <w:sz w:val="18"/>
                <w:szCs w:val="18"/>
                <w:color w:val="auto"/>
              </w:rPr>
              <w:t>Subordinated Notes</w:t>
            </w:r>
          </w:p>
        </w:tc>
      </w:tr>
      <w:tr>
        <w:trPr>
          <w:trHeight w:val="394"/>
        </w:trPr>
        <w:tc>
          <w:tcPr>
            <w:tcW w:w="4580" w:type="dxa"/>
            <w:vAlign w:val="bottom"/>
          </w:tcPr>
          <w:p>
            <w:pPr>
              <w:spacing w:after="0"/>
              <w:rPr>
                <w:sz w:val="20"/>
                <w:szCs w:val="20"/>
                <w:color w:val="auto"/>
              </w:rPr>
            </w:pPr>
            <w:r>
              <w:rPr>
                <w:rFonts w:ascii="Arial" w:cs="Arial" w:eastAsia="Arial" w:hAnsi="Arial"/>
                <w:sz w:val="18"/>
                <w:szCs w:val="18"/>
                <w:color w:val="auto"/>
              </w:rPr>
              <w:t>Catamaran CLO 2014-2 Ltd.</w:t>
            </w:r>
            <w:r>
              <w:rPr>
                <w:rFonts w:ascii="Arial" w:cs="Arial" w:eastAsia="Arial" w:hAnsi="Arial"/>
                <w:sz w:val="30"/>
                <w:szCs w:val="30"/>
                <w:color w:val="auto"/>
                <w:vertAlign w:val="superscript"/>
              </w:rPr>
              <w:t>3, 6</w:t>
            </w:r>
          </w:p>
        </w:tc>
        <w:tc>
          <w:tcPr>
            <w:tcW w:w="1840" w:type="dxa"/>
            <w:vAlign w:val="bottom"/>
          </w:tcPr>
          <w:p>
            <w:pPr>
              <w:ind w:left="120"/>
              <w:spacing w:after="0"/>
              <w:rPr>
                <w:sz w:val="20"/>
                <w:szCs w:val="20"/>
                <w:color w:val="auto"/>
              </w:rPr>
            </w:pPr>
            <w:r>
              <w:rPr>
                <w:rFonts w:ascii="Arial" w:cs="Arial" w:eastAsia="Arial" w:hAnsi="Arial"/>
                <w:sz w:val="18"/>
                <w:szCs w:val="18"/>
                <w:color w:val="auto"/>
              </w:rPr>
              <w:t>Subordinated Notes</w:t>
            </w:r>
          </w:p>
        </w:tc>
      </w:tr>
      <w:tr>
        <w:trPr>
          <w:trHeight w:val="318"/>
        </w:trPr>
        <w:tc>
          <w:tcPr>
            <w:tcW w:w="4580" w:type="dxa"/>
            <w:vAlign w:val="bottom"/>
          </w:tcPr>
          <w:p>
            <w:pPr>
              <w:spacing w:after="0"/>
              <w:rPr>
                <w:sz w:val="20"/>
                <w:szCs w:val="20"/>
                <w:color w:val="auto"/>
              </w:rPr>
            </w:pPr>
            <w:r>
              <w:rPr>
                <w:rFonts w:ascii="Arial" w:cs="Arial" w:eastAsia="Arial" w:hAnsi="Arial"/>
                <w:sz w:val="18"/>
                <w:szCs w:val="18"/>
                <w:b w:val="1"/>
                <w:bCs w:val="1"/>
                <w:color w:val="auto"/>
              </w:rPr>
              <w:t>Total Investment in CLO Subordinated Securities,</w:t>
            </w:r>
          </w:p>
        </w:tc>
        <w:tc>
          <w:tcPr>
            <w:tcW w:w="1840" w:type="dxa"/>
            <w:vAlign w:val="bottom"/>
          </w:tcPr>
          <w:p>
            <w:pPr>
              <w:spacing w:after="0"/>
              <w:rPr>
                <w:sz w:val="24"/>
                <w:szCs w:val="24"/>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Preferred Shares and Income Notes</w:t>
            </w:r>
          </w:p>
        </w:tc>
        <w:tc>
          <w:tcPr>
            <w:tcW w:w="1840" w:type="dxa"/>
            <w:vAlign w:val="bottom"/>
          </w:tcPr>
          <w:p>
            <w:pPr>
              <w:spacing w:after="0"/>
              <w:rPr>
                <w:sz w:val="20"/>
                <w:szCs w:val="20"/>
                <w:color w:val="auto"/>
              </w:rPr>
            </w:pPr>
          </w:p>
        </w:tc>
      </w:tr>
      <w:tr>
        <w:trPr>
          <w:trHeight w:val="675"/>
        </w:trPr>
        <w:tc>
          <w:tcPr>
            <w:tcW w:w="4580" w:type="dxa"/>
            <w:vAlign w:val="bottom"/>
          </w:tcPr>
          <w:p>
            <w:pPr>
              <w:spacing w:after="0"/>
              <w:rPr>
                <w:sz w:val="24"/>
                <w:szCs w:val="24"/>
                <w:color w:val="auto"/>
              </w:rPr>
            </w:pPr>
          </w:p>
        </w:tc>
        <w:tc>
          <w:tcPr>
            <w:tcW w:w="1840" w:type="dxa"/>
            <w:vAlign w:val="bottom"/>
          </w:tcPr>
          <w:p>
            <w:pPr>
              <w:ind w:left="1040"/>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-3138170</wp:posOffset>
            </wp:positionV>
            <wp:extent cx="724662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-2812415</wp:posOffset>
            </wp:positionV>
            <wp:extent cx="724662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-2486025</wp:posOffset>
            </wp:positionV>
            <wp:extent cx="724662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-2160270</wp:posOffset>
            </wp:positionV>
            <wp:extent cx="724662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-1834515</wp:posOffset>
            </wp:positionV>
            <wp:extent cx="724662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-1508760</wp:posOffset>
            </wp:positionV>
            <wp:extent cx="724662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-1183005</wp:posOffset>
            </wp:positionV>
            <wp:extent cx="724662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2466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-3472815</wp:posOffset>
            </wp:positionV>
            <wp:extent cx="72466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0" w:type="dxa"/>
            <w:vAlign w:val="bottom"/>
          </w:tcPr>
          <w:p>
            <w:pPr>
              <w:spacing w:after="0"/>
              <w:rPr>
                <w:sz w:val="1"/>
                <w:szCs w:val="1"/>
                <w:color w:val="auto"/>
              </w:rPr>
            </w:pPr>
          </w:p>
        </w:tc>
      </w:tr>
      <w:tr>
        <w:trPr>
          <w:trHeight w:val="234"/>
        </w:trPr>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Ownership/Shares</w:t>
            </w:r>
          </w:p>
        </w:tc>
        <w:tc>
          <w:tcPr>
            <w:tcW w:w="6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891,000</w:t>
            </w:r>
          </w:p>
        </w:tc>
        <w:tc>
          <w:tcPr>
            <w:tcW w:w="0" w:type="dxa"/>
            <w:vAlign w:val="bottom"/>
          </w:tcPr>
          <w:p>
            <w:pPr>
              <w:spacing w:after="0"/>
              <w:rPr>
                <w:sz w:val="1"/>
                <w:szCs w:val="1"/>
                <w:color w:val="auto"/>
              </w:rPr>
            </w:pPr>
          </w:p>
        </w:tc>
      </w:tr>
      <w:tr>
        <w:trPr>
          <w:trHeight w:val="689"/>
        </w:trPr>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980,000</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573,750</w:t>
            </w:r>
          </w:p>
        </w:tc>
        <w:tc>
          <w:tcPr>
            <w:tcW w:w="0" w:type="dxa"/>
            <w:vAlign w:val="bottom"/>
          </w:tcPr>
          <w:p>
            <w:pPr>
              <w:spacing w:after="0"/>
              <w:rPr>
                <w:sz w:val="1"/>
                <w:szCs w:val="1"/>
                <w:color w:val="auto"/>
              </w:rPr>
            </w:pPr>
          </w:p>
        </w:tc>
      </w:tr>
      <w:tr>
        <w:trPr>
          <w:trHeight w:val="689"/>
        </w:trPr>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185,204</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99,752</w:t>
            </w:r>
          </w:p>
        </w:tc>
        <w:tc>
          <w:tcPr>
            <w:tcW w:w="0" w:type="dxa"/>
            <w:vAlign w:val="bottom"/>
          </w:tcPr>
          <w:p>
            <w:pPr>
              <w:spacing w:after="0"/>
              <w:rPr>
                <w:sz w:val="1"/>
                <w:szCs w:val="1"/>
                <w:color w:val="auto"/>
              </w:rPr>
            </w:pPr>
          </w:p>
        </w:tc>
      </w:tr>
      <w:tr>
        <w:trPr>
          <w:trHeight w:val="702"/>
        </w:trPr>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1,788,886</w:t>
            </w:r>
          </w:p>
        </w:tc>
        <w:tc>
          <w:tcPr>
            <w:tcW w:w="0" w:type="dxa"/>
            <w:vAlign w:val="bottom"/>
          </w:tcPr>
          <w:p>
            <w:pPr>
              <w:spacing w:after="0"/>
              <w:rPr>
                <w:sz w:val="1"/>
                <w:szCs w:val="1"/>
                <w:color w:val="auto"/>
              </w:rPr>
            </w:pPr>
          </w:p>
        </w:tc>
      </w:tr>
      <w:tr>
        <w:trPr>
          <w:trHeight w:val="655"/>
        </w:trPr>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8,828,812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8,119,681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-153670</wp:posOffset>
            </wp:positionV>
            <wp:extent cx="4408170"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40817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0" w:type="dxa"/>
            <w:vAlign w:val="bottom"/>
          </w:tcPr>
          <w:p>
            <w:pPr>
              <w:spacing w:after="0"/>
              <w:rPr>
                <w:sz w:val="1"/>
                <w:szCs w:val="1"/>
                <w:color w:val="auto"/>
              </w:rPr>
            </w:pPr>
          </w:p>
        </w:tc>
      </w:tr>
      <w:tr>
        <w:trPr>
          <w:trHeight w:val="234"/>
        </w:trPr>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Ownership</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Amortized Cost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2,254,638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469,131</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1,015,334</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3,563,252</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2,755,267</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1,262,496</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594,989</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8,910,471</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4,863,001</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23,471,779</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25,191,782</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11,094</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1,292,698</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1,657,020</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1,531,142</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1,950,000</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1,399,074</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2,084,394</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7,994,677</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5,793,924</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7,492,702</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7,874,910</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10,473,628</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8,867,176</w:t>
            </w:r>
          </w:p>
        </w:tc>
        <w:tc>
          <w:tcPr>
            <w:tcW w:w="0" w:type="dxa"/>
            <w:vAlign w:val="bottom"/>
          </w:tcPr>
          <w:p>
            <w:pPr>
              <w:spacing w:after="0"/>
              <w:rPr>
                <w:sz w:val="1"/>
                <w:szCs w:val="1"/>
                <w:color w:val="auto"/>
              </w:rPr>
            </w:pPr>
          </w:p>
        </w:tc>
      </w:tr>
      <w:tr>
        <w:trPr>
          <w:trHeight w:val="257"/>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2,263,321</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2,506,075</w:t>
            </w:r>
          </w:p>
        </w:tc>
        <w:tc>
          <w:tcPr>
            <w:tcW w:w="0" w:type="dxa"/>
            <w:vAlign w:val="bottom"/>
          </w:tcPr>
          <w:p>
            <w:pPr>
              <w:spacing w:after="0"/>
              <w:rPr>
                <w:sz w:val="1"/>
                <w:szCs w:val="1"/>
                <w:color w:val="auto"/>
              </w:rPr>
            </w:pPr>
          </w:p>
        </w:tc>
      </w:tr>
      <w:tr>
        <w:trPr>
          <w:trHeight w:val="270"/>
        </w:trPr>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9,862,799</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8,761,500</w:t>
            </w:r>
          </w:p>
        </w:tc>
        <w:tc>
          <w:tcPr>
            <w:tcW w:w="0" w:type="dxa"/>
            <w:vAlign w:val="bottom"/>
          </w:tcPr>
          <w:p>
            <w:pPr>
              <w:spacing w:after="0"/>
              <w:rPr>
                <w:sz w:val="1"/>
                <w:szCs w:val="1"/>
                <w:color w:val="auto"/>
              </w:rPr>
            </w:pPr>
          </w:p>
        </w:tc>
      </w:tr>
      <w:tr>
        <w:trPr>
          <w:trHeight w:val="655"/>
        </w:trPr>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85,554,372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72,014,902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820" w:space="120"/>
            <w:col w:w="4380"/>
          </w:cols>
          <w:pgMar w:left="240" w:top="877"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Investments</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Catamaran CLO 2012-1 Ltd.</w:t>
            </w:r>
            <w:r>
              <w:rPr>
                <w:rFonts w:ascii="Arial" w:cs="Arial" w:eastAsia="Arial" w:hAnsi="Arial"/>
                <w:sz w:val="22"/>
                <w:szCs w:val="22"/>
                <w:color w:val="auto"/>
                <w:vertAlign w:val="superscript"/>
              </w:rPr>
              <w:t>3, 6</w:t>
            </w: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Class F Notes</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 Value of $4,500,000</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12/23</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3,917,442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Catamaran CLO 2014-1 Ltd.</w:t>
            </w:r>
            <w:r>
              <w:rPr>
                <w:rFonts w:ascii="Arial" w:cs="Arial" w:eastAsia="Arial" w:hAnsi="Arial"/>
                <w:sz w:val="23"/>
                <w:szCs w:val="23"/>
                <w:color w:val="auto"/>
                <w:vertAlign w:val="superscript"/>
              </w:rPr>
              <w:t>3, 6</w:t>
            </w:r>
          </w:p>
        </w:tc>
        <w:tc>
          <w:tcPr>
            <w:tcW w:w="25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Class E Notes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 Value of $1,525,000</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1"/>
                <w:szCs w:val="21"/>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4/26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1,417,376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Rated-Note</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5,334,818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Fund Securities</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(30% of net asset value at fair value)</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90,889,190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77,514,902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right="940"/>
        <w:spacing w:after="0" w:line="292" w:lineRule="auto"/>
        <w:rPr>
          <w:sz w:val="20"/>
          <w:szCs w:val="20"/>
          <w:color w:val="auto"/>
        </w:rPr>
      </w:pPr>
      <w:r>
        <w:rPr>
          <w:rFonts w:ascii="Arial" w:cs="Arial" w:eastAsia="Arial" w:hAnsi="Arial"/>
          <w:sz w:val="18"/>
          <w:szCs w:val="18"/>
          <w:b w:val="1"/>
          <w:bCs w:val="1"/>
          <w:color w:val="auto"/>
        </w:rPr>
        <w:t xml:space="preserve">Portfolio Company / Principal Business </w:t>
      </w: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9</w:t>
      </w:r>
    </w:p>
    <w:p>
      <w:pPr>
        <w:spacing w:after="0" w:line="31" w:lineRule="exact"/>
        <w:rPr>
          <w:sz w:val="20"/>
          <w:szCs w:val="20"/>
          <w:color w:val="auto"/>
        </w:rPr>
      </w:pPr>
    </w:p>
    <w:p>
      <w:pPr>
        <w:ind w:left="180" w:right="540" w:hanging="161"/>
        <w:spacing w:after="0" w:line="347" w:lineRule="auto"/>
        <w:rPr>
          <w:sz w:val="20"/>
          <w:szCs w:val="20"/>
          <w:color w:val="auto"/>
        </w:rPr>
      </w:pPr>
      <w:r>
        <w:rPr>
          <w:rFonts w:ascii="Arial" w:cs="Arial" w:eastAsia="Arial" w:hAnsi="Arial"/>
          <w:sz w:val="16"/>
          <w:szCs w:val="16"/>
          <w:b w:val="1"/>
          <w:bCs w:val="1"/>
          <w:color w:val="auto"/>
        </w:rPr>
        <w:t>Total Investment in Asset Manager Affiliates (28% of net asset value at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 Deposits and Money Market Account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Percentage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0" w:type="dxa"/>
            <w:vAlign w:val="bottom"/>
          </w:tcPr>
          <w:p>
            <w:pPr>
              <w:spacing w:after="0"/>
              <w:rPr>
                <w:sz w:val="1"/>
                <w:szCs w:val="1"/>
                <w:color w:val="auto"/>
              </w:rPr>
            </w:pPr>
          </w:p>
        </w:tc>
      </w:tr>
      <w:tr>
        <w:trPr>
          <w:trHeight w:val="234"/>
        </w:trPr>
        <w:tc>
          <w:tcPr>
            <w:tcW w:w="240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7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Ownership</w:t>
            </w: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5"/>
              </w:rPr>
              <w:t>Asset Management Company</w:t>
            </w:r>
          </w:p>
        </w:tc>
        <w:tc>
          <w:tcPr>
            <w:tcW w:w="100" w:type="dxa"/>
            <w:vAlign w:val="bottom"/>
            <w:vMerge w:val="continue"/>
          </w:tcPr>
          <w:p>
            <w:pPr>
              <w:spacing w:after="0"/>
              <w:rPr>
                <w:sz w:val="21"/>
                <w:szCs w:val="21"/>
                <w:color w:val="auto"/>
              </w:rPr>
            </w:pP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100.0%  $</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60,292,677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72,326,000</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60,292,677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72,326,000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-290830</wp:posOffset>
            </wp:positionV>
            <wp:extent cx="7246620" cy="2832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-599440</wp:posOffset>
            </wp:positionV>
            <wp:extent cx="72466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3980" w:space="720"/>
            <w:col w:w="6720"/>
          </w:cols>
          <w:pgMar w:left="240" w:top="904" w:right="239" w:bottom="144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Par / 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Time Deposit and Money Market Accounts</w:t>
            </w:r>
          </w:p>
        </w:tc>
        <w:tc>
          <w:tcPr>
            <w:tcW w:w="25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Yield</w:t>
            </w:r>
          </w:p>
        </w:tc>
        <w:tc>
          <w:tcPr>
            <w:tcW w:w="2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JP Morgan Business Money Market Account</w:t>
            </w:r>
            <w:r>
              <w:rPr>
                <w:rFonts w:ascii="Arial" w:cs="Arial" w:eastAsia="Arial" w:hAnsi="Arial"/>
                <w:sz w:val="28"/>
                <w:szCs w:val="28"/>
                <w:color w:val="auto"/>
                <w:vertAlign w:val="superscript"/>
              </w:rPr>
              <w:t>8, 9</w:t>
            </w:r>
          </w:p>
        </w:tc>
        <w:tc>
          <w:tcPr>
            <w:tcW w:w="120" w:type="dxa"/>
            <w:vAlign w:val="bottom"/>
            <w:vMerge w:val="continue"/>
            <w:shd w:val="clear" w:color="auto" w:fill="CCEEFF"/>
          </w:tcPr>
          <w:p>
            <w:pPr>
              <w:spacing w:after="0"/>
              <w:rPr>
                <w:sz w:val="21"/>
                <w:szCs w:val="21"/>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00" w:type="dxa"/>
            <w:vAlign w:val="bottom"/>
            <w:vMerge w:val="continue"/>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9</w:t>
            </w: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Money Market Account</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1,353,636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1,353,636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08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Time Deposit and Money Market Accounts</w:t>
            </w:r>
          </w:p>
        </w:tc>
        <w:tc>
          <w:tcPr>
            <w:tcW w:w="12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(1% of net asset value at fair value)</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Total Investments</w:t>
            </w:r>
            <w:r>
              <w:rPr>
                <w:rFonts w:ascii="Arial" w:cs="Arial" w:eastAsia="Arial" w:hAnsi="Arial"/>
                <w:sz w:val="27"/>
                <w:szCs w:val="27"/>
                <w:b w:val="1"/>
                <w:bCs w:val="1"/>
                <w:color w:val="auto"/>
                <w:vertAlign w:val="superscript"/>
              </w:rPr>
              <w:t>4</w:t>
            </w:r>
          </w:p>
        </w:tc>
        <w:tc>
          <w:tcPr>
            <w:tcW w:w="1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(188% of net asset value at fair value)</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484,498,354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479,706,494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3" w:name="page34"/>
    <w:bookmarkEnd w:id="33"/>
    <w:p>
      <w:pPr>
        <w:ind w:left="310" w:hanging="310"/>
        <w:spacing w:after="0" w:line="221" w:lineRule="auto"/>
        <w:tabs>
          <w:tab w:leader="none" w:pos="31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w:t>
      </w:r>
    </w:p>
    <w:p>
      <w:pPr>
        <w:spacing w:after="0" w:line="2" w:lineRule="exact"/>
        <w:rPr>
          <w:sz w:val="20"/>
          <w:szCs w:val="20"/>
          <w:color w:val="auto"/>
        </w:rPr>
      </w:pPr>
    </w:p>
    <w:p>
      <w:pPr>
        <w:ind w:left="310" w:right="120"/>
        <w:spacing w:after="0" w:line="250" w:lineRule="auto"/>
        <w:rPr>
          <w:sz w:val="20"/>
          <w:szCs w:val="20"/>
          <w:color w:val="auto"/>
        </w:rPr>
      </w:pPr>
      <w:r>
        <w:rPr>
          <w:rFonts w:ascii="Arial" w:cs="Arial" w:eastAsia="Arial" w:hAnsi="Arial"/>
          <w:sz w:val="18"/>
          <w:szCs w:val="18"/>
          <w:color w:val="auto"/>
        </w:rPr>
        <w:t>borrower’s option. The Borrower may also elect to have multiple interest reset periods for each loan. For each such loan, the Company has provided the weighted average annual stated interest rate in effect at December 31, 2014. As noted in the table above, 75% (based on par) of debt securities contain LIBOR floors which range between 0.75% and 3.00%.</w:t>
      </w:r>
    </w:p>
    <w:p>
      <w:pPr>
        <w:ind w:left="310" w:hanging="310"/>
        <w:spacing w:after="0" w:line="181" w:lineRule="auto"/>
        <w:tabs>
          <w:tab w:leader="none" w:pos="31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December 31, 2014, as determined by the Company’s Board of Directors.</w:t>
      </w:r>
    </w:p>
    <w:p>
      <w:pPr>
        <w:ind w:left="310" w:hanging="310"/>
        <w:spacing w:after="0" w:line="180" w:lineRule="auto"/>
        <w:tabs>
          <w:tab w:leader="none" w:pos="31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310" w:hanging="310"/>
        <w:spacing w:after="0" w:line="181" w:lineRule="auto"/>
        <w:tabs>
          <w:tab w:leader="none" w:pos="31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The aggregate cost of investments for federal income tax purposes is approximately $502 million. The aggregate gross unrealized appreciation is</w:t>
      </w:r>
    </w:p>
    <w:p>
      <w:pPr>
        <w:spacing w:after="0" w:line="2" w:lineRule="exact"/>
        <w:rPr>
          <w:sz w:val="20"/>
          <w:szCs w:val="20"/>
          <w:color w:val="auto"/>
        </w:rPr>
      </w:pPr>
    </w:p>
    <w:p>
      <w:pPr>
        <w:ind w:left="310" w:right="760"/>
        <w:spacing w:after="0" w:line="249" w:lineRule="auto"/>
        <w:rPr>
          <w:sz w:val="20"/>
          <w:szCs w:val="20"/>
          <w:color w:val="auto"/>
        </w:rPr>
      </w:pPr>
      <w:r>
        <w:rPr>
          <w:rFonts w:ascii="Arial" w:cs="Arial" w:eastAsia="Arial" w:hAnsi="Arial"/>
          <w:sz w:val="18"/>
          <w:szCs w:val="18"/>
          <w:color w:val="auto"/>
        </w:rPr>
        <w:t>approximately $15.7 million, the aggregate gross unrealized depreciation is approximately $37.7 million, and the net unrealized depreciation is approximately $22 million.</w:t>
      </w:r>
    </w:p>
    <w:p>
      <w:pPr>
        <w:ind w:left="310" w:hanging="310"/>
        <w:spacing w:after="0" w:line="181" w:lineRule="auto"/>
        <w:tabs>
          <w:tab w:leader="none" w:pos="31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310" w:hanging="310"/>
        <w:spacing w:after="0" w:line="180" w:lineRule="auto"/>
        <w:tabs>
          <w:tab w:leader="none" w:pos="31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310" w:hanging="310"/>
        <w:spacing w:after="0" w:line="181" w:lineRule="auto"/>
        <w:tabs>
          <w:tab w:leader="none" w:pos="31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310" w:hanging="310"/>
        <w:spacing w:after="0" w:line="180" w:lineRule="auto"/>
        <w:tabs>
          <w:tab w:leader="none" w:pos="31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310" w:hanging="310"/>
        <w:spacing w:after="0" w:line="180" w:lineRule="auto"/>
        <w:tabs>
          <w:tab w:leader="none" w:pos="31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ind w:left="310" w:hanging="310"/>
        <w:spacing w:after="0" w:line="181" w:lineRule="auto"/>
        <w:tabs>
          <w:tab w:leader="none" w:pos="310"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As of December 31, 2014, this CLO Fund Security was not providing a taxable distribution.</w:t>
      </w:r>
    </w:p>
    <w:p>
      <w:pPr>
        <w:spacing w:after="0" w:line="1" w:lineRule="exact"/>
        <w:rPr>
          <w:rFonts w:ascii="Arial" w:cs="Arial" w:eastAsia="Arial" w:hAnsi="Arial"/>
          <w:sz w:val="25"/>
          <w:szCs w:val="25"/>
          <w:color w:val="auto"/>
          <w:vertAlign w:val="superscript"/>
        </w:rPr>
      </w:pPr>
    </w:p>
    <w:p>
      <w:pPr>
        <w:ind w:left="310" w:right="420" w:hanging="310"/>
        <w:spacing w:after="0" w:line="187" w:lineRule="auto"/>
        <w:tabs>
          <w:tab w:leader="none" w:pos="31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As of December 31, 2014, investment was owned by KCAP Senior Funding I, LLC and has been pledged to secure KCAP Senior Funding I, LLC’s obligations.</w:t>
      </w:r>
    </w:p>
    <w:p>
      <w:pPr>
        <w:spacing w:after="0" w:line="2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0"/>
          </w:cols>
          <w:pgMar w:left="270" w:top="881"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7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6.94</w:t>
            </w: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tcPr>
          <w:p>
            <w:pPr>
              <w:ind w:left="160"/>
              <w:spacing w:after="0" w:line="256" w:lineRule="exact"/>
              <w:rPr>
                <w:sz w:val="20"/>
                <w:szCs w:val="20"/>
                <w:color w:val="auto"/>
              </w:rPr>
            </w:pPr>
            <w:r>
              <w:rPr>
                <w:rFonts w:ascii="Arial" w:cs="Arial" w:eastAsia="Arial" w:hAnsi="Arial"/>
                <w:sz w:val="18"/>
                <w:szCs w:val="18"/>
                <w:color w:val="auto"/>
              </w:rPr>
              <w:t>Net realized gain (losses) from investments</w:t>
            </w:r>
            <w:r>
              <w:rPr>
                <w:rFonts w:ascii="Arial" w:cs="Arial" w:eastAsia="Arial" w:hAnsi="Arial"/>
                <w:sz w:val="29"/>
                <w:szCs w:val="29"/>
                <w:color w:val="auto"/>
                <w:vertAlign w:val="superscript"/>
              </w:rPr>
              <w:t>1</w:t>
            </w:r>
          </w:p>
        </w:tc>
        <w:tc>
          <w:tcPr>
            <w:tcW w:w="1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Net change in unrealized (depreciation) appreciation on investments</w:t>
            </w:r>
            <w:r>
              <w:rPr>
                <w:rFonts w:ascii="Arial" w:cs="Arial" w:eastAsia="Arial" w:hAnsi="Arial"/>
                <w:sz w:val="30"/>
                <w:szCs w:val="30"/>
                <w:color w:val="auto"/>
                <w:vertAlign w:val="superscript"/>
              </w:rPr>
              <w:t>1</w:t>
            </w:r>
          </w:p>
        </w:tc>
        <w:tc>
          <w:tcPr>
            <w:tcW w:w="1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Net increase in net assets resulting from operations</w:t>
            </w:r>
          </w:p>
        </w:tc>
        <w:tc>
          <w:tcPr>
            <w:tcW w:w="1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Distribution of ordinary income</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of capital</w:t>
            </w: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Net decrease in net assets resulting from distributions</w:t>
            </w:r>
          </w:p>
        </w:tc>
        <w:tc>
          <w:tcPr>
            <w:tcW w:w="1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relating to stock-based transactions:</w:t>
            </w: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increase in net assets relating to stock-based transactions</w:t>
            </w:r>
          </w:p>
        </w:tc>
        <w:tc>
          <w:tcPr>
            <w:tcW w:w="1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3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top w:val="single" w:sz="8" w:color="CCEEFF"/>
              <w:bottom w:val="single" w:sz="8" w:color="CCEEFF"/>
            </w:tcBorders>
            <w:vMerge w:val="restart"/>
          </w:tcPr>
          <w:p>
            <w:pPr>
              <w:spacing w:after="0" w:line="251" w:lineRule="exact"/>
              <w:rPr>
                <w:sz w:val="20"/>
                <w:szCs w:val="20"/>
                <w:color w:val="auto"/>
              </w:rPr>
            </w:pPr>
            <w:r>
              <w:rPr>
                <w:rFonts w:ascii="Arial" w:cs="Arial" w:eastAsia="Arial" w:hAnsi="Arial"/>
                <w:sz w:val="18"/>
                <w:szCs w:val="18"/>
                <w:color w:val="auto"/>
              </w:rPr>
              <w:t>Total net asset value return</w:t>
            </w:r>
            <w:r>
              <w:rPr>
                <w:rFonts w:ascii="Arial" w:cs="Arial" w:eastAsia="Arial" w:hAnsi="Arial"/>
                <w:sz w:val="29"/>
                <w:szCs w:val="29"/>
                <w:color w:val="auto"/>
                <w:vertAlign w:val="superscript"/>
              </w:rPr>
              <w:t>2</w:t>
            </w:r>
          </w:p>
        </w:tc>
        <w:tc>
          <w:tcPr>
            <w:tcW w:w="1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beginning of period</w:t>
            </w:r>
          </w:p>
        </w:tc>
        <w:tc>
          <w:tcPr>
            <w:tcW w:w="1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7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5.98</w:t>
            </w: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1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37,032,825</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33,725,223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257,796,358</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258,514,055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4</w:t>
            </w:r>
          </w:p>
        </w:tc>
        <w:tc>
          <w:tcPr>
            <w:tcW w:w="1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Average par debt outstanding</w:t>
            </w:r>
          </w:p>
        </w:tc>
        <w:tc>
          <w:tcPr>
            <w:tcW w:w="1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227,397,000</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195,658,000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Asset coverage ratio</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1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1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1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30"/>
                <w:szCs w:val="30"/>
                <w:color w:val="auto"/>
                <w:vertAlign w:val="superscript"/>
              </w:rPr>
              <w:t>5</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5387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09"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spacing w:after="0" w:line="26" w:lineRule="exact"/>
        <w:rPr>
          <w:sz w:val="20"/>
          <w:szCs w:val="20"/>
          <w:color w:val="auto"/>
        </w:rPr>
      </w:pPr>
    </w:p>
    <w:p>
      <w:pPr>
        <w:ind w:right="160" w:firstLine="8"/>
        <w:spacing w:after="0" w:line="194" w:lineRule="auto"/>
        <w:tabs>
          <w:tab w:leader="none" w:pos="297"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Total net asset value return (not annualized) equals the change in the net asset value per share over the beginning of period net asset value per share plus distributions (including any return of capital), divided by the beginning net asset value per share.</w:t>
      </w:r>
    </w:p>
    <w:p>
      <w:pPr>
        <w:spacing w:after="0" w:line="27" w:lineRule="exact"/>
        <w:rPr>
          <w:sz w:val="20"/>
          <w:szCs w:val="20"/>
          <w:color w:val="auto"/>
        </w:rPr>
      </w:pPr>
    </w:p>
    <w:p>
      <w:pPr>
        <w:ind w:right="220" w:firstLine="8"/>
        <w:spacing w:after="0" w:line="194" w:lineRule="auto"/>
        <w:tabs>
          <w:tab w:leader="none" w:pos="297"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Total market return equals the change in the ending market price over the beginning of period price per share plus distributions (including any return of capital), divided by the beginning price.</w:t>
      </w:r>
    </w:p>
    <w:p>
      <w:pPr>
        <w:ind w:left="300" w:hanging="292"/>
        <w:spacing w:after="0" w:line="184" w:lineRule="auto"/>
        <w:tabs>
          <w:tab w:leader="none" w:pos="30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Not annualized. Portfolio turnover rate equals the year-to-date sales and paydowns over the average of the invested assets at fair value.</w:t>
      </w:r>
    </w:p>
    <w:p>
      <w:pPr>
        <w:spacing w:after="0" w:line="43" w:lineRule="exact"/>
        <w:rPr>
          <w:rFonts w:ascii="Arial" w:cs="Arial" w:eastAsia="Arial" w:hAnsi="Arial"/>
          <w:sz w:val="29"/>
          <w:szCs w:val="29"/>
          <w:color w:val="auto"/>
          <w:vertAlign w:val="superscript"/>
        </w:rPr>
      </w:pP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   Annualized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controlled by the Company (collectively, “Katonah Debt Advisors”) and in securities issued by collateralized loan obligation funds (“CLO Funds”) managed by Katonah Debt Advisors and two other asset managers.</w:t>
      </w:r>
    </w:p>
    <w:p>
      <w:pPr>
        <w:spacing w:after="0" w:line="17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our common stock, and net proceeds of $27 million.</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February 29, 2012, the Company purchased Trimaran Advisors, L.L.C. (“Trimaran Advisors”), a CLO manager similar to Katonah Debt Advisors with assets under management of approximately $1.5 billion,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of June 30, 2015, Katonah Debt Advisors and Trimaran Advisors, as well as affiliated management companies Katonah 2007-1 Management, L.L.C., Katonah X Management, L.L.C. and Trimaran Advisors Management, L.L.C. (collectively the “Asset Manager Affiliates”) have approximately $3.2 billion of par value assets under management. The Asset Manager Affiliates are each managed independently from KCAP Financial by a separate management team (however, certain of the Company’s executive officers also act in similar capacities for one or both of the Asset Manager Affiliates). The Asset Manager Affiliates provide investment management services to CLO Funds, making day-to-day investment decisions concerning the assets of the CLO Funds. The Asset Manager Affiliates do not have any investment interest in the CLO Funds they manage, however KCAP Financial holds investments in a portion of the securities issued by the CLO Funds managed by the Asset Manager Affiliates.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three principal areas of investment:</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Second, the Company has invested in Asset Manager Affiliates that manage collateralized loan obligation funds (“CLOs”).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ind w:right="60" w:firstLine="324"/>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our Asset Manager Affiliates, but from time-to-time the Company makes investments in CLO Fund Securities managed by other asset managers. The CLOs typically invest in broadly syndicated loans, high-yield bonds and other credit instruments.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3" w:lineRule="exact"/>
        <w:rPr>
          <w:sz w:val="20"/>
          <w:szCs w:val="20"/>
          <w:color w:val="auto"/>
        </w:rPr>
      </w:pPr>
    </w:p>
    <w:p>
      <w:pPr>
        <w:ind w:left="260" w:right="7840" w:hanging="252"/>
        <w:spacing w:after="0" w:line="503" w:lineRule="auto"/>
        <w:tabs>
          <w:tab w:leader="none" w:pos="181"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2014, as filed with the U.S. Securities and Exchange Commission (the “Commission” or the “SEC”).</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management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9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17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Asset Manager Affiliates are subject to Accounting Standards Codification Topic 810, “Consolidation” and although the Company cannot consolidate the financial statements of portfolio company investments, this guidance impacts the required disclosures relating to the Asset Manager Affiliates, as it requires the Asset Manager Affiliates to consolidate the financial statements of managed CLO Funds. As a result of the consolidation of the financial statements of the CLOs into the financial statements of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in accordance with Rule 3-09 of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and Katonah 2007-I CLO (pursuant to Rule 3-09) is set forth in Note 5 to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ind w:right="60" w:firstLine="324"/>
        <w:spacing w:after="0" w:line="276" w:lineRule="auto"/>
        <w:rPr>
          <w:sz w:val="20"/>
          <w:szCs w:val="20"/>
          <w:color w:val="auto"/>
        </w:rPr>
      </w:pPr>
      <w:r>
        <w:rPr>
          <w:rFonts w:ascii="Arial" w:cs="Arial" w:eastAsia="Arial" w:hAnsi="Arial"/>
          <w:sz w:val="17"/>
          <w:szCs w:val="17"/>
          <w:color w:val="auto"/>
        </w:rPr>
        <w:t>Stockholder distributions on the Statement of Changes in Net Assets reflect the estimated allocation, between net investment income and return of capital, of distributions made during the reporting period, excluding the distribution declared in a quarter with a record date occurring after the quarter-end. The determination of the tax character of distributions is made on an annual (full calendar-year) basis. The determination of the tax attributes is made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7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It is the Company’s primary investment objective to generate current income and capital appreciation by lending directly to privately-held middle market companies. During the six months ended June 30, 2015, the Company provided $45 million to portfolio companies to support their growth objectives. None of this support was contractually obligated. See also Note 8 – Commitments and Contingencies. As of June 30, 2015, the Company holds loans it has made to 99 investee companies with aggregate principal amounts of $273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leading a syndicate of lenders to provide the investee companies with financing. During the six month period ended June 30, 2015, the Company did not make any such introductions or lead any syndicates.</w:t>
      </w:r>
    </w:p>
    <w:p>
      <w:pPr>
        <w:spacing w:after="0" w:line="19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August 2014, the Financial Accounting Standards Board (“FASB”) issued Accounting Standards Update (“ASU”) 2014- 15, “Presentation of Financial Statements — Going Concern (Subtopic 205-40): Disclosure of Uncertainties about an Entity’s Ability to Continue as a Going Concern” (“ASU 2014-15”). The standard requires management to evaluate, at each interim and annual reporting period, whether there are conditions or events that raise substantial doubt about the entity’s ability to continue as a going concern within one year after the date the financial statements are issued, and provide related disclosures. ASU 2014- 15 is effective for annual periods ending after December 15, 2016, and for annual and interim periods thereafter, and early adoption is permitted. We do not expect to adopt ASU 2014-15 early, and we do not believe the standard will have a material impact on our financial statements, when adopted.</w:t>
      </w:r>
    </w:p>
    <w:p>
      <w:pPr>
        <w:spacing w:after="0" w:line="16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On February 18, 2015, the FASB issued Accounting Standards Update 2015-2, which updated consolidation standards under ASC Topic 810, “Consolidation”. Under this update, a new consolidation analysis is required for variable interest entities (“VIEs”) and will limit the circumstances in which investment managers and similar entities are required to consolidate the entities that they manage. The FASB decided to eliminate some of the criteria under which their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We do not expect the adoption of ASU 2015-2 to have a material impact to the Company’s financial statements.</w:t>
      </w:r>
    </w:p>
    <w:p>
      <w:pPr>
        <w:spacing w:after="0" w:line="16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April 2015, the FASB issued Accounting Standards Update 2015-03, Interest – Imputation of Interest (Subtopic 835-30): Simplifying the Presentation of Debt Issuance Costs. Under this guidance, debt issuance costs related to a recognized debt liability are to be presented as a direct deduction from the debt liability rather than as an asset on the balance sheet, consistent with debt discounts. For public business entities, the final guidance will be effective for fiscal years beginning after December 15, 2015, and interim periods within those fiscal years. Early adoption is permitted. The Company intends to adopt the new guidance beginning the first quarter of 2016.</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The Company’s Board of Directors is ultimately and solely responsible for making a good faith determination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firstLine="324"/>
        <w:spacing w:after="0" w:line="259" w:lineRule="auto"/>
        <w:rPr>
          <w:sz w:val="20"/>
          <w:szCs w:val="20"/>
          <w:color w:val="auto"/>
        </w:rPr>
      </w:pPr>
      <w:r>
        <w:rPr>
          <w:rFonts w:ascii="Arial" w:cs="Arial" w:eastAsia="Arial" w:hAnsi="Arial"/>
          <w:sz w:val="18"/>
          <w:szCs w:val="18"/>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(see Note 4 – “Investments – Fair Value Measurements” for further information relating to Level I, Level II and Level III). The guidance also required that purchases, sales, issuances and settlements be presented gross in the Level III reconciliation.</w:t>
      </w:r>
    </w:p>
    <w:p>
      <w:pPr>
        <w:spacing w:after="0" w:line="18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70"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The Company utilizes an independent valuation firm to provide an annual third-party review of the Company’s CLO fair value model relative to its functionality, model inputs and calculations as a reasonable method to determine CLO fair values, in the absence of Level I or Level II trading activity or observable market inputs. The independent valuation firm’s 2014 annual review concluded that the Company’s CLO model appropriately factors in all the necessary inputs required to build a CLO equity cash flow model for fair value purposes and that the inputs were being employed correctly.</w:t>
      </w:r>
    </w:p>
    <w:p>
      <w:pPr>
        <w:spacing w:after="0" w:line="15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 month period. These third party valuation estimates are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 To the extent that the Company’s investments are exchange traded and are priced or have sufficient price indications from normal course</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at or around the valuation date (financial reporting date), such pricing will determine fair value.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9" w:name="page40"/>
    <w:bookmarkEnd w:id="39"/>
    <w:p>
      <w:pPr>
        <w:ind w:right="120" w:firstLine="32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In cases where the Company receives warrants to purchase equity securities, a market standard Black-Scholes model is utilized.</w:t>
      </w:r>
    </w:p>
    <w:p>
      <w:pPr>
        <w:spacing w:after="0" w:line="18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a percentage of assets under management. The Asset Manager Affiliates are classified as a Level III investment. Any change in value from period to period is recognized as net change in unrealized appreciation or depreciation.</w:t>
      </w:r>
    </w:p>
    <w:p>
      <w:pPr>
        <w:spacing w:after="0" w:line="193"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181"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0" w:name="page41"/>
    <w:bookmarkEnd w:id="40"/>
    <w:p>
      <w:pPr>
        <w:ind w:firstLine="32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consists of cash held for reinvestment, quarterly interest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(if any) to holders of notes issued by KCAP Senior Funding I, LLC.</w:t>
      </w:r>
    </w:p>
    <w:p>
      <w:pPr>
        <w:spacing w:after="0" w:line="170"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i w:val="1"/>
          <w:iCs w:val="1"/>
          <w:color w:val="auto"/>
        </w:rPr>
        <w:t>Time Deposits and Money Market Accounts</w:t>
      </w:r>
      <w:r>
        <w:rPr>
          <w:rFonts w:ascii="Arial" w:cs="Arial" w:eastAsia="Arial" w:hAnsi="Arial"/>
          <w:sz w:val="16"/>
          <w:szCs w:val="16"/>
          <w:color w:val="auto"/>
        </w:rPr>
        <w:t>. Time deposits primarily represent investments of cash held in demand deposit accounts.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primarily represent short term interest-bearing deposit accounts. Also includes restricted cash held under employee benefit plans.</w:t>
      </w:r>
    </w:p>
    <w:p>
      <w:pPr>
        <w:spacing w:after="0" w:line="124"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Interest income, including the amortization of premium and accretion of discount, is recorded on the accrual basis to the extent that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June 30, 2015, 1 issuer representing less than 1% of the Company’s total investments at fair value was on a non-accrual status.</w:t>
      </w:r>
    </w:p>
    <w:p>
      <w:pPr>
        <w:spacing w:after="0" w:line="1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Distributions from Asset Manager Affiliates</w:t>
      </w:r>
      <w:r>
        <w:rPr>
          <w:rFonts w:ascii="Arial" w:cs="Arial" w:eastAsia="Arial" w:hAnsi="Arial"/>
          <w:sz w:val="18"/>
          <w:szCs w:val="18"/>
          <w:color w:val="auto"/>
        </w:rPr>
        <w:t>. The Company records distributions from our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8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i w:val="1"/>
          <w:iCs w:val="1"/>
          <w:color w:val="auto"/>
        </w:rPr>
        <w:t>Investment Income on CLO Fund Securities</w:t>
      </w:r>
      <w:r>
        <w:rPr>
          <w:rFonts w:ascii="Arial" w:cs="Arial" w:eastAsia="Arial" w:hAnsi="Arial"/>
          <w:sz w:val="16"/>
          <w:szCs w:val="16"/>
          <w:color w:val="auto"/>
        </w:rPr>
        <w:t>. The Company generates investment income from its investments in the most junior class of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selective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6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ind w:right="220" w:firstLine="32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F Notes of the Catamaran 2012-1 CLO and Class E Notes of the Catamaran 2014-1 CLO, interest is earned at a fixed spread relative to the LIBOR index.</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and amortized using the effective interest method over the contractual term of the borrowing.</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i w:val="1"/>
          <w:iCs w:val="1"/>
          <w:color w:val="auto"/>
        </w:rPr>
        <w:t>Extinguishment of debt</w:t>
      </w:r>
      <w:r>
        <w:rPr>
          <w:rFonts w:ascii="Arial" w:cs="Arial" w:eastAsia="Arial" w:hAnsi="Arial"/>
          <w:sz w:val="17"/>
          <w:szCs w:val="17"/>
          <w:color w:val="auto"/>
        </w:rPr>
        <w:t>. An issuer must derecognize a liability if and only if it has been extinguished through delivery of cash, delivery of other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assets, delivery of goods or services, or reacquisition by the issuer of its outstanding debt securities whether the securities are cancelled or held. If the debt contains a cash conversion option, the issuer must allocate the consideration transferred and transaction costs incurred to the extinguishment of the liability component and the reacquisition of the equity component and recognize a gain or loss in the statement of operations.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Board of Directors each quarter.</w:t>
      </w:r>
    </w:p>
    <w:p>
      <w:pPr>
        <w:spacing w:after="0" w:line="170"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distributions automatically reinvested in additional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accordance with the provisions of ASC 260,“Earnings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in stockholders’ equity per share for the three and six months ended June 30, 2015 and 2014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0"/>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1,232,705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12,252,662</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8,904,995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15,694,256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decrease in net assets allocated to unvested share awards</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(20,663)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(115,402)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(149,482)</w:t>
            </w: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Notes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1,072,050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Amortization of Capitalized Costs on Convertible Notes</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104,430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206,867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available to common stockholders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1,212,042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13,313,740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8,755,513</w:t>
            </w:r>
          </w:p>
        </w:tc>
        <w:tc>
          <w:tcPr>
            <w:tcW w:w="2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17,906,993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line="195" w:lineRule="exact"/>
              <w:rPr>
                <w:sz w:val="20"/>
                <w:szCs w:val="20"/>
                <w:color w:val="auto"/>
              </w:rPr>
            </w:pPr>
            <w:r>
              <w:rPr>
                <w:rFonts w:ascii="Arial" w:cs="Arial" w:eastAsia="Arial" w:hAnsi="Arial"/>
                <w:sz w:val="18"/>
                <w:szCs w:val="18"/>
                <w:color w:val="auto"/>
                <w:w w:val="93"/>
              </w:rPr>
              <w:t>Weighted average number of common shares outstanding for basic shares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computation</w:t>
            </w: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36,886,129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33,405,189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36,860,341</w:t>
            </w: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33,371,764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 stock options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Convertible Notes</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6,306,217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6,306,217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Weighted average number of common and common stock equivalent shares</w:t>
            </w: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for diluted shares computation</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36,891,931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39,723,264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36,867,887</w:t>
            </w:r>
          </w:p>
        </w:tc>
        <w:tc>
          <w:tcPr>
            <w:tcW w:w="4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39,689,884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per basic common shares: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in net assets per diluted shares: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0.34</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40</w:t>
            </w: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42" w:name="page43"/>
    <w:bookmarkEnd w:id="42"/>
    <w:p>
      <w:pPr>
        <w:ind w:right="120" w:firstLine="32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There were 50,000 options to purchase shares of common stock for the three months ended June 30, 2015 and 2014. For the three months ended June 30, 2015 and 2014 options to purchase 5,802 and 11,858 shares of common stock, respectively, were included in the computation of diluted earnings per share. For the six months ended June 30, 2015 and 2014, options to purchase 7,546 and 11,903 shares of common stock, respectively, were included in the computation of diluted earnings per share. For the six months ended June 30, 2015, the company purchased 36,039 shares of treasury stock in connection with the vesting of employee’s restricted stock, such treasury shares reduce the weighted average shares outstanding in the computation of earnings per share.</w:t>
      </w:r>
    </w:p>
    <w:p>
      <w:pPr>
        <w:spacing w:after="0" w:line="1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Convertible Notes are included in the computation of the diluted net increase or decrease in net assets resulting from operations per share by application of the “if-converted method.” Under the if-converted method, interest charges applicable to the convertible notes for the period are added to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three months and six months ended June 30, 2015, the effects of the convertible notes are anti-dilutive.</w:t>
      </w:r>
    </w:p>
    <w:p>
      <w:pPr>
        <w:spacing w:after="0" w:line="19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if-converted method of computing the dilutive effects on convertible notes assumes a conversion even if the contracted conversion price exceeds the market value of the shares. As of June 30, 2015 the current conversion rate of the Convertible Notes is approximately 133.59 shares of our common stock per $1,000 principal amount of the Convertible Notes, equivalent to a conversion price of approximately $7.49 per share of the Company’s common stock. Upon conversion, the Company may issue the full amount of common stock and retire the full amount of debt outstanding or, at its option, settle the conversion in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June 30,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1"/>
              </w:rPr>
              <w:t>June 30, 2015 (unaudited)</w:t>
            </w: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b w:val="1"/>
                <w:bCs w:val="1"/>
                <w:color w:val="auto"/>
                <w:w w:val="99"/>
              </w:rPr>
              <w:t>December 31, 2014</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Security Type</w:t>
            </w:r>
          </w:p>
        </w:tc>
        <w:tc>
          <w:tcPr>
            <w:tcW w:w="10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3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2"/>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160" w:type="dxa"/>
            <w:vAlign w:val="bottom"/>
            <w:tcBorders>
              <w:bottom w:val="single" w:sz="8" w:color="CCEEFF"/>
            </w:tcBorders>
          </w:tcPr>
          <w:p>
            <w:pPr>
              <w:spacing w:after="0"/>
              <w:rPr>
                <w:sz w:val="21"/>
                <w:szCs w:val="21"/>
                <w:color w:val="auto"/>
              </w:rPr>
            </w:pPr>
          </w:p>
        </w:tc>
      </w:tr>
      <w:tr>
        <w:trPr>
          <w:trHeight w:val="237"/>
        </w:trPr>
        <w:tc>
          <w:tcPr>
            <w:tcW w:w="29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Money Market Accounts</w:t>
            </w:r>
            <w:r>
              <w:rPr>
                <w:rFonts w:ascii="Arial" w:cs="Arial" w:eastAsia="Arial" w:hAnsi="Arial"/>
                <w:sz w:val="27"/>
                <w:szCs w:val="27"/>
                <w:color w:val="auto"/>
                <w:vertAlign w:val="superscript"/>
              </w:rPr>
              <w:t>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16,457,816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16,457,816</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1,602,741</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Secured Loan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220,875,385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217,535,523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220,965,922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218,329,860</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86</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40,194,817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39,898,155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38,664,199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38,569,006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Unsecured Loan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10,143,525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10,143,525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33,066,984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33,066,984</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2,972,088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2,547,600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2,962,507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4,375,084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4,278,531</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4,295,544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4,240,301</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11,527,830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11,618,855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11,208,178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11,386,218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Secured Bond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1,512,620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1,481,700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1,515,584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1,552,500</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97,601,049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78,448,455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90,889,190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77,514,901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Equity Securities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8,514,487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7,542,085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8,828,812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8,119,681</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Preferred Securities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10,308,332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10,411,415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10,206,016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10,418,302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70"/>
        </w:trPr>
        <w:tc>
          <w:tcPr>
            <w:tcW w:w="2960" w:type="dxa"/>
            <w:vAlign w:val="bottom"/>
          </w:tcPr>
          <w:p>
            <w:pPr>
              <w:spacing w:after="0" w:line="269"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2</w:t>
            </w: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57,942,090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73,737,000</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60,292,677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72,326,000</w:t>
            </w:r>
          </w:p>
        </w:tc>
        <w:tc>
          <w:tcPr>
            <w:tcW w:w="200" w:type="dxa"/>
            <w:vAlign w:val="bottom"/>
          </w:tcPr>
          <w:p>
            <w:pPr>
              <w:spacing w:after="0"/>
              <w:rPr>
                <w:sz w:val="23"/>
                <w:szCs w:val="23"/>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r>
      <w:tr>
        <w:trPr>
          <w:trHeight w:val="223"/>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482,425,123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474,100,660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484,498,354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479,706,494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Represents percentage of Net Asset Value.</w:t>
      </w:r>
    </w:p>
    <w:p>
      <w:pPr>
        <w:ind w:left="340" w:hanging="332"/>
        <w:spacing w:after="0" w:line="180"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ind w:left="340" w:hanging="332"/>
        <w:spacing w:after="0" w:line="180"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ind w:left="340"/>
        <w:spacing w:after="0"/>
        <w:rPr>
          <w:sz w:val="20"/>
          <w:szCs w:val="20"/>
          <w:color w:val="auto"/>
        </w:rPr>
      </w:pPr>
      <w:r>
        <w:rPr>
          <w:rFonts w:ascii="Arial" w:cs="Arial" w:eastAsia="Arial" w:hAnsi="Arial"/>
          <w:sz w:val="16"/>
          <w:szCs w:val="16"/>
          <w:color w:val="auto"/>
        </w:rPr>
        <w:t>The industry concentrations based on the fair value of the Company’s investment portfolio as of June 30, 2015 and December 31, 2014,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8"/>
          </w:tcPr>
          <w:p>
            <w:pPr>
              <w:jc w:val="center"/>
              <w:ind w:left="490"/>
              <w:spacing w:after="0"/>
              <w:rPr>
                <w:sz w:val="20"/>
                <w:szCs w:val="20"/>
                <w:color w:val="auto"/>
              </w:rPr>
            </w:pPr>
            <w:r>
              <w:rPr>
                <w:rFonts w:ascii="Arial" w:cs="Arial" w:eastAsia="Arial" w:hAnsi="Arial"/>
                <w:sz w:val="18"/>
                <w:szCs w:val="18"/>
                <w:b w:val="1"/>
                <w:bCs w:val="1"/>
                <w:color w:val="auto"/>
                <w:w w:val="89"/>
              </w:rPr>
              <w:t>June 30, 2015 (unaudited)</w:t>
            </w:r>
          </w:p>
        </w:tc>
        <w:tc>
          <w:tcPr>
            <w:tcW w:w="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88"/>
              </w:rPr>
              <w:t>December 31, 2014</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4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160" w:type="dxa"/>
            <w:vAlign w:val="bottom"/>
            <w:tcBorders>
              <w:bottom w:val="single" w:sz="8" w:color="CCEEFF"/>
            </w:tcBorders>
          </w:tcPr>
          <w:p>
            <w:pPr>
              <w:spacing w:after="0"/>
              <w:rPr>
                <w:sz w:val="21"/>
                <w:szCs w:val="2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9,962,961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9,507,015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10,059,487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9,533,092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57"/>
        </w:trPr>
        <w:tc>
          <w:tcPr>
            <w:tcW w:w="362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57,942,090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73,737,000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60,292,677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72,326,000</w:t>
            </w:r>
          </w:p>
        </w:tc>
        <w:tc>
          <w:tcPr>
            <w:tcW w:w="2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Portfolio Company Loan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23,000,000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Automotive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8,338,128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8,288,792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8,362,956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8,312,548</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6,883,390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6,932,029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7,660,721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7,639,366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26,075,029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25,908,282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17,974,974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17,883,421</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9,503,020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10,144,194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9,486,407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10,351,329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9,813,938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9,817,440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6,348,226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6,210,253</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97,601,049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78,448,455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90,889,190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77,514,901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1,985,014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1,985,000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14,308,915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13,799,538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13,876,482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13,301,207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13,470,912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13,389,057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13,535,975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13,314,952</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2,916,649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2,930,328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2,946,734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Energy: Oil &amp; Gas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14,071,674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12,659,600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13,866,208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13,289,753</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12,836,897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12,869,296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12,942,593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12,911,017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5,902,645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5,939,900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5,917,051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5,942,523</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64,268,378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62,621,277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66,186,412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65,720,782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High Tech Industries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10,837,095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10,924,468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14,457,495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14,419,110</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3,219,576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2,825,862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3,392,481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2,962,315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11,239,642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10,844,244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11,318,815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11,396,027</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&amp; Subscription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10,468,451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10,360,599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14,477,078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14,409,401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Metals &amp; Mining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4,389,620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4,028,444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4,234,086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3,773,847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Services: Business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20,521,595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20,426,472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16,550,255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16,066,421</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Services: Consumer</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6,542,350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6,577,250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6,798,372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6,752,521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Telecommunications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15,111,618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14,979,978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22,030,434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21,865,864</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57"/>
        </w:trPr>
        <w:tc>
          <w:tcPr>
            <w:tcW w:w="3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3</w:t>
            </w: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16,457,815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16,457,816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1,602,741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1,602,741</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Transportation: Cargo</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21,724,053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21,876,962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20,156,700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20,455,941</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Utilities: Electric</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5,804,056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5,820,362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5,859,532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5,803,428</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23"/>
        </w:trPr>
        <w:tc>
          <w:tcPr>
            <w:tcW w:w="3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482,425,123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474,100,660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484,498,354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479,706,494</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ind w:left="340" w:hanging="332"/>
        <w:spacing w:after="0" w:line="180"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ind w:left="340" w:hanging="332"/>
        <w:spacing w:after="0" w:line="180"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 debt and equity securities of CLO Funds, distressed debt or debt and equity securities of public companies. The Company expects that these public companies generally will have debt that is non-investment grade. Within this 30% of the portfolio, the Company also may invest in debt of middle market companies located outside of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both"/>
        <w:ind w:right="120" w:firstLine="324"/>
        <w:spacing w:after="0" w:line="286" w:lineRule="auto"/>
        <w:rPr>
          <w:sz w:val="20"/>
          <w:szCs w:val="20"/>
          <w:color w:val="auto"/>
        </w:rPr>
      </w:pPr>
      <w:r>
        <w:rPr>
          <w:rFonts w:ascii="Arial" w:cs="Arial" w:eastAsia="Arial" w:hAnsi="Arial"/>
          <w:sz w:val="17"/>
          <w:szCs w:val="17"/>
          <w:color w:val="auto"/>
        </w:rPr>
        <w:t>At both June 30, 2015 and December 31, 2014, the total amount of non-qualifying assets was approximately 21%. The majority of non-qualifying assets were foreign investments which were approximately 16% of the Company’s total assets, respectively (including the Company’s investments in CLO Funds, which are typically domiciled outside the U.S. and represented approximately 16% of its total assets on such dates).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companies (at fair value) as of June 30,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1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center"/>
              <w:ind w:left="590"/>
              <w:spacing w:after="0"/>
              <w:rPr>
                <w:sz w:val="20"/>
                <w:szCs w:val="20"/>
                <w:color w:val="auto"/>
              </w:rPr>
            </w:pPr>
            <w:r>
              <w:rPr>
                <w:rFonts w:ascii="Arial" w:cs="Arial" w:eastAsia="Arial" w:hAnsi="Arial"/>
                <w:sz w:val="18"/>
                <w:szCs w:val="18"/>
                <w:b w:val="1"/>
                <w:bCs w:val="1"/>
                <w:color w:val="auto"/>
                <w:w w:val="89"/>
              </w:rPr>
              <w:t>June 30, 2015 (unaudited)</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5"/>
              </w:rPr>
              <w:t>Fair Value</w:t>
            </w: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4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57,942,090</w:t>
            </w:r>
          </w:p>
        </w:tc>
        <w:tc>
          <w:tcPr>
            <w:tcW w:w="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73,737,000</w:t>
            </w:r>
          </w:p>
        </w:tc>
        <w:tc>
          <w:tcPr>
            <w:tcW w:w="1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Katonah 2007-I CLO Ltd.</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23,740,077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24,674,912</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US Bank Money Market Account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16,208,632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16,208,632</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Crowley Holdings Preferred, LLC</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10,308,332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10,411,415</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Tank Partners Holdings, LLC</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10,416,387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9,788,240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Catamaran CLO 2015-1 Ltd.</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12,132,538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9,531,720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Restorix Health, Inc.</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8,124,738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8,124,738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Catamaran CLO 2014-1 Ltd.</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9,690,780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7,908,078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2014-2 Ltd.</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8,847,407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7,763,580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6,909,329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7,105,000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164,320,310</w:t>
            </w:r>
          </w:p>
        </w:tc>
        <w:tc>
          <w:tcPr>
            <w:tcW w:w="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175,253,315</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December 31, 2014</w:t>
            </w: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4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60,292,677</w:t>
            </w:r>
          </w:p>
        </w:tc>
        <w:tc>
          <w:tcPr>
            <w:tcW w:w="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18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Katonah 2007-I CLO Ltd.</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23,471,779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25,191,782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Trimaran Credit Facility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23,000,000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Crowley Holdings Preferred, LLC</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10,206,016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10,418,302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Tank Partners Holdings, LLC</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10,212,907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9,866,065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Catamaran CLO 2014-1 Ltd.</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10,473,628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8,867,176</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2014-2 Ltd.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9,862,799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8,761,500</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Restorix Health, Inc.</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8,063,397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8,063,397</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2013- 1 Ltd.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7,492,702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7,874,910</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6,894,754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7,105,000</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169,970,659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181,474,132</w:t>
            </w:r>
          </w:p>
        </w:tc>
        <w:tc>
          <w:tcPr>
            <w:tcW w:w="1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45" w:name="page46"/>
    <w:bookmarkEnd w:id="45"/>
    <w:p>
      <w:pPr>
        <w:ind w:right="280" w:firstLine="324"/>
        <w:spacing w:after="0" w:line="277" w:lineRule="auto"/>
        <w:rPr>
          <w:sz w:val="20"/>
          <w:szCs w:val="20"/>
          <w:color w:val="auto"/>
        </w:rPr>
      </w:pPr>
      <w:r>
        <w:rPr>
          <w:rFonts w:ascii="Arial" w:cs="Arial" w:eastAsia="Arial" w:hAnsi="Arial"/>
          <w:sz w:val="18"/>
          <w:szCs w:val="18"/>
          <w:color w:val="auto"/>
        </w:rPr>
        <w:t>Excluding the Asset Manager Affiliates and CLO Fund securities, the Company’s ten largest portfolio companies represented approximately 14% and 17% of the total fair value of the Company’s investments at June 30, 2015 and December 31,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 “Significant Accounting Policies —Investments”).</w:t>
      </w:r>
    </w:p>
    <w:p>
      <w:pPr>
        <w:spacing w:after="0" w:line="1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340" w:right="280" w:firstLine="32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340" w:right="40" w:firstLine="32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340" w:right="20" w:firstLine="32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6" w:name="page47"/>
    <w:bookmarkEnd w:id="46"/>
    <w:p>
      <w:pPr>
        <w:ind w:right="40" w:firstLine="324"/>
        <w:spacing w:after="0" w:line="289"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67"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June 30, 2015 (unaudited) and December 31, 2014,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90"/>
              </w:rPr>
              <w:t>As of June 30, 2015 (unaudited)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Level I</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II</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Level III</w:t>
            </w:r>
          </w:p>
        </w:tc>
        <w:tc>
          <w:tcPr>
            <w:tcW w:w="16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16,457,816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16,457,816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Debt securities</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138,608,514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159,306,790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297,915,304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78,448,455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78,448,455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Equity securities</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7,542,085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7,542,085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73,737,000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73,737,000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155,066,330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319,034,330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474,100,660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As of December 31, 2014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Level I</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II</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Level III</w:t>
            </w:r>
          </w:p>
        </w:tc>
        <w:tc>
          <w:tcPr>
            <w:tcW w:w="16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Debt securities</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149,124,827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171,018,343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320,143,170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77,514,902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77,514,902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Equity securities</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8,119,681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8,119,681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72,326,000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72,326,000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150,727,568</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328,978,926</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479,706,494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w:t>
      </w:r>
    </w:p>
    <w:p>
      <w:pPr>
        <w:spacing w:after="0" w:line="147"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47" w:name="page48"/>
    <w:bookmarkEnd w:id="47"/>
    <w:p>
      <w:pPr>
        <w:ind w:right="60" w:firstLine="32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Investments measured at fair value for which the Company has used unobservable inputs to determine fair value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8"/>
                <w:szCs w:val="18"/>
                <w:b w:val="1"/>
                <w:bCs w:val="1"/>
                <w:color w:val="auto"/>
                <w:w w:val="94"/>
              </w:rPr>
              <w:t>Six Months Ended June 30, 2015 (unaudited)</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171,018,343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77,514,902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328,978,926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Transfers out of Level III</w:t>
            </w:r>
          </w:p>
        </w:tc>
        <w:tc>
          <w:tcPr>
            <w:tcW w:w="240" w:type="dxa"/>
            <w:vAlign w:val="bottom"/>
          </w:tcPr>
          <w:p>
            <w:pPr>
              <w:spacing w:after="0"/>
              <w:rPr>
                <w:sz w:val="22"/>
                <w:szCs w:val="22"/>
                <w:color w:val="auto"/>
              </w:rPr>
            </w:pPr>
          </w:p>
        </w:tc>
        <w:tc>
          <w:tcPr>
            <w:tcW w:w="124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(21,995,810)</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(21,995,810)</w:t>
            </w:r>
          </w:p>
        </w:tc>
        <w:tc>
          <w:tcPr>
            <w:tcW w:w="0" w:type="dxa"/>
            <w:vAlign w:val="bottom"/>
          </w:tcPr>
          <w:p>
            <w:pPr>
              <w:spacing w:after="0"/>
              <w:rPr>
                <w:sz w:val="1"/>
                <w:szCs w:val="1"/>
                <w:color w:val="auto"/>
              </w:rPr>
            </w:pPr>
          </w:p>
        </w:tc>
      </w:tr>
      <w:tr>
        <w:trPr>
          <w:trHeight w:val="15"/>
        </w:trPr>
        <w:tc>
          <w:tcPr>
            <w:tcW w:w="4120" w:type="dxa"/>
            <w:vAlign w:val="bottom"/>
            <w:shd w:val="clear" w:color="auto" w:fill="CCEEFF"/>
          </w:tcPr>
          <w:p>
            <w:pPr>
              <w:spacing w:after="0"/>
              <w:rPr>
                <w:sz w:val="20"/>
                <w:szCs w:val="20"/>
                <w:color w:val="auto"/>
              </w:rPr>
            </w:pPr>
            <w:r>
              <w:rPr>
                <w:rFonts w:ascii="Arial" w:cs="Arial" w:eastAsia="Arial" w:hAnsi="Arial"/>
                <w:sz w:val="1"/>
                <w:szCs w:val="1"/>
                <w:color w:val="auto"/>
              </w:rPr>
              <w:t>Transfers into Level III</w:t>
            </w:r>
          </w:p>
        </w:tc>
        <w:tc>
          <w:tcPr>
            <w:tcW w:w="24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25,635,428</w:t>
            </w: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w:t>
            </w:r>
          </w:p>
        </w:tc>
        <w:tc>
          <w:tcPr>
            <w:tcW w:w="16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
                <w:szCs w:val="1"/>
                <w:color w:val="auto"/>
              </w:rPr>
              <w:t>—</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w:t>
            </w: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25,635,428</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128,484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(5,240,135)</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(5,111,651)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26,340,042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11,952,000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38,292,042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 / Paydowns</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(42,119,713)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(317,340)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(2,350,586)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(44,787,639)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273,680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(5,778,312)</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(263,271)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3,761,586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(2,006,317)</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159,306,790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78,448,455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7,542,085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73,737,000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319,034,330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273,680</w:t>
            </w:r>
          </w:p>
        </w:tc>
        <w:tc>
          <w:tcPr>
            <w:tcW w:w="2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(5,778,312)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(263,271)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3,761,586</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(2,006,317)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640"/>
        <w:spacing w:after="0" w:line="218" w:lineRule="auto"/>
        <w:rPr>
          <w:sz w:val="20"/>
          <w:szCs w:val="20"/>
          <w:color w:val="auto"/>
        </w:rPr>
      </w:pPr>
      <w:r>
        <w:rPr>
          <w:rFonts w:ascii="Arial" w:cs="Arial" w:eastAsia="Arial" w:hAnsi="Arial"/>
          <w:sz w:val="27"/>
          <w:szCs w:val="27"/>
          <w:color w:val="auto"/>
          <w:vertAlign w:val="superscript"/>
        </w:rPr>
        <w:t>1</w:t>
      </w:r>
      <w:r>
        <w:rPr>
          <w:rFonts w:ascii="Arial" w:cs="Arial" w:eastAsia="Arial" w:hAnsi="Arial"/>
          <w:sz w:val="16"/>
          <w:szCs w:val="16"/>
          <w:color w:val="auto"/>
        </w:rPr>
        <w:t>Transfers out of Level III represent a transfer of $21,995,810 relating to debt securities for which pricing inputs, other than their quoted prices in active markets were observable as of June 30, 2015</w:t>
      </w:r>
    </w:p>
    <w:p>
      <w:pPr>
        <w:spacing w:after="0" w:line="1" w:lineRule="exact"/>
        <w:rPr>
          <w:sz w:val="20"/>
          <w:szCs w:val="20"/>
          <w:color w:val="auto"/>
        </w:rPr>
      </w:pPr>
    </w:p>
    <w:p>
      <w:pPr>
        <w:ind w:right="760"/>
        <w:spacing w:after="0" w:line="216" w:lineRule="auto"/>
        <w:rPr>
          <w:sz w:val="20"/>
          <w:szCs w:val="20"/>
          <w:color w:val="auto"/>
        </w:rPr>
      </w:pPr>
      <w:r>
        <w:rPr>
          <w:rFonts w:ascii="Arial" w:cs="Arial" w:eastAsia="Arial" w:hAnsi="Arial"/>
          <w:sz w:val="27"/>
          <w:szCs w:val="27"/>
          <w:color w:val="auto"/>
          <w:vertAlign w:val="superscript"/>
        </w:rPr>
        <w:t>2</w:t>
      </w:r>
      <w:r>
        <w:rPr>
          <w:rFonts w:ascii="Arial" w:cs="Arial" w:eastAsia="Arial" w:hAnsi="Arial"/>
          <w:sz w:val="16"/>
          <w:szCs w:val="16"/>
          <w:color w:val="auto"/>
        </w:rPr>
        <w:t>Transfers into Level III represent a transfer of $25,635,428 relating to debt securities for which pricing inputs, other than their quoted prices in active markets were unobservable as of June 30,2015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 2014</w:t>
            </w: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0"/>
              </w:rPr>
              <w:t>Affiliate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198,097,374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79,452,220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11,006,399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364,703,993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Transfers out of Level III</w:t>
            </w:r>
          </w:p>
        </w:tc>
        <w:tc>
          <w:tcPr>
            <w:tcW w:w="200" w:type="dxa"/>
            <w:vAlign w:val="bottom"/>
          </w:tcPr>
          <w:p>
            <w:pPr>
              <w:spacing w:after="0"/>
              <w:rPr>
                <w:sz w:val="22"/>
                <w:szCs w:val="22"/>
                <w:color w:val="auto"/>
              </w:rPr>
            </w:pPr>
          </w:p>
        </w:tc>
        <w:tc>
          <w:tcPr>
            <w:tcW w:w="128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(38,990,152)</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(38,990,152)</w:t>
            </w:r>
          </w:p>
        </w:tc>
        <w:tc>
          <w:tcPr>
            <w:tcW w:w="0" w:type="dxa"/>
            <w:vAlign w:val="bottom"/>
          </w:tcPr>
          <w:p>
            <w:pPr>
              <w:spacing w:after="0"/>
              <w:rPr>
                <w:sz w:val="1"/>
                <w:szCs w:val="1"/>
                <w:color w:val="auto"/>
              </w:rPr>
            </w:pPr>
          </w:p>
        </w:tc>
      </w:tr>
      <w:tr>
        <w:trPr>
          <w:trHeight w:val="15"/>
        </w:trPr>
        <w:tc>
          <w:tcPr>
            <w:tcW w:w="4120" w:type="dxa"/>
            <w:vAlign w:val="bottom"/>
            <w:shd w:val="clear" w:color="auto" w:fill="CCEEFF"/>
          </w:tcPr>
          <w:p>
            <w:pPr>
              <w:spacing w:after="0"/>
              <w:rPr>
                <w:sz w:val="20"/>
                <w:szCs w:val="20"/>
                <w:color w:val="auto"/>
              </w:rPr>
            </w:pPr>
            <w:r>
              <w:rPr>
                <w:rFonts w:ascii="Arial" w:cs="Arial" w:eastAsia="Arial" w:hAnsi="Arial"/>
                <w:sz w:val="1"/>
                <w:szCs w:val="1"/>
                <w:color w:val="auto"/>
              </w:rPr>
              <w:t>Transfers into Level III</w:t>
            </w:r>
          </w:p>
        </w:tc>
        <w:tc>
          <w:tcPr>
            <w:tcW w:w="200" w:type="dxa"/>
            <w:vAlign w:val="bottom"/>
            <w:shd w:val="clear" w:color="auto" w:fill="CCEEFF"/>
          </w:tcPr>
          <w:p>
            <w:pPr>
              <w:spacing w:after="0" w:line="20" w:lineRule="exact"/>
              <w:rPr>
                <w:sz w:val="1"/>
                <w:szCs w:val="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1,982,110</w:t>
            </w: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w:t>
            </w:r>
          </w:p>
        </w:tc>
        <w:tc>
          <w:tcPr>
            <w:tcW w:w="16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
                <w:szCs w:val="1"/>
                <w:color w:val="auto"/>
              </w:rPr>
              <w:t>—</w:t>
            </w: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w:t>
            </w: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1,982,110</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198,600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(11,102,015)</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(10,903,415)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132,079,152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22,421,847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2,216,847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545,979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157,263,825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Sales/Paydowns</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(121,242,093)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(10,132,500)</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(5,007,311)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(6,432,086)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(142,813,990)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(9,069,550)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5,575,498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(7,136,407)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(10,630,459)</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7,962,902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(8,700,148)</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7,040,153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2,064,107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8,367,014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171,018,343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77,514,902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328,978,926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date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(1,448,794)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(4,908,278)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424,306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2,064,107</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(3,868,659)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540"/>
        <w:spacing w:after="0" w:line="210"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Transfers out of Level III represent a transfer of $2,783,195 relating to debt securities for which pricing inputs, other than their quoted prices in active markets were observable as of December 31, 2013</w:t>
      </w:r>
    </w:p>
    <w:p>
      <w:pPr>
        <w:spacing w:after="0" w:line="206" w:lineRule="exact"/>
        <w:rPr>
          <w:sz w:val="20"/>
          <w:szCs w:val="20"/>
          <w:color w:val="auto"/>
        </w:rPr>
      </w:pPr>
    </w:p>
    <w:p>
      <w:pPr>
        <w:ind w:right="600"/>
        <w:spacing w:after="0" w:line="210" w:lineRule="auto"/>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Transfers into Level III represent a transfer of $34,070,557 relating to debt securities for which pricing inputs, other than their quoted prices in active markets were unobservable as of December 31, 2013.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ind w:firstLine="324"/>
        <w:spacing w:after="0" w:line="259" w:lineRule="auto"/>
        <w:rPr>
          <w:sz w:val="20"/>
          <w:szCs w:val="20"/>
          <w:color w:val="auto"/>
        </w:rPr>
      </w:pPr>
      <w:r>
        <w:rPr>
          <w:rFonts w:ascii="Arial" w:cs="Arial" w:eastAsia="Arial" w:hAnsi="Arial"/>
          <w:sz w:val="18"/>
          <w:szCs w:val="18"/>
          <w:color w:val="auto"/>
        </w:rPr>
        <w:t>As of June 30, 2015,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$155,066,330 as of June 30,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2015, the Company’s Level III portfolio investments had the following valuation techniques and significant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152400</wp:posOffset>
            </wp:positionV>
            <wp:extent cx="8890" cy="2641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2641600"/>
                    </a:xfrm>
                    <a:prstGeom prst="rect">
                      <a:avLst/>
                    </a:prstGeom>
                    <a:noFill/>
                  </pic:spPr>
                </pic:pic>
              </a:graphicData>
            </a:graphic>
          </wp:anchor>
        </w:drawing>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60" w:type="dxa"/>
            <w:vAlign w:val="bottom"/>
            <w:tcBorders>
              <w:top w:val="single" w:sz="8" w:color="auto"/>
              <w:left w:val="single" w:sz="8" w:color="auto"/>
              <w:right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Primary Valuation</w:t>
            </w:r>
          </w:p>
        </w:tc>
        <w:tc>
          <w:tcPr>
            <w:tcW w:w="1480" w:type="dxa"/>
            <w:vAlign w:val="bottom"/>
            <w:tcBorders>
              <w:top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Unobservable</w:t>
            </w:r>
          </w:p>
        </w:tc>
        <w:tc>
          <w:tcPr>
            <w:tcW w:w="388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Range of Inputs</w:t>
            </w:r>
          </w:p>
        </w:tc>
        <w:tc>
          <w:tcPr>
            <w:tcW w:w="0" w:type="dxa"/>
            <w:vAlign w:val="bottom"/>
          </w:tcPr>
          <w:p>
            <w:pPr>
              <w:spacing w:after="0"/>
              <w:rPr>
                <w:sz w:val="1"/>
                <w:szCs w:val="1"/>
                <w:color w:val="auto"/>
              </w:rPr>
            </w:pPr>
          </w:p>
        </w:tc>
      </w:tr>
      <w:tr>
        <w:trPr>
          <w:trHeight w:val="234"/>
        </w:trPr>
        <w:tc>
          <w:tcPr>
            <w:tcW w:w="26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Type</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Fair Value</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Methodology</w:t>
            </w:r>
          </w:p>
        </w:tc>
        <w:tc>
          <w:tcPr>
            <w:tcW w:w="1480" w:type="dxa"/>
            <w:vAlign w:val="bottom"/>
            <w:tcBorders>
              <w:bottom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Inputs</w:t>
            </w:r>
          </w:p>
        </w:tc>
        <w:tc>
          <w:tcPr>
            <w:tcW w:w="3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64"/>
        </w:trPr>
        <w:tc>
          <w:tcPr>
            <w:tcW w:w="2660" w:type="dxa"/>
            <w:vAlign w:val="bottom"/>
            <w:tcBorders>
              <w:left w:val="single" w:sz="8" w:color="auto"/>
              <w:right w:val="single" w:sz="8" w:color="auto"/>
            </w:tcBorders>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3160" w:type="dxa"/>
            <w:vAlign w:val="bottom"/>
            <w:tcBorders>
              <w:right w:val="single" w:sz="8" w:color="auto"/>
            </w:tcBorders>
            <w:gridSpan w:val="2"/>
          </w:tcPr>
          <w:p>
            <w:pPr>
              <w:ind w:left="380"/>
              <w:spacing w:after="0"/>
              <w:rPr>
                <w:sz w:val="20"/>
                <w:szCs w:val="20"/>
                <w:color w:val="auto"/>
              </w:rPr>
            </w:pPr>
            <w:r>
              <w:rPr>
                <w:rFonts w:ascii="Arial" w:cs="Arial" w:eastAsia="Arial" w:hAnsi="Arial"/>
                <w:sz w:val="18"/>
                <w:szCs w:val="18"/>
                <w:color w:val="auto"/>
              </w:rPr>
              <w:t>2,547,600Enterprise Value</w:t>
            </w:r>
          </w:p>
        </w:tc>
        <w:tc>
          <w:tcPr>
            <w:tcW w:w="1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Average EBITDA</w:t>
            </w: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162"/>
        </w:trPr>
        <w:tc>
          <w:tcPr>
            <w:tcW w:w="2660" w:type="dxa"/>
            <w:vAlign w:val="bottom"/>
            <w:tcBorders>
              <w:left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808080"/>
              <w:right w:val="single" w:sz="8" w:color="auto"/>
            </w:tcBorders>
          </w:tcPr>
          <w:p>
            <w:pPr>
              <w:spacing w:after="0" w:line="162" w:lineRule="exact"/>
              <w:rPr>
                <w:sz w:val="20"/>
                <w:szCs w:val="20"/>
                <w:color w:val="auto"/>
              </w:rPr>
            </w:pPr>
            <w:r>
              <w:rPr>
                <w:rFonts w:ascii="Arial" w:cs="Arial" w:eastAsia="Arial" w:hAnsi="Arial"/>
                <w:sz w:val="18"/>
                <w:szCs w:val="18"/>
                <w:color w:val="auto"/>
              </w:rPr>
              <w:t>Multiple</w:t>
            </w:r>
          </w:p>
        </w:tc>
        <w:tc>
          <w:tcPr>
            <w:tcW w:w="3880" w:type="dxa"/>
            <w:vAlign w:val="bottom"/>
            <w:tcBorders>
              <w:bottom w:val="single" w:sz="8" w:color="808080"/>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6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0"/>
              </w:rPr>
              <w:t>Debt Securities</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316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156,758,190Income Approach</w:t>
            </w:r>
          </w:p>
        </w:tc>
        <w:tc>
          <w:tcPr>
            <w:tcW w:w="1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Implied Discount</w:t>
            </w:r>
          </w:p>
        </w:tc>
        <w:tc>
          <w:tcPr>
            <w:tcW w:w="3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2.9% - 17.9% (9.0%)</w:t>
            </w: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tcPr>
          <w:p>
            <w:pPr>
              <w:spacing w:after="0"/>
              <w:rPr>
                <w:sz w:val="10"/>
                <w:szCs w:val="10"/>
                <w:color w:val="auto"/>
              </w:rPr>
            </w:pPr>
          </w:p>
        </w:tc>
        <w:tc>
          <w:tcPr>
            <w:tcW w:w="160" w:type="dxa"/>
            <w:vAlign w:val="bottom"/>
            <w:vMerge w:val="continue"/>
          </w:tcPr>
          <w:p>
            <w:pPr>
              <w:spacing w:after="0"/>
              <w:rPr>
                <w:sz w:val="10"/>
                <w:szCs w:val="10"/>
                <w:color w:val="auto"/>
              </w:rPr>
            </w:pPr>
          </w:p>
        </w:tc>
        <w:tc>
          <w:tcPr>
            <w:tcW w:w="3160" w:type="dxa"/>
            <w:vAlign w:val="bottom"/>
            <w:tcBorders>
              <w:right w:val="single" w:sz="8" w:color="auto"/>
            </w:tcBorders>
            <w:gridSpan w:val="2"/>
            <w:vMerge w:val="continue"/>
          </w:tcPr>
          <w:p>
            <w:pPr>
              <w:spacing w:after="0"/>
              <w:rPr>
                <w:sz w:val="10"/>
                <w:szCs w:val="10"/>
                <w:color w:val="auto"/>
              </w:rPr>
            </w:pPr>
          </w:p>
        </w:tc>
        <w:tc>
          <w:tcPr>
            <w:tcW w:w="1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Rate</w:t>
            </w:r>
          </w:p>
        </w:tc>
        <w:tc>
          <w:tcPr>
            <w:tcW w:w="3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660" w:type="dxa"/>
            <w:vAlign w:val="bottom"/>
            <w:tcBorders>
              <w:left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3160" w:type="dxa"/>
            <w:vAlign w:val="bottom"/>
            <w:tcBorders>
              <w:bottom w:val="single" w:sz="8" w:color="auto"/>
              <w:right w:val="single" w:sz="8" w:color="auto"/>
            </w:tcBorders>
            <w:gridSpan w:val="2"/>
          </w:tcPr>
          <w:p>
            <w:pPr>
              <w:ind w:left="680"/>
              <w:spacing w:after="0"/>
              <w:rPr>
                <w:sz w:val="20"/>
                <w:szCs w:val="20"/>
                <w:color w:val="auto"/>
              </w:rPr>
            </w:pPr>
            <w:r>
              <w:rPr>
                <w:rFonts w:ascii="Arial" w:cs="Arial" w:eastAsia="Arial" w:hAnsi="Arial"/>
                <w:sz w:val="18"/>
                <w:szCs w:val="18"/>
                <w:color w:val="auto"/>
              </w:rPr>
              <w:t>1,000Options Value</w:t>
            </w:r>
          </w:p>
        </w:tc>
        <w:tc>
          <w:tcPr>
            <w:tcW w:w="1480" w:type="dxa"/>
            <w:vAlign w:val="bottom"/>
            <w:tcBorders>
              <w:bottom w:val="single" w:sz="8" w:color="auto"/>
              <w:right w:val="single" w:sz="8" w:color="auto"/>
            </w:tcBorders>
          </w:tcPr>
          <w:p>
            <w:pPr>
              <w:spacing w:after="0" w:line="251" w:lineRule="exact"/>
              <w:rPr>
                <w:sz w:val="20"/>
                <w:szCs w:val="20"/>
                <w:color w:val="auto"/>
              </w:rPr>
            </w:pPr>
            <w:r>
              <w:rPr>
                <w:rFonts w:ascii="Arial" w:cs="Arial" w:eastAsia="Arial" w:hAnsi="Arial"/>
                <w:sz w:val="18"/>
                <w:szCs w:val="18"/>
                <w:color w:val="auto"/>
                <w:w w:val="96"/>
              </w:rPr>
              <w:t>Qualitative Inputs</w:t>
            </w:r>
            <w:r>
              <w:rPr>
                <w:rFonts w:ascii="Arial" w:cs="Arial" w:eastAsia="Arial" w:hAnsi="Arial"/>
                <w:sz w:val="29"/>
                <w:szCs w:val="29"/>
                <w:color w:val="auto"/>
                <w:w w:val="96"/>
                <w:vertAlign w:val="superscript"/>
              </w:rPr>
              <w:t>1</w:t>
            </w:r>
          </w:p>
        </w:tc>
        <w:tc>
          <w:tcPr>
            <w:tcW w:w="3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3160" w:type="dxa"/>
            <w:vAlign w:val="bottom"/>
            <w:tcBorders>
              <w:right w:val="single" w:sz="8" w:color="auto"/>
            </w:tcBorders>
            <w:gridSpan w:val="2"/>
          </w:tcPr>
          <w:p>
            <w:pPr>
              <w:ind w:left="380"/>
              <w:spacing w:after="0"/>
              <w:rPr>
                <w:sz w:val="20"/>
                <w:szCs w:val="20"/>
                <w:color w:val="auto"/>
              </w:rPr>
            </w:pPr>
            <w:r>
              <w:rPr>
                <w:rFonts w:ascii="Arial" w:cs="Arial" w:eastAsia="Arial" w:hAnsi="Arial"/>
                <w:sz w:val="18"/>
                <w:szCs w:val="18"/>
                <w:color w:val="auto"/>
              </w:rPr>
              <w:t>7,539,085Enterprise Value</w:t>
            </w:r>
          </w:p>
        </w:tc>
        <w:tc>
          <w:tcPr>
            <w:tcW w:w="1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Average EBITDA</w:t>
            </w: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4.7x/11.9% - 13.7x/15.8% (7.9x/13.6%)</w:t>
            </w:r>
          </w:p>
        </w:tc>
        <w:tc>
          <w:tcPr>
            <w:tcW w:w="0" w:type="dxa"/>
            <w:vAlign w:val="bottom"/>
          </w:tcPr>
          <w:p>
            <w:pPr>
              <w:spacing w:after="0"/>
              <w:rPr>
                <w:sz w:val="1"/>
                <w:szCs w:val="1"/>
                <w:color w:val="auto"/>
              </w:rPr>
            </w:pPr>
          </w:p>
        </w:tc>
      </w:tr>
      <w:tr>
        <w:trPr>
          <w:trHeight w:val="162"/>
        </w:trPr>
        <w:tc>
          <w:tcPr>
            <w:tcW w:w="2660" w:type="dxa"/>
            <w:vAlign w:val="bottom"/>
            <w:tcBorders>
              <w:left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line="162" w:lineRule="exact"/>
              <w:rPr>
                <w:sz w:val="20"/>
                <w:szCs w:val="20"/>
                <w:color w:val="auto"/>
              </w:rPr>
            </w:pPr>
            <w:r>
              <w:rPr>
                <w:rFonts w:ascii="Arial" w:cs="Arial" w:eastAsia="Arial" w:hAnsi="Arial"/>
                <w:sz w:val="18"/>
                <w:szCs w:val="18"/>
                <w:color w:val="auto"/>
              </w:rPr>
              <w:t>Multiple/WAAC</w:t>
            </w:r>
          </w:p>
        </w:tc>
        <w:tc>
          <w:tcPr>
            <w:tcW w:w="3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3160" w:type="dxa"/>
            <w:vAlign w:val="bottom"/>
            <w:tcBorders>
              <w:bottom w:val="single" w:sz="8" w:color="auto"/>
              <w:right w:val="single" w:sz="8" w:color="auto"/>
            </w:tcBorders>
            <w:gridSpan w:val="2"/>
          </w:tcPr>
          <w:p>
            <w:pPr>
              <w:ind w:left="680"/>
              <w:spacing w:after="0"/>
              <w:rPr>
                <w:sz w:val="20"/>
                <w:szCs w:val="20"/>
                <w:color w:val="auto"/>
              </w:rPr>
            </w:pPr>
            <w:r>
              <w:rPr>
                <w:rFonts w:ascii="Arial" w:cs="Arial" w:eastAsia="Arial" w:hAnsi="Arial"/>
                <w:sz w:val="18"/>
                <w:szCs w:val="18"/>
                <w:color w:val="auto"/>
              </w:rPr>
              <w:t>3,000Options Value</w:t>
            </w:r>
          </w:p>
        </w:tc>
        <w:tc>
          <w:tcPr>
            <w:tcW w:w="1480" w:type="dxa"/>
            <w:vAlign w:val="bottom"/>
            <w:tcBorders>
              <w:bottom w:val="single" w:sz="8" w:color="auto"/>
              <w:right w:val="single" w:sz="8" w:color="auto"/>
            </w:tcBorders>
          </w:tcPr>
          <w:p>
            <w:pPr>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3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Discount Rate</w:t>
            </w: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 - 12% (11.4%)</w:t>
            </w:r>
          </w:p>
        </w:tc>
        <w:tc>
          <w:tcPr>
            <w:tcW w:w="0" w:type="dxa"/>
            <w:vAlign w:val="bottom"/>
          </w:tcPr>
          <w:p>
            <w:pPr>
              <w:spacing w:after="0"/>
              <w:rPr>
                <w:sz w:val="1"/>
                <w:szCs w:val="1"/>
                <w:color w:val="auto"/>
              </w:rPr>
            </w:pPr>
          </w:p>
        </w:tc>
      </w:tr>
      <w:tr>
        <w:trPr>
          <w:trHeight w:val="195"/>
        </w:trPr>
        <w:tc>
          <w:tcPr>
            <w:tcW w:w="2660" w:type="dxa"/>
            <w:vAlign w:val="bottom"/>
            <w:tcBorders>
              <w:left w:val="single" w:sz="8" w:color="auto"/>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Probability of</w:t>
            </w:r>
          </w:p>
        </w:tc>
        <w:tc>
          <w:tcPr>
            <w:tcW w:w="3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2.0% - 2.5% (2.2%)</w:t>
            </w: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tcPr>
          <w:p>
            <w:pPr>
              <w:spacing w:after="0"/>
              <w:rPr>
                <w:sz w:val="10"/>
                <w:szCs w:val="10"/>
                <w:color w:val="auto"/>
              </w:rPr>
            </w:pP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3160" w:type="dxa"/>
            <w:vAlign w:val="bottom"/>
            <w:tcBorders>
              <w:right w:val="single" w:sz="8" w:color="auto"/>
            </w:tcBorders>
            <w:gridSpan w:val="2"/>
            <w:vMerge w:val="restart"/>
          </w:tcPr>
          <w:p>
            <w:pPr>
              <w:ind w:left="280"/>
              <w:spacing w:after="0"/>
              <w:rPr>
                <w:sz w:val="20"/>
                <w:szCs w:val="20"/>
                <w:color w:val="auto"/>
              </w:rPr>
            </w:pPr>
            <w:r>
              <w:rPr>
                <w:rFonts w:ascii="Arial" w:cs="Arial" w:eastAsia="Arial" w:hAnsi="Arial"/>
                <w:sz w:val="18"/>
                <w:szCs w:val="18"/>
                <w:color w:val="auto"/>
              </w:rPr>
              <w:t>68,916,735Discounted Cash Flow</w:t>
            </w:r>
          </w:p>
        </w:tc>
        <w:tc>
          <w:tcPr>
            <w:tcW w:w="1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Default</w:t>
            </w:r>
          </w:p>
        </w:tc>
        <w:tc>
          <w:tcPr>
            <w:tcW w:w="3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160" w:type="dxa"/>
            <w:vAlign w:val="bottom"/>
            <w:vMerge w:val="continue"/>
          </w:tcPr>
          <w:p>
            <w:pPr>
              <w:spacing w:after="0"/>
              <w:rPr>
                <w:sz w:val="9"/>
                <w:szCs w:val="9"/>
                <w:color w:val="auto"/>
              </w:rPr>
            </w:pPr>
          </w:p>
        </w:tc>
        <w:tc>
          <w:tcPr>
            <w:tcW w:w="3160" w:type="dxa"/>
            <w:vAlign w:val="bottom"/>
            <w:tcBorders>
              <w:right w:val="single" w:sz="8" w:color="auto"/>
            </w:tcBorders>
            <w:gridSpan w:val="2"/>
            <w:vMerge w:val="continue"/>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60" w:type="dxa"/>
            <w:vAlign w:val="bottom"/>
            <w:tcBorders>
              <w:left w:val="single" w:sz="8" w:color="auto"/>
              <w:right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160" w:type="dxa"/>
            <w:vAlign w:val="bottom"/>
            <w:tcBorders>
              <w:right w:val="single" w:sz="8" w:color="auto"/>
            </w:tcBorders>
            <w:gridSpan w:val="2"/>
            <w:vMerge w:val="continue"/>
          </w:tcPr>
          <w:p>
            <w:pPr>
              <w:spacing w:after="0"/>
              <w:rPr>
                <w:sz w:val="8"/>
                <w:szCs w:val="8"/>
                <w:color w:val="auto"/>
              </w:rPr>
            </w:pPr>
          </w:p>
        </w:tc>
        <w:tc>
          <w:tcPr>
            <w:tcW w:w="14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Loss Severity</w:t>
            </w:r>
          </w:p>
        </w:tc>
        <w:tc>
          <w:tcPr>
            <w:tcW w:w="3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25.0% - 25.9% (25.6%)</w:t>
            </w:r>
          </w:p>
        </w:tc>
        <w:tc>
          <w:tcPr>
            <w:tcW w:w="0" w:type="dxa"/>
            <w:vAlign w:val="bottom"/>
          </w:tcPr>
          <w:p>
            <w:pPr>
              <w:spacing w:after="0"/>
              <w:rPr>
                <w:sz w:val="1"/>
                <w:szCs w:val="1"/>
                <w:color w:val="auto"/>
              </w:rPr>
            </w:pPr>
          </w:p>
        </w:tc>
      </w:tr>
      <w:tr>
        <w:trPr>
          <w:trHeight w:val="113"/>
        </w:trPr>
        <w:tc>
          <w:tcPr>
            <w:tcW w:w="2660" w:type="dxa"/>
            <w:vAlign w:val="bottom"/>
            <w:tcBorders>
              <w:left w:val="single" w:sz="8" w:color="auto"/>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38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Recovery Rate</w:t>
            </w: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74.1% - 75.0% (74.4%)</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Prepayment Rate</w:t>
            </w: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 - 35.8% (26.7%)</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3160" w:type="dxa"/>
            <w:vAlign w:val="bottom"/>
            <w:tcBorders>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9,531,720Market Approach</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Third Party Quote</w:t>
            </w: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80 (80)</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Asset Manager Affiliate</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3160" w:type="dxa"/>
            <w:vAlign w:val="bottom"/>
            <w:tcBorders>
              <w:bottom w:val="single" w:sz="8" w:color="auto"/>
              <w:right w:val="single" w:sz="8" w:color="auto"/>
            </w:tcBorders>
            <w:gridSpan w:val="2"/>
          </w:tcPr>
          <w:p>
            <w:pPr>
              <w:ind w:left="280"/>
              <w:spacing w:after="0"/>
              <w:rPr>
                <w:sz w:val="20"/>
                <w:szCs w:val="20"/>
                <w:color w:val="auto"/>
              </w:rPr>
            </w:pPr>
            <w:r>
              <w:rPr>
                <w:rFonts w:ascii="Arial" w:cs="Arial" w:eastAsia="Arial" w:hAnsi="Arial"/>
                <w:sz w:val="18"/>
                <w:szCs w:val="18"/>
                <w:color w:val="auto"/>
              </w:rPr>
              <w:t>73,737,000Discounted Cash Flow</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Discount Rate</w:t>
            </w: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1.95% - 11.00% (6.76%)</w:t>
            </w:r>
          </w:p>
        </w:tc>
        <w:tc>
          <w:tcPr>
            <w:tcW w:w="0" w:type="dxa"/>
            <w:vAlign w:val="bottom"/>
          </w:tcPr>
          <w:p>
            <w:pPr>
              <w:spacing w:after="0"/>
              <w:rPr>
                <w:sz w:val="1"/>
                <w:szCs w:val="1"/>
                <w:color w:val="auto"/>
              </w:rPr>
            </w:pPr>
          </w:p>
        </w:tc>
      </w:tr>
      <w:tr>
        <w:trPr>
          <w:trHeight w:val="210"/>
        </w:trPr>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2"/>
              </w:rPr>
              <w:t>Total Level III Investments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7"/>
              </w:rPr>
              <w:t>319,034,330</w:t>
            </w:r>
          </w:p>
        </w:tc>
        <w:tc>
          <w:tcPr>
            <w:tcW w:w="2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9" w:lineRule="exact"/>
        <w:rPr>
          <w:sz w:val="20"/>
          <w:szCs w:val="20"/>
          <w:color w:val="auto"/>
        </w:rPr>
      </w:pPr>
    </w:p>
    <w:p>
      <w:pPr>
        <w:ind w:right="580" w:firstLine="8"/>
        <w:spacing w:after="0" w:line="194" w:lineRule="auto"/>
        <w:tabs>
          <w:tab w:leader="none" w:pos="12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202"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49" w:name="page50"/>
    <w:bookmarkEnd w:id="49"/>
    <w:p>
      <w:pPr>
        <w:jc w:val="both"/>
        <w:ind w:right="36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June 30, 2015 and December 31, 2014, the Asset Manager Affiliates had approximately $3.2 billion and $3.0 billion, respectively, of par value of assets under management, and the Company’s 100% equity interest in the Asset Manager Affiliates had a fair value of approximately $74 million and $72 million, respectively.</w:t>
      </w:r>
    </w:p>
    <w:p>
      <w:pPr>
        <w:spacing w:after="0" w:line="15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 Additionally, three managed funds made incentive fee distributions during the quarter ended June 30, 2015.</w:t>
      </w:r>
    </w:p>
    <w:p>
      <w:pPr>
        <w:spacing w:after="0" w:line="178"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For the three months ended June 30, 2015 and 2014, the Asset Manager Affiliates declared cash distributions of $2.3 million and $3.0 million to the Company, respectively. Any distributions from the Asset Manager Affiliates out of the estimated tax-basis earnings and profits are recorded as “Dividends from Asset Manager Affiliates” on the Company’s statement of operations. The Company recognized $1.2 million and $1.4 million, respectively, of Dividends from Asset Manager Affiliates in the Statement of Operations for the three months ended June 30, 2015 and 2014. The difference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16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166"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0" w:name="page51"/>
    <w:bookmarkEnd w:id="50"/>
    <w:p>
      <w:pPr>
        <w:ind w:right="60" w:firstLine="324"/>
        <w:spacing w:after="0" w:line="291" w:lineRule="auto"/>
        <w:rPr>
          <w:sz w:val="20"/>
          <w:szCs w:val="20"/>
          <w:color w:val="auto"/>
        </w:rPr>
      </w:pPr>
      <w:r>
        <w:rPr>
          <w:rFonts w:ascii="Arial" w:cs="Arial" w:eastAsia="Arial" w:hAnsi="Arial"/>
          <w:sz w:val="16"/>
          <w:szCs w:val="16"/>
          <w:color w:val="auto"/>
        </w:rPr>
        <w:t>Effective January 1, 2010, the Asset Manager Affiliates adopted guidance encompassed in Accounting Standards Codification Topic 810, “Consolidation.” The adoption of this new guidance had an impact on the disclosures relating to the Asset Manager Affiliates which had previously not been required, as its provisions require the Asset Manager Affiliates to consolidate certain of their managed CLO Funds that were not previously consolidated. As a result of the consolidation of the CLO Funds into the Asset Manager Affiliates, the financial results of the Asset Manager Affiliates indicate that they qualify as a “significant subsidiary” of the Company requiring the following additional disclosures. In addition, Katonah 2007-I CLO qualifies as “significant subsidiaries” of the Company and the Company is also required to make the additional disclosures about them below. These disclosures regarding the Asset Manager Affiliates and Katonah 2007-I CLO do not directly impact the financial position, results of operations, or cash flows of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ind w:left="2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18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w w:val="93"/>
              </w:rPr>
              <w:t>December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2015</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w w:val="84"/>
              </w:rPr>
              <w:t>2014</w:t>
            </w:r>
          </w:p>
        </w:tc>
        <w:tc>
          <w:tcPr>
            <w:tcW w:w="4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Investments of CLO Funds, at fair value</w:t>
            </w:r>
          </w:p>
        </w:tc>
        <w:tc>
          <w:tcPr>
            <w:tcW w:w="1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$ 3,011,247,799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$ 2,846,659,635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Restricted cash of CLO Funds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215,924,275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182,224,205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3,281,896,481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3,092,592,939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CLO Fund liabilities at fair value</w:t>
            </w:r>
          </w:p>
        </w:tc>
        <w:tc>
          <w:tcPr>
            <w:tcW w:w="2400" w:type="dxa"/>
            <w:vAlign w:val="bottom"/>
            <w:gridSpan w:val="5"/>
          </w:tcPr>
          <w:p>
            <w:pPr>
              <w:jc w:val="right"/>
              <w:ind w:right="60"/>
              <w:spacing w:after="0"/>
              <w:rPr>
                <w:sz w:val="20"/>
                <w:szCs w:val="20"/>
                <w:color w:val="auto"/>
              </w:rPr>
            </w:pPr>
            <w:r>
              <w:rPr>
                <w:rFonts w:ascii="Arial" w:cs="Arial" w:eastAsia="Arial" w:hAnsi="Arial"/>
                <w:sz w:val="18"/>
                <w:szCs w:val="18"/>
                <w:color w:val="auto"/>
              </w:rPr>
              <w:t>3,071,287,075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w w:val="88"/>
              </w:rPr>
              <w:t>2,990,211,629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3,188,986,813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3,060,837,388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Asset Manager Affiliates equity</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32,292,146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34,780,345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Appropriated retained earnings of consolidated VIEs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60,617,522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(3,024,793)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4280" w:type="dxa"/>
            <w:vAlign w:val="bottom"/>
          </w:tcPr>
          <w:p>
            <w:pPr>
              <w:spacing w:after="0"/>
              <w:rPr>
                <w:sz w:val="24"/>
                <w:szCs w:val="24"/>
                <w:color w:val="auto"/>
              </w:rPr>
            </w:pPr>
          </w:p>
        </w:tc>
        <w:tc>
          <w:tcPr>
            <w:tcW w:w="2400" w:type="dxa"/>
            <w:vAlign w:val="bottom"/>
            <w:gridSpan w:val="5"/>
          </w:tcPr>
          <w:p>
            <w:pPr>
              <w:jc w:val="center"/>
              <w:ind w:left="370"/>
              <w:spacing w:after="0"/>
              <w:rPr>
                <w:sz w:val="20"/>
                <w:szCs w:val="20"/>
                <w:color w:val="auto"/>
              </w:rPr>
            </w:pPr>
            <w:r>
              <w:rPr>
                <w:rFonts w:ascii="Arial" w:cs="Arial" w:eastAsia="Arial" w:hAnsi="Arial"/>
                <w:sz w:val="18"/>
                <w:szCs w:val="18"/>
                <w:b w:val="1"/>
                <w:bCs w:val="1"/>
                <w:color w:val="auto"/>
                <w:w w:val="90"/>
              </w:rPr>
              <w:t>Asset Manager Affiliates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620" w:type="dxa"/>
            <w:vAlign w:val="bottom"/>
            <w:gridSpan w:val="13"/>
          </w:tcPr>
          <w:p>
            <w:pPr>
              <w:jc w:val="center"/>
              <w:ind w:left="2730"/>
              <w:spacing w:after="0"/>
              <w:rPr>
                <w:sz w:val="20"/>
                <w:szCs w:val="20"/>
                <w:color w:val="auto"/>
              </w:rPr>
            </w:pPr>
            <w:r>
              <w:rPr>
                <w:rFonts w:ascii="Arial" w:cs="Arial" w:eastAsia="Arial" w:hAnsi="Arial"/>
                <w:sz w:val="18"/>
                <w:szCs w:val="18"/>
                <w:color w:val="auto"/>
                <w:w w:val="90"/>
              </w:rPr>
              <w:t>Summarized Statements of Operations Information (unaudited)</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24"/>
                <w:szCs w:val="24"/>
                <w:color w:val="auto"/>
              </w:rPr>
            </w:pPr>
          </w:p>
        </w:tc>
        <w:tc>
          <w:tcPr>
            <w:tcW w:w="26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7"/>
              </w:rPr>
              <w:t>For the six months ended</w:t>
            </w:r>
          </w:p>
        </w:tc>
      </w:tr>
      <w:tr>
        <w:trPr>
          <w:trHeight w:val="234"/>
        </w:trPr>
        <w:tc>
          <w:tcPr>
            <w:tcW w:w="4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2014</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 investments of CLO Funds</w:t>
            </w:r>
          </w:p>
        </w:tc>
        <w:tc>
          <w:tcPr>
            <w:tcW w:w="13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32,897,802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30,880,597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63,548,836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58,565,082</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income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35,937,055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31,293,058</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66,789,017</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61,681,843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of CLO Fund liabilities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35,014,717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24,529,997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78,771,749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49,055,196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expenses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51,653,612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35,302,843</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100,132,585</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66,209,005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84,097,927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(4,955,179)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100,417,283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(9,673,667)</w:t>
            </w:r>
          </w:p>
        </w:tc>
      </w:tr>
      <w:tr>
        <w:trPr>
          <w:trHeight w:val="202"/>
        </w:trPr>
        <w:tc>
          <w:tcPr>
            <w:tcW w:w="5700" w:type="dxa"/>
            <w:vAlign w:val="bottom"/>
            <w:gridSpan w:val="4"/>
          </w:tcPr>
          <w:p>
            <w:pPr>
              <w:spacing w:after="0" w:line="201" w:lineRule="exact"/>
              <w:rPr>
                <w:sz w:val="20"/>
                <w:szCs w:val="20"/>
                <w:color w:val="auto"/>
              </w:rPr>
            </w:pPr>
            <w:r>
              <w:rPr>
                <w:rFonts w:ascii="Arial" w:cs="Arial" w:eastAsia="Arial" w:hAnsi="Arial"/>
                <w:sz w:val="18"/>
                <w:szCs w:val="18"/>
                <w:color w:val="auto"/>
              </w:rPr>
              <w:t>Net gain (loss) attributable to noncontrolling interests in consolidated</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Variable Interest Entities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64,651,769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(10,799,619)</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63,135,461</w:t>
            </w: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(18,258,038)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Asset Manager Affiliates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2,479,446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1,328,309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2,511,801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2,674,769</w:t>
            </w:r>
          </w:p>
        </w:tc>
      </w:tr>
      <w:tr>
        <w:trPr>
          <w:trHeight w:val="648"/>
        </w:trPr>
        <w:tc>
          <w:tcPr>
            <w:tcW w:w="4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1340"/>
              <w:spacing w:after="0"/>
              <w:rPr>
                <w:sz w:val="20"/>
                <w:szCs w:val="20"/>
                <w:color w:val="auto"/>
              </w:rPr>
            </w:pPr>
            <w:r>
              <w:rPr>
                <w:rFonts w:ascii="Arial" w:cs="Arial" w:eastAsia="Arial" w:hAnsi="Arial"/>
                <w:sz w:val="18"/>
                <w:szCs w:val="18"/>
                <w:color w:val="auto"/>
              </w:rPr>
              <w:t>49</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8"/>
              </w:rPr>
              <w:t>As of</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1780" w:type="dxa"/>
            <w:vAlign w:val="bottom"/>
            <w:gridSpan w:val="7"/>
          </w:tcPr>
          <w:p>
            <w:pPr>
              <w:jc w:val="center"/>
              <w:ind w:right="70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8"/>
                <w:szCs w:val="18"/>
                <w:b w:val="1"/>
                <w:bCs w:val="1"/>
                <w:color w:val="auto"/>
                <w:w w:val="89"/>
              </w:rPr>
              <w:t>2014</w:t>
            </w:r>
          </w:p>
        </w:tc>
        <w:tc>
          <w:tcPr>
            <w:tcW w:w="4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$ 250,422,683</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273,373,948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Cash</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25,184,920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14,939,994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276,097,856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288,945,330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CLO Debt at fair value</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271,221,089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1"/>
              </w:rPr>
              <w:t>290,699,426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278,099,340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292,730,723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Total Net Assets</w:t>
            </w: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(2,001,485)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(3,785,393)</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4440" w:type="dxa"/>
            <w:vAlign w:val="bottom"/>
          </w:tcPr>
          <w:p>
            <w:pPr>
              <w:spacing w:after="0"/>
              <w:rPr>
                <w:sz w:val="24"/>
                <w:szCs w:val="24"/>
                <w:color w:val="auto"/>
              </w:rPr>
            </w:pPr>
          </w:p>
        </w:tc>
        <w:tc>
          <w:tcPr>
            <w:tcW w:w="240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Katonah 2007-I CLO Ltd.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620" w:type="dxa"/>
            <w:vAlign w:val="bottom"/>
            <w:gridSpan w:val="13"/>
          </w:tcPr>
          <w:p>
            <w:pPr>
              <w:ind w:left="3440"/>
              <w:spacing w:after="0"/>
              <w:rPr>
                <w:sz w:val="20"/>
                <w:szCs w:val="20"/>
                <w:color w:val="auto"/>
              </w:rPr>
            </w:pPr>
            <w:r>
              <w:rPr>
                <w:rFonts w:ascii="Arial" w:cs="Arial" w:eastAsia="Arial" w:hAnsi="Arial"/>
                <w:sz w:val="18"/>
                <w:szCs w:val="18"/>
                <w:color w:val="auto"/>
              </w:rPr>
              <w:t>Summarized Statements of Operations Information (unaudited)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89"/>
              </w:rPr>
              <w:t>For the three months ended</w:t>
            </w:r>
          </w:p>
        </w:tc>
        <w:tc>
          <w:tcPr>
            <w:tcW w:w="220" w:type="dxa"/>
            <w:vAlign w:val="bottom"/>
          </w:tcPr>
          <w:p>
            <w:pPr>
              <w:spacing w:after="0"/>
              <w:rPr>
                <w:sz w:val="24"/>
                <w:szCs w:val="24"/>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For the six months ended</w:t>
            </w:r>
          </w:p>
        </w:tc>
      </w:tr>
      <w:tr>
        <w:trPr>
          <w:trHeight w:val="234"/>
        </w:trPr>
        <w:tc>
          <w:tcPr>
            <w:tcW w:w="4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2014</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1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2,461,737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3,027,364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5,077,131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6,019,495</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income</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2,734,441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3,086,962</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5,384,309</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6,384,610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2,229,543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2,727,556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4,605,179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5,521,464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expenses</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2,492,448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3,078,583</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5,192,301</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6,195,570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3,713,620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(4,847,359)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1,591,900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(6,516,459)</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w w:val="94"/>
              </w:rPr>
              <w:t>Increase (decrease) in net assets resulting from operations</w:t>
            </w: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3,955,613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(4,838,980)</w:t>
            </w: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1,783,908</w:t>
            </w:r>
          </w:p>
        </w:tc>
        <w:tc>
          <w:tcPr>
            <w:tcW w:w="3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(6,327,420)</w:t>
            </w:r>
          </w:p>
        </w:tc>
      </w:tr>
    </w:tbl>
    <w:p>
      <w:pPr>
        <w:spacing w:after="0" w:line="18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separately regarded entities for tax purposes, the Asset Manager Affiliates are taxed at normal corporate rates. In order to maintain its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16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 which accounts for an annual difference between U.S. GAAP income and taxable income by approximately $2 million per year over such period.</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which is being amortized for tax purposes on a straight-line basis over 15 years, which accounts for an annual difference between GAAP income and taxable income by approximately $1.5 million per year over such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Outstanding borrowings on the Trimaran Credit Facility are callable by the Company at any time. On April 15, 2013, the Trimaran Credit Facility was amended and upsized from $20 million to $23 million. At December 31, 2014, the par value of the outstanding loan was $23 million. At June 30, 2015, there was no loan outstanding under the Trimaran Credit Facility. For the six months ended June 30, 2015, the Company recognized interest income of $792,000 related to the Trimaran Credit Facility.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The Company’s debt obligations consist of the following:</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As of</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June 30, 2015</w:t>
            </w:r>
          </w:p>
        </w:tc>
        <w:tc>
          <w:tcPr>
            <w:tcW w:w="3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(unaudited)</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due March 15, 2016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38,647,000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7.375% Notes Due 2019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41,400,000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41,400,000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Notes Issued by KCAP Senior Funding I, LLC (net of discount: 2015 - $3,212,019; 2014 -</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$3,512,407)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144,137,981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143,837,593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June 30, 2015 were 4.45% and 6.74 years, respectively, and as of December 31, 2014 were 4.43% and 7.23 years,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1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Convertible Notes are convertible into shares of Company’s common stock. As of June 30, 2015, the conversion rate was 133.59 shares of common stock per $1,000 principal amount of Convertible Notes, which is equivalent to a conversion price of approximately $7.49 per share of common stock. Upon conversion, the Company would issue the full amount of common stock or settle the conversion in cash, at its option, and retire the full amount of debt outstanding.</w:t>
      </w:r>
    </w:p>
    <w:p>
      <w:pPr>
        <w:spacing w:after="0" w:line="18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Upon conversion, unless a holder converts after a record date for an interest payment but prior to the corresponding interest payment date, the holder will receive a separate cash payment with respect to the Convertible Notes surrendered for conversion representing accrued and unpaid interest to, but not including the conversion date. Any such payment will be made on the settlement date applicable to the relevant conversion on the Convertible Notes.</w:t>
      </w:r>
    </w:p>
    <w:p>
      <w:pPr>
        <w:spacing w:after="0" w:line="14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No holder of Convertible Notes will be entitled to receive shares of the Company’s common stock upon conversion to the extent (but only to the extent) that such receipt would cause such converting holder to become, directly or indirectly, a beneficial owner (within the meaning of Section 13(d) of the Securities Exchange Act of 1934 and the rules and regulations promulgated thereunder) of more than 5.0% of the shares of the Company’s common stock outstanding at such time. The 5.0% limitation shall no longer apply following the effective date of any fundamental change.</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Subject to certain exceptions, holders may require us to repurchase, for cash, all or part of their Convertible Notes upon a fundamental change at a price equal to 100% of the principal amount of the Convertible Notes being repurchased plus any accrued and unpaid interest up to, but excluding, the fundamental change repurchase date. In addition, in the case of certain fundamental changes and without duplication of the foregoing amount, the Company will also pay holders an amount in cash (or, in certain circumstances, shares of the Company’s common stock) equal to the present value of the remaining interest payments on such notes through, and including, the maturity date.</w:t>
      </w:r>
    </w:p>
    <w:p>
      <w:pPr>
        <w:spacing w:after="0" w:line="18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 xml:space="preserve">In connection with the issuance of the Convertible Notes, the Company incurred approximately $2.4 million of debt offering costs, which are being amortized over the term of the facility on an effective yield method, of which approximately $244,000 remains to be amortized. On April 4, 2013, approximately $9 million of the Company’s 8.75% Convertible Notes were converted at a price basis per share of $8.159 into 1,102,093 shares of KCAP common stock. On September 4, 2013, the Company purchased $2.0 million face value of its own Convertible Notes at $114.50 plus accrued interest. KCAP subsequently surrendered these notes to the Trustee for cancellation effective September 13, 2013. On October 9, 2014, the Company purchased approximately $10.4 million face value of its own Convertible Notes at $114.875 plus accrued interest. KCAP subsequently surrendered these notes to the Trustee for cancellation. Due to the cash conversion option embedded in the Convertible Notes, the Company applied the guidance in ASC 470-40-20, </w:t>
      </w:r>
      <w:r>
        <w:rPr>
          <w:rFonts w:ascii="Arial" w:cs="Arial" w:eastAsia="Arial" w:hAnsi="Arial"/>
          <w:sz w:val="17"/>
          <w:szCs w:val="17"/>
          <w:i w:val="1"/>
          <w:iCs w:val="1"/>
          <w:color w:val="auto"/>
        </w:rPr>
        <w:t>Debt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Conversion and Other Options </w:t>
      </w:r>
      <w:r>
        <w:rPr>
          <w:rFonts w:ascii="Arial" w:cs="Arial" w:eastAsia="Arial" w:hAnsi="Arial"/>
          <w:sz w:val="17"/>
          <w:szCs w:val="17"/>
          <w:color w:val="auto"/>
        </w:rPr>
        <w:t>and realized a loss on the extinguishment of this debt. For the six months ended June 30, 2015 there were no realized</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extinguishment of debt. The indenture governing the Convertible Notes contains certain restrictive covenants, including compliance with certain provisions of the 1940 Act and conditions governing the undertaking of new debt.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both"/>
        <w:ind w:right="300" w:firstLine="324"/>
        <w:spacing w:after="0" w:line="264" w:lineRule="auto"/>
        <w:rPr>
          <w:sz w:val="20"/>
          <w:szCs w:val="20"/>
          <w:color w:val="auto"/>
        </w:rPr>
      </w:pPr>
      <w:r>
        <w:rPr>
          <w:rFonts w:ascii="Arial" w:cs="Arial" w:eastAsia="Arial" w:hAnsi="Arial"/>
          <w:sz w:val="18"/>
          <w:szCs w:val="18"/>
          <w:color w:val="auto"/>
        </w:rPr>
        <w:t>For the three months ended June 30, 2015 and 2014, interest expense related to the Convertible Notes was approximately $845,000 and $1.1 million, respectively. For the six months ended June 30, 2015 and 2014, interest expense related to the Convertible Notes was approximately $1.7 million and $2.1 million, respectively.</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Convertible Notes have been analyzed for any features that would require its accounting to be bifurcated. There are no features that require accounting to be bifurcated, and as a result, they are recorded as a liability at their contractual amounts. At June 30, 2015, the Company was in compliance with all of its debt covenants.</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Fair Value of Convertible Notes. </w:t>
      </w:r>
      <w:r>
        <w:rPr>
          <w:rFonts w:ascii="Arial" w:cs="Arial" w:eastAsia="Arial" w:hAnsi="Arial"/>
          <w:sz w:val="18"/>
          <w:szCs w:val="18"/>
          <w:color w:val="auto"/>
        </w:rPr>
        <w:t>The Company carries the Convertible Notes at cost. The Convertible Notes were issued in a private placement and there</w:t>
      </w:r>
      <w:r>
        <w:rPr>
          <w:rFonts w:ascii="Arial" w:cs="Arial" w:eastAsia="Arial" w:hAnsi="Arial"/>
          <w:sz w:val="18"/>
          <w:szCs w:val="18"/>
          <w:i w:val="1"/>
          <w:iCs w:val="1"/>
          <w:color w:val="auto"/>
        </w:rPr>
        <w:t xml:space="preserve"> </w:t>
      </w:r>
      <w:r>
        <w:rPr>
          <w:rFonts w:ascii="Arial" w:cs="Arial" w:eastAsia="Arial" w:hAnsi="Arial"/>
          <w:sz w:val="18"/>
          <w:szCs w:val="18"/>
          <w:color w:val="auto"/>
        </w:rPr>
        <w:t>is no active trading of these notes. The estimated fair value of the Company’s outstanding Convertible Notes was approximately $40.2 million at June 30, 2015. The fair value was determined based on an indicative closing price as of June 30, 2015. The Convertible Notes are categorized as Level III following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these Notes,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June 30, 2015, the Company was in compliance with all of its debt covenants.</w:t>
      </w:r>
    </w:p>
    <w:p>
      <w:pPr>
        <w:spacing w:after="0" w:line="17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For the three months ended June 30, 2015 and 2014, interest expense related to the 7.375% Notes Due 2019 was approximately $763,000 for both periods. For the six months ended June 30, 2015 and 2014, interest expense related to the 7.375% Notes Due 2019 was approximately $1.5 million for both periods.</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term of the facility on an effective yield method, of which approximately $993,000 remains to be amortized, as recorded on the consolidated balance sheets in other assets..</w:t>
      </w:r>
    </w:p>
    <w:p>
      <w:pPr>
        <w:spacing w:after="0" w:line="18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i w:val="1"/>
          <w:iCs w:val="1"/>
          <w:color w:val="auto"/>
        </w:rPr>
        <w:t>Fair Value of 7.375% Notes Due 2019</w:t>
      </w:r>
      <w:r>
        <w:rPr>
          <w:rFonts w:ascii="Arial" w:cs="Arial" w:eastAsia="Arial" w:hAnsi="Arial"/>
          <w:sz w:val="16"/>
          <w:szCs w:val="16"/>
          <w:color w:val="auto"/>
        </w:rPr>
        <w:t>. The 7.375% Notes Due 2019 were issued in a public offering on October 10, 2012 and are carried at cost.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Company’s outstanding 7.375% Notes Due 2019 was approximately $41.9 million at June 30, 2015. The fair value was determined based on the closing price on June 30, 2015 for the 7.375% Notes Due 2019. The 7.375% Notes Due 2019 are categorized as Level I under the ASC 820 Fair Value.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4" w:name="page55"/>
    <w:bookmarkEnd w:id="54"/>
    <w:p>
      <w:pPr>
        <w:ind w:right="360" w:firstLine="324"/>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 senior secured floating rate notes which have an initial face amount of $77,250,000, are rated AAA (sf)/Aaa (sf) by Standard &amp; Poor’s Ratings Services and Moody’s Investors Service, Inc., respectively, and bear interest at the three-month LIBOR plus 1.50%, Class B senior secured floating rate notes which have an initial face amount of $9,000,000, are rated AA (sf)/Aa2 (sf) by Standard &amp; Poor’s Ratings Services and Moody’s Investors Service, Inc., respectively, and bear interest at three-month LIBOR plus the</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3.25%, Class C secured deferrable floating rate notes which have an initial face amount of $10,000,000, are rated A (sf)/A2 (sf) by Standard &amp; Poor’s Ratings Services and Moody’s Investors Service, Inc., respectively, and bear interest at three-month LIBOR plus 4.25%, and Class D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170"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On December 8, 2014, the Company completed the sale of additional notes in a $56,000,000 increase to the collateralized loan obligation transaction that originally closed on June 18, 2013 (the “Original Closing Date”). The issuance of additional notes was proportional across all existing classes of notes issued on the Original Closing Date.</w:t>
      </w:r>
    </w:p>
    <w:p>
      <w:pPr>
        <w:spacing w:after="0" w:line="18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Each class of secured Additional Issuance Securities (all such classes, collectively, the “Additional Issuance Offered Securities”) was issued as a pari passu sub-class of an existing class of notes issued on the Original Closing Date. Accordingly, the ratings given by Standard &amp; Poor’s Ratings Services and Moody’s Investors Service, Inc. to each existing class of notes issued on the Original Closing Date will apply to each class of Additional Issuance Offered Securities that constitutes a related pari passu sub-class of such existing class of notes issued on the Original Closing Date.</w:t>
      </w:r>
    </w:p>
    <w:p>
      <w:pPr>
        <w:spacing w:after="0" w:line="1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Additional Issuance Offered Securities were issued as Class A-2 senior secured floating rate notes which have an initial face amount of $30,900,000, have a rating of AAA (sf)/Aaa (sf) by Standard &amp; Poor’s Ratings Services and Moody’s Investors Service, Inc., respectively, and bear interest at the three-month LIBOR plus 1.50%, Class B-2 senior secured floating rate notes which have an initial face amount of $3,600,000, a rating of AA (sf)/Aa2 (sf) by Standard &amp; Poor’s Ratings Services and Moody’s Investors Service, Inc., respectively, and bear interest at three-month LIBOR plus 3.25%, Class C-2 secured deferrable floating rate notes which have an initial face amount of $4,000,000, a rating of A (sf)/A2 (sf) by Standard &amp; Poor’s Ratings Services and Moody’s Investors Service, Inc., respectively, and bear interest at three-month LIBOR plus 4.25%, and Class D-2 secured deferrable floating rate notes which have an initial face amount of $3,600,000, a rating of BBB (sf)/Baa2 (sf) by Standard &amp; Poor’s Ratings Services and Moody’s Investors Service, Inc., respectively, and bear interest at three-month LIBOR plus 5.25%. The Depositor retained all of the subordinated Additional Issuance Securities of the Issuer (the “Additional Issuance Subordinated Notes”), which have an initial face amount of $13,900,000. The Additional Issuance Subordinated Notes do not bear interest and are not rated. The Additional Issuance Securities have a stated maturity date of July 20, 2024 and are subject to a non-call period until the payment date on the Additional Issuance Securities occurring in July 2015. The Issuer has a reinvestment period to and including the payment date on the Additional Issuance Securities occurring in July 2017, or such earlier date as is provided in the indenture relating to the Additional Issuance Securities. In connection with the Additional Issuance Offered Securities, the Company incurred issuance costs and OID costs of approximately $679,000 and $896,000, respectively, which is included in other assets on the accompanying balance sheet.</w:t>
      </w:r>
    </w:p>
    <w:p>
      <w:pPr>
        <w:spacing w:after="0" w:line="17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189" w:lineRule="exact"/>
        <w:rPr>
          <w:sz w:val="20"/>
          <w:szCs w:val="20"/>
          <w:color w:val="auto"/>
        </w:rPr>
      </w:pPr>
    </w:p>
    <w:p>
      <w:pPr>
        <w:jc w:val="both"/>
        <w:ind w:right="80" w:firstLine="324"/>
        <w:spacing w:after="0" w:line="329" w:lineRule="auto"/>
        <w:rPr>
          <w:sz w:val="20"/>
          <w:szCs w:val="20"/>
          <w:color w:val="auto"/>
        </w:rPr>
      </w:pPr>
      <w:r>
        <w:rPr>
          <w:rFonts w:ascii="Arial" w:cs="Arial" w:eastAsia="Arial" w:hAnsi="Arial"/>
          <w:sz w:val="16"/>
          <w:szCs w:val="16"/>
          <w:color w:val="auto"/>
        </w:rPr>
        <w:t>The Company serves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ind w:right="60" w:firstLine="324"/>
        <w:spacing w:after="0" w:line="277" w:lineRule="auto"/>
        <w:rPr>
          <w:sz w:val="20"/>
          <w:szCs w:val="20"/>
          <w:color w:val="auto"/>
        </w:rPr>
      </w:pPr>
      <w:r>
        <w:rPr>
          <w:rFonts w:ascii="Arial" w:cs="Arial" w:eastAsia="Arial" w:hAnsi="Arial"/>
          <w:sz w:val="18"/>
          <w:szCs w:val="18"/>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As of June 30, 2015, there were 74 investments in portfolio companies with a total fair value of approximately $195 million plus cash of $8.6 million, collateralizing the secured notes of the Issuer. At June 30, 2015, there were unamortized issuance costs of approximately $3.4 million included in other assets, and unamortized original issue discount, (“OID”) costs of approximately $3.2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six months ended June 30, 2015, interest expense, including the amortization of deferred debt issuance costs and the discount on the face amount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the notes, was approximately $2.5 million consisting of stated interest expense of approximately $1.8 million, accreted discount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$300,000, and deferred debt issuance costs of approximately $321,000. As of June 30, 2015, the stated interest charged under the securitization was based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three month LIBOR, which was 0.28%. The classes, stated interest rates, spread over LIBOR, and stated interest expense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Stated Interest</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LIBOR Spread</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Rate (1)</w:t>
            </w:r>
          </w:p>
        </w:tc>
        <w:tc>
          <w:tcPr>
            <w:tcW w:w="6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(basis points)</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2"/>
              </w:rPr>
              <w:t>Interest Expense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325</w:t>
            </w:r>
          </w:p>
        </w:tc>
        <w:tc>
          <w:tcPr>
            <w:tcW w:w="3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425</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525</w:t>
            </w:r>
          </w:p>
        </w:tc>
        <w:tc>
          <w:tcPr>
            <w:tcW w:w="3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175,852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100" w:hanging="332"/>
        <w:spacing w:after="0" w:line="569" w:lineRule="auto"/>
        <w:tabs>
          <w:tab w:leader="none" w:pos="271" w:val="left"/>
        </w:tabs>
        <w:numPr>
          <w:ilvl w:val="0"/>
          <w:numId w:val="35"/>
        </w:numPr>
        <w:rPr>
          <w:rFonts w:ascii="Arial" w:cs="Arial" w:eastAsia="Arial" w:hAnsi="Arial"/>
          <w:sz w:val="16"/>
          <w:szCs w:val="16"/>
          <w:color w:val="auto"/>
        </w:rPr>
      </w:pPr>
      <w:r>
        <w:rPr>
          <w:rFonts w:ascii="Arial" w:cs="Arial" w:eastAsia="Arial" w:hAnsi="Arial"/>
          <w:sz w:val="16"/>
          <w:szCs w:val="16"/>
          <w:color w:val="auto"/>
        </w:rPr>
        <w:t>Stated Interest Rate (and thus periodic interest expense), will vary based upon prevailing 3 month LIBOR as of the reset date. The amounts, ratings and interest rates (expressed as a spread to LIBOR) of the Class A, B, C, and D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 A Notes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Class B Notes</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C Notes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Class D Notes</w:t>
            </w:r>
          </w:p>
        </w:tc>
      </w:tr>
      <w:tr>
        <w:trPr>
          <w:trHeight w:val="195"/>
        </w:trPr>
        <w:tc>
          <w:tcPr>
            <w:tcW w:w="4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Type</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Senior Secured</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Senior Secured</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Secured</w:t>
            </w:r>
          </w:p>
        </w:tc>
        <w:tc>
          <w:tcPr>
            <w:tcW w:w="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Secured</w:t>
            </w:r>
          </w:p>
        </w:tc>
      </w:tr>
      <w:tr>
        <w:trPr>
          <w:trHeight w:val="216"/>
        </w:trPr>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Floating Rate</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Floating Rate</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Deferrable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Deferrable</w:t>
            </w:r>
          </w:p>
        </w:tc>
      </w:tr>
      <w:tr>
        <w:trPr>
          <w:trHeight w:val="230"/>
        </w:trPr>
        <w:tc>
          <w:tcPr>
            <w:tcW w:w="4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Floating Rate</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Amount Outstanding</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$ 108,150,000</w:t>
            </w:r>
          </w:p>
        </w:tc>
        <w:tc>
          <w:tcPr>
            <w:tcW w:w="10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$12,600,000</w:t>
            </w:r>
          </w:p>
        </w:tc>
        <w:tc>
          <w:tcPr>
            <w:tcW w:w="10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$14,000,000</w:t>
            </w:r>
          </w:p>
        </w:tc>
        <w:tc>
          <w:tcPr>
            <w:tcW w:w="8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$12,600,000</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"Aaa"</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"Aa2"</w:t>
            </w:r>
          </w:p>
        </w:tc>
        <w:tc>
          <w:tcPr>
            <w:tcW w:w="13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"A2"</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"Baa2"</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Standard &amp; Poor's Rating (sf)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rPr>
              <w:t>"AAA"</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rPr>
              <w:t>"AA"</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rPr>
              <w:t>"A"</w:t>
            </w:r>
          </w:p>
        </w:tc>
        <w:tc>
          <w:tcPr>
            <w:tcW w:w="1260" w:type="dxa"/>
            <w:vAlign w:val="bottom"/>
          </w:tcPr>
          <w:p>
            <w:pPr>
              <w:jc w:val="center"/>
              <w:spacing w:after="0"/>
              <w:rPr>
                <w:sz w:val="20"/>
                <w:szCs w:val="20"/>
                <w:color w:val="auto"/>
              </w:rPr>
            </w:pPr>
            <w:r>
              <w:rPr>
                <w:rFonts w:ascii="Arial" w:cs="Arial" w:eastAsia="Arial" w:hAnsi="Arial"/>
                <w:sz w:val="18"/>
                <w:szCs w:val="18"/>
                <w:color w:val="auto"/>
              </w:rPr>
              <w:t>"BBB"</w:t>
            </w:r>
          </w:p>
        </w:tc>
      </w:tr>
      <w:tr>
        <w:trPr>
          <w:trHeight w:val="257"/>
        </w:trPr>
        <w:tc>
          <w:tcPr>
            <w:tcW w:w="5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Interest Rate</w:t>
            </w:r>
            <w:r>
              <w:rPr>
                <w:rFonts w:ascii="Arial" w:cs="Arial" w:eastAsia="Arial" w:hAnsi="Arial"/>
                <w:sz w:val="29"/>
                <w:szCs w:val="29"/>
                <w:color w:val="auto"/>
                <w:vertAlign w:val="superscript"/>
              </w:rPr>
              <w:t>1</w:t>
            </w: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7"/>
              </w:rPr>
              <w:t>LIBOR + 1.50 % LIBOR + 3.25 % LIBOR + 4.25 % LIBOR + 5.25 %</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Stated Maturity</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July, 2024</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2024</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July, 2024</w:t>
            </w:r>
          </w:p>
        </w:tc>
      </w:tr>
      <w:tr>
        <w:trPr>
          <w:trHeight w:val="202"/>
        </w:trPr>
        <w:tc>
          <w:tcPr>
            <w:tcW w:w="5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Classes</w:t>
            </w:r>
          </w:p>
        </w:tc>
        <w:tc>
          <w:tcPr>
            <w:tcW w:w="13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B, C, D and</w:t>
            </w:r>
          </w:p>
        </w:tc>
        <w:tc>
          <w:tcPr>
            <w:tcW w:w="13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C, D and</w:t>
            </w:r>
          </w:p>
        </w:tc>
        <w:tc>
          <w:tcPr>
            <w:tcW w:w="132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1"/>
              </w:rPr>
              <w:t>D and</w:t>
            </w:r>
          </w:p>
        </w:tc>
        <w:tc>
          <w:tcPr>
            <w:tcW w:w="1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Subordinated</w:t>
            </w:r>
          </w:p>
        </w:tc>
      </w:tr>
      <w:tr>
        <w:trPr>
          <w:trHeight w:val="230"/>
        </w:trPr>
        <w:tc>
          <w:tcPr>
            <w:tcW w:w="4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Subordinated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Subordinated</w:t>
            </w:r>
          </w:p>
        </w:tc>
        <w:tc>
          <w:tcPr>
            <w:tcW w:w="13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Subordinated</w:t>
            </w:r>
          </w:p>
        </w:tc>
        <w:tc>
          <w:tcPr>
            <w:tcW w:w="1260" w:type="dxa"/>
            <w:vAlign w:val="bottom"/>
            <w:shd w:val="clear" w:color="auto" w:fill="CCEEFF"/>
          </w:tcPr>
          <w:p>
            <w:pPr>
              <w:spacing w:after="0"/>
              <w:rPr>
                <w:sz w:val="20"/>
                <w:szCs w:val="20"/>
                <w:color w:val="auto"/>
              </w:rPr>
            </w:pPr>
          </w:p>
        </w:tc>
      </w:tr>
    </w:tbl>
    <w:p>
      <w:pPr>
        <w:spacing w:after="0" w:line="128"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Three month LIBOR, which was 0.28% as of June 30, 2015</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color w:val="auto"/>
        </w:rPr>
        <w:t>The Company’s outstanding principal amounts, carrying values and fair values of the Class A, B, C and D Notes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June 30, 2015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6"/>
              </w:rPr>
              <w:t>Principal Amount</w:t>
            </w:r>
          </w:p>
        </w:tc>
        <w:tc>
          <w:tcPr>
            <w:tcW w:w="10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9"/>
              </w:rPr>
              <w:t>Carrying Value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I, LLC Class A Notes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108,150,000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105,792,485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105,554,400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KCAP Senior Funding I, LLC Class B Notes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12,600,000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12,325,338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I, LLC Class C Notes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13,694,820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KCAP Senior Funding I, LLC Class D Notes</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12,600,000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12,325,338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12,285,000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144,137,981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144,285,400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i w:val="1"/>
          <w:iCs w:val="1"/>
          <w:color w:val="auto"/>
        </w:rPr>
        <w:t xml:space="preserve">Fair Value of KCAP Senior Funding I. </w:t>
      </w:r>
      <w:r>
        <w:rPr>
          <w:rFonts w:ascii="Arial" w:cs="Arial" w:eastAsia="Arial" w:hAnsi="Arial"/>
          <w:sz w:val="17"/>
          <w:szCs w:val="17"/>
          <w:color w:val="auto"/>
        </w:rPr>
        <w:t>The Company carries the KCAP Senior Funding I Notes at cost, net of unamortized discount of $3,212,019.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KCAP Senior Funding I Notes was approximately $144.3 million at June 30, 2015. The fair values were determined based on third party indicative values. The KCAP Senior Funding I L.L.C. Notes are categorized as Level III under ASC 820: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at least 90%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2015). Depending on the level of taxable income earned in a tax year, the Company may choose to carry forward taxable income in excess of current year distributions into the next tax year and pay a 4% excise tax on such income, to the extent required. The Company anticipates timely distribution of its taxable income within the tax rules, and the Company anticipates that it will not incur a US federal excise tax for the calendar year 2015.</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 for the six months ended June 30, 2015:</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00" w:type="dxa"/>
            <w:vAlign w:val="bottom"/>
            <w:gridSpan w:val="4"/>
          </w:tcPr>
          <w:p>
            <w:pPr>
              <w:ind w:left="900"/>
              <w:spacing w:after="0"/>
              <w:rPr>
                <w:sz w:val="20"/>
                <w:szCs w:val="20"/>
                <w:color w:val="auto"/>
              </w:rPr>
            </w:pPr>
            <w:r>
              <w:rPr>
                <w:rFonts w:ascii="Arial" w:cs="Arial" w:eastAsia="Arial" w:hAnsi="Arial"/>
                <w:sz w:val="18"/>
                <w:szCs w:val="18"/>
                <w:b w:val="1"/>
                <w:bCs w:val="1"/>
                <w:color w:val="auto"/>
                <w:w w:val="94"/>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June 30, 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3,532,611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gains over capital losses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914,207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book/tax differences</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102,509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13,355,916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 per weighted average basic shares for the period</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Tax-basis taxable income differs from net increase (decrease) in net assets resulting from operations primarily due to: (1) unrealized appreciation (depreciation) on investments, as investment gains and losses are not included in tax-basis taxable income until they are realized; (2) excess of capital losses over capital gains; (3) Book-to-tax differences on CLO equity investments; and (4) other non-deductible expenses including stock compensation expense that is not currently deductible for tax purposes.</w:t>
      </w:r>
    </w:p>
    <w:p>
      <w:pPr>
        <w:spacing w:after="0" w:line="18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six months ended June 30, 2015 and 2014, the Asset Manager Affiliates declared cash distributions of $5.0 million and $6.0 million to the Company, respectively. The Company recognized $2.6 million and $2.8 million, respectively, of Dividends from Asset Manager Affiliates in the Statement of Operations for the six months ended June 30, 2015 and 2014. The difference of $2.4 million and $3.2 million, respectively, between cash distributions received and the tax-basis earnings and profits of the distributing affiliate, are recorded as an adjustment to the cost basis in the Asset Manager Affiliate (i.e. tax-basis return of capital), for the six months ended June 30, 2015 and 2014, respectively.</w:t>
      </w:r>
    </w:p>
    <w:p>
      <w:pPr>
        <w:spacing w:after="0" w:line="166"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Distributions to shareholders that exceed tax distributable income (tax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5"/>
              </w:rPr>
              <w:t>Six months 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5"/>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10"/>
        </w:trPr>
        <w:tc>
          <w:tcPr>
            <w:tcW w:w="53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Distributions paid from:</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Ordinary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7,645,458</w:t>
            </w:r>
          </w:p>
        </w:tc>
        <w:tc>
          <w:tcPr>
            <w:tcW w:w="14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26,807,154</w:t>
            </w:r>
          </w:p>
        </w:tc>
        <w:tc>
          <w:tcPr>
            <w:tcW w:w="40" w:type="dxa"/>
            <w:vAlign w:val="bottom"/>
          </w:tcPr>
          <w:p>
            <w:pPr>
              <w:spacing w:after="0"/>
              <w:rPr>
                <w:sz w:val="18"/>
                <w:szCs w:val="18"/>
                <w:color w:val="auto"/>
              </w:rPr>
            </w:pPr>
          </w:p>
        </w:tc>
      </w:tr>
      <w:tr>
        <w:trPr>
          <w:trHeight w:val="23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7,972,633</w:t>
            </w:r>
          </w:p>
        </w:tc>
        <w:tc>
          <w:tcPr>
            <w:tcW w:w="40" w:type="dxa"/>
            <w:vAlign w:val="bottom"/>
            <w:shd w:val="clear" w:color="auto" w:fill="CCEEFF"/>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7,645,458</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34,779,787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Comprised of the first quarter distribution paid in April and the second quarter distribution paid in July.</w:t>
      </w:r>
    </w:p>
    <w:p>
      <w:pPr>
        <w:spacing w:after="0" w:line="22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At June 30, 2015, the Company had a net capital loss carryforward of $76.3 million to offset net capital gains, to the extent provided by federal tax law. Of the net capital loss carryforward, $32.0 million will begin to expire in the tax year ending December 31, 2015. Of the net capital loss carryforward, $44.5 million is not subject to expiration under the RIC Modernization Act of 2010.</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June 23, 2015, the Company’s Board of Directors declared a distribution to shareholders of $0.21 per share for a total of $7.6 million. The record date was July 6, 2015 and the distribution was paid on July 27, 2015.</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58" w:name="page59"/>
    <w:bookmarkEnd w:id="58"/>
    <w:p>
      <w:pPr>
        <w:ind w:firstLine="324"/>
        <w:spacing w:after="0" w:line="288"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June 30, 2015, the Company had a commitment under the Trimaran Credit Facility of $23 million. As of December 31, 2014, the Trimaran Credit Facility was fully drawn and there was no remaining unfunded commitment thereunder. As of June 30, 2015 and December 31, 2014, the Company had no outstanding commitments to make investments in delayed draw senior secured loans.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During the six months ended June 30, 2015 and 2014, the Company issued 107,613 and 37,932 shares, respectively, of common stock under its dividend reinvestment plan. As of June 30, 2015 and December 31, 2014, there were 702,111 and 623,983 shares of unvested restricted shares, respectively. There were 196,166 grants, 10,042 forfeitures, and 103,798 vested shares during the six months ended June 30, 2015. The total number of shares of the Company’s common stock issued and outstanding as of June 30, 2015 and December 31, 2014 was 37,032,825 and 36,775,127, respectively. During the quarter ended June 30, 2015, the Company repurchased 36,039 shares at an aggregate cost of approximately $218,000 in connection with the vesting of restricted stock awards.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Company has an equity incentive plan, established in 2006 and as amended in 2008 and most recently in June 2014, (the “Equity Incentive Plan”). The Company reserved 2,000,000 shares of common stock for issuance under the Equity Incentive Plan. The purpose of the Equity Incentive Plan is to provide officers and prospective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under the 2014 amended Equity Incentive Plan will vest in four equal installments of 25%, on each of the first four anniversaries of the grant date.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On June 20, 2014, the Company’s Board of Directors approved the amended and restated Non-Employee Director Plan (the “Non-Employee Director Plan”), which was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9" w:name="page60"/>
    <w:bookmarkEnd w:id="59"/>
    <w:p>
      <w:pPr>
        <w:ind w:right="4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2014 through June 30, 2015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 Average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ind w:left="20"/>
              <w:spacing w:after="0" w:line="183" w:lineRule="exact"/>
              <w:rPr>
                <w:sz w:val="20"/>
                <w:szCs w:val="20"/>
                <w:color w:val="auto"/>
              </w:rPr>
            </w:pPr>
            <w:r>
              <w:rPr>
                <w:rFonts w:ascii="Arial" w:cs="Arial" w:eastAsia="Arial" w:hAnsi="Arial"/>
                <w:sz w:val="18"/>
                <w:szCs w:val="18"/>
                <w:b w:val="1"/>
                <w:bCs w:val="1"/>
                <w:color w:val="auto"/>
              </w:rPr>
              <w:t>Exercise Price per</w:t>
            </w:r>
          </w:p>
        </w:tc>
        <w:tc>
          <w:tcPr>
            <w:tcW w:w="1500" w:type="dxa"/>
            <w:vAlign w:val="bottom"/>
            <w:gridSpan w:val="2"/>
          </w:tcPr>
          <w:p>
            <w:pPr>
              <w:jc w:val="center"/>
              <w:ind w:right="120"/>
              <w:spacing w:after="0" w:line="183" w:lineRule="exact"/>
              <w:rPr>
                <w:sz w:val="20"/>
                <w:szCs w:val="20"/>
                <w:color w:val="auto"/>
              </w:rPr>
            </w:pPr>
            <w:r>
              <w:rPr>
                <w:rFonts w:ascii="Arial" w:cs="Arial" w:eastAsia="Arial" w:hAnsi="Arial"/>
                <w:sz w:val="18"/>
                <w:szCs w:val="18"/>
                <w:b w:val="1"/>
                <w:bCs w:val="1"/>
                <w:color w:val="auto"/>
                <w:w w:val="92"/>
              </w:rPr>
              <w:t>Remaining Term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3"/>
                <w:szCs w:val="23"/>
                <w:color w:val="auto"/>
              </w:rPr>
            </w:pPr>
          </w:p>
        </w:tc>
        <w:tc>
          <w:tcPr>
            <w:tcW w:w="1360" w:type="dxa"/>
            <w:vAlign w:val="bottom"/>
            <w:gridSpan w:val="3"/>
          </w:tcPr>
          <w:p>
            <w:pPr>
              <w:ind w:left="20"/>
              <w:spacing w:after="0" w:line="266" w:lineRule="exact"/>
              <w:rPr>
                <w:sz w:val="20"/>
                <w:szCs w:val="20"/>
                <w:color w:val="auto"/>
              </w:rPr>
            </w:pPr>
            <w:r>
              <w:rPr>
                <w:rFonts w:ascii="Arial" w:cs="Arial" w:eastAsia="Arial" w:hAnsi="Arial"/>
                <w:sz w:val="18"/>
                <w:szCs w:val="18"/>
                <w:b w:val="1"/>
                <w:bCs w:val="1"/>
                <w:color w:val="auto"/>
                <w:w w:val="98"/>
              </w:rPr>
              <w:t>Intrinsic Value</w:t>
            </w:r>
            <w:r>
              <w:rPr>
                <w:rFonts w:ascii="Arial" w:cs="Arial" w:eastAsia="Arial" w:hAnsi="Arial"/>
                <w:sz w:val="30"/>
                <w:szCs w:val="30"/>
                <w:color w:val="auto"/>
                <w:w w:val="98"/>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2014</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2014</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26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Outstanding at June 30, 2015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vested at June 30, 2015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and the exercise price of the options.</w:t>
      </w:r>
    </w:p>
    <w:p>
      <w:pPr>
        <w:spacing w:after="0" w:line="202"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six months ended June 30, 2015 and 2014, the Company did not recognize any non-cash compensation expense related to stock options. At June 30, 2015, the Company had no remaining compensation costs related to unvested stock 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980" w:hanging="648"/>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six months ended June 30, 2015, the Company repurchased 36,039 shares of common stock at an aggregate cost of approximately $218,000 in connection with the vesting of employee’s restricted stock, which is reflected as Treasury Stock at cost on the Consolidated Balance Sheet. These shares are not available to be reissued under the Company’s Equity Incentive Plan.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jc w:val="both"/>
        <w:ind w:right="20" w:firstLine="324"/>
        <w:spacing w:after="0" w:line="297" w:lineRule="auto"/>
        <w:rPr>
          <w:sz w:val="20"/>
          <w:szCs w:val="20"/>
          <w:color w:val="auto"/>
        </w:rPr>
      </w:pPr>
      <w:r>
        <w:rPr>
          <w:rFonts w:ascii="Arial" w:cs="Arial" w:eastAsia="Arial" w:hAnsi="Arial"/>
          <w:sz w:val="16"/>
          <w:szCs w:val="16"/>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 On June 23, 2015, the Company’s Board of Directors also voted to amend the KCAP Financial, Inc. 2006 Equity Incentive Plan As Amended and Restated Effective June 23, 2015, to specify that shares withheld from an Award either to satisfy tax withholding requirements or the payment for the delivery of shares of Common Stock or Restricted Stock upon the exercise of options will not be returned to the plan reserve.</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six months ended June 30, 2015, 103,798 shares of restricted stock vested and 10,042 shares of restricted stock were forfeited. As of June 30, 2015, after giving effect to these restricted stock awards, there were 702,111 shares of restricted stock outstanding. Information with respect to restricted stock granted, exercised and forfeited under the Plan for the period January 1, 2014 through June 30, 2015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Non-vested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Restricted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January 1, 2014</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272,998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360,289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2014</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619,785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196,166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(103,798)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non-vested shares at June 30, 2015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702,111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For the six months ended June 30, 2015, non-cash compensation expense related to restricted stock was approximately $730,000; of this amount approximately $332,000 was expensed at the Company, and approximately $398,000 was a reimbursable expense allocated to the Asset Manager Affiliates. For the six months ended June 30, 2014, non-cash compensation expense related to restricted stock was approximately $413,000; of this amount approximately $218,000 was expensed at the Company and approximately $195,000 was a reimbursable expense allocated to the Asset Manager Affiliates.</w:t>
      </w:r>
    </w:p>
    <w:p>
      <w:pPr>
        <w:spacing w:after="0" w:line="15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Dividends are paid on all outstanding shares of restricted stock, whether or not vested. In general, shares of unvested restricted stock are forfeited upon the recipient’s termination of employment. As of June 30, 2015, the company had approximately $4.5 million of total unrecognized compensation cost related to non-vested share-based awards. That cost is expected to be recognized over a weighted average period of 2.9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$22,000 and $35,000 was expensed during the six months ended June 30, 2015 and 2014, respectively, related to the 401K Plan.</w:t>
      </w:r>
    </w:p>
    <w:p>
      <w:pPr>
        <w:spacing w:after="0" w:line="188"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$106,000 and $124,000 was expensed during the six months ended June 30, 2015 and 2014, respectively, related to the Profit-Sharing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the balance sheet date of June 30, 2015 for items that should potentially be recognized or disclosed in these financial statements. Management has determined that there are no material subsequent events that would require adjustment to, or disclosure in, these consolidated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1" w:name="page62"/>
    <w:bookmarkEnd w:id="61"/>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information contained in this section should be read in conjunction with our consolidated financial statements and notes thereto appearing elsewhere in this Quarterly Report and in conjunction with the financial statements and notes thereto in the Company’s Form 10-K for the year ended December 31, 2014,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funds under our credit facility,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69" w:lineRule="exact"/>
        <w:rPr>
          <w:sz w:val="20"/>
          <w:szCs w:val="20"/>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720" w:right="660" w:hanging="334"/>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registered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2014.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8"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 (the “1940 Act”). We have three principal areas of investments: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Second, the Company has invested in asset management companies (Katonah Debt Advisors and Trimaran Advisors, collectively the “Asset Manager Affiliates”) that manage collateralized loan obligation funds (“CLOs”).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our Asset Manager Affiliates, but from time-to-time the Company makes investments in CLO Fund Securities managed by other asset managers. The CLOs typically invest in broadly syndicated loans, high-yield bonds and other credit instruments.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companies or larger, publicly-traded companies, high-yield bonds and distressed debt securities. We may also receive warrants or options to purchase common stock in connection with our debt investments.</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From our Asset Manager Affiliates investment, we expect to receive recurring cash distributions and to generate capital appreciation through the addition of new CLO Funds managed by our Asset Manager Affiliates. The Asset Manager Affiliates manage CLO Funds that invest in broadly syndicated loans, high-yield bonds and other credit instruments. Collectively, the Asset Manager Affiliates have approximately $3.2 billion of par value assets under management as of June 30, 2015. The Asset Manager Affiliates are registered under the Investment Advisers Act of 1940, and are managed independently from the Company by a separate portfolio management team.</w:t>
      </w:r>
    </w:p>
    <w:p>
      <w:pPr>
        <w:spacing w:after="0" w:line="18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the growth of our Asset Manager Affiliates.</w:t>
      </w:r>
    </w:p>
    <w:p>
      <w:pPr>
        <w:spacing w:after="0" w:line="18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portfolio investment activity (excluding activity in time deposit and money market investments) for the six months ended June 30, 2015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for the year ended December 31, 2014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 Fund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Asset Manager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Securities</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8"/>
              </w:rPr>
              <w:t>Equity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Affiliates</w:t>
            </w:r>
          </w:p>
        </w:tc>
        <w:tc>
          <w:tcPr>
            <w:tcW w:w="6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Total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266,830,427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79,452,220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11,006,398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433,437,045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2014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224,513,503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22,421,847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2,216,847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545,979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249,698,176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(168,429,374)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(10,132,500)</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(5,007,311)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(6,432,086)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(190,001,271)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of interest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(11,102,015)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realized losses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(8,823,507)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5,575,498</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(7,136,408)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(10,384,417)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fair value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5,641,403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(8,700,148)</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7,040,155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2,064,107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6,045,517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320,143,170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77,514,902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8,119,681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72,326,000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478,103,753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to Date 2015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36,166,881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11,952,000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48,118,881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(57,444,864)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(317,340)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(2,350,586)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(60,112,790)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of interest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(5,240,135)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realized gains (losses)</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95,393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fair value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(1,252,614)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(5,778,312)</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(263,271)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3,761,586</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(3,532,611)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297,915,304</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78,448,455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7,542,085</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73,737,000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457,642,844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June 30,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ind w:left="860"/>
              <w:spacing w:after="0"/>
              <w:rPr>
                <w:sz w:val="20"/>
                <w:szCs w:val="20"/>
                <w:color w:val="auto"/>
              </w:rPr>
            </w:pPr>
            <w:r>
              <w:rPr>
                <w:rFonts w:ascii="Arial" w:cs="Arial" w:eastAsia="Arial" w:hAnsi="Arial"/>
                <w:sz w:val="18"/>
                <w:szCs w:val="18"/>
                <w:b w:val="1"/>
                <w:bCs w:val="1"/>
                <w:color w:val="auto"/>
                <w:w w:val="97"/>
              </w:rPr>
              <w:t>June 30, 2015 (unaudited)</w:t>
            </w: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4"/>
              </w:rPr>
              <w:t>December 31, 2014</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Security Type</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4"/>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412"/>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160" w:type="dxa"/>
            <w:vAlign w:val="bottom"/>
            <w:tcBorders>
              <w:bottom w:val="single" w:sz="8" w:color="CCEEFF"/>
            </w:tcBorders>
          </w:tcPr>
          <w:p>
            <w:pPr>
              <w:spacing w:after="0"/>
              <w:rPr>
                <w:sz w:val="21"/>
                <w:szCs w:val="21"/>
                <w:color w:val="auto"/>
              </w:rPr>
            </w:pPr>
          </w:p>
        </w:tc>
      </w:tr>
      <w:tr>
        <w:trPr>
          <w:trHeight w:val="237"/>
        </w:trPr>
        <w:tc>
          <w:tcPr>
            <w:tcW w:w="26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Money Market Accounts</w:t>
            </w:r>
            <w:r>
              <w:rPr>
                <w:rFonts w:ascii="Arial" w:cs="Arial" w:eastAsia="Arial" w:hAnsi="Arial"/>
                <w:sz w:val="27"/>
                <w:szCs w:val="27"/>
                <w:color w:val="auto"/>
                <w:vertAlign w:val="superscript"/>
              </w:rPr>
              <w:t>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16,457,816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16,457,816</w:t>
            </w: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1,602,741</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1,602,741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220,875,385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217,535,523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220,965,922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218,329,860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86</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40,194,817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39,898,155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38,664,199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38,569,006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Unsecured Loan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10,143,525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10,143,525</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33,066,984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33,066,984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2,547,600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2,962,507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4,375,084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4,278,531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4,295,544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4,240,301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11,527,830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11,618,855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11,208,178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11,386,218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1,512,620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1,481,700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1,515,584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1,552,500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97,601,049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78,448,455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90,889,190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77,514,901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8,514,487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7,542,085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8,828,812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8,119,681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Preferred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10,308,332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10,411,415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10,206,016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10,418,302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70"/>
        </w:trPr>
        <w:tc>
          <w:tcPr>
            <w:tcW w:w="2640" w:type="dxa"/>
            <w:vAlign w:val="bottom"/>
          </w:tcPr>
          <w:p>
            <w:pPr>
              <w:spacing w:after="0" w:line="269"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2</w:t>
            </w:r>
          </w:p>
        </w:tc>
        <w:tc>
          <w:tcPr>
            <w:tcW w:w="2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57,942,090</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73,737,000</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60,292,677</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72,326,000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482,425,123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474,100,660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484,498,354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479,706,494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2"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Represents percentage of Net Asset Value.</w:t>
      </w:r>
    </w:p>
    <w:p>
      <w:pPr>
        <w:ind w:left="340" w:hanging="332"/>
        <w:spacing w:after="0" w:line="180"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ind w:left="340" w:hanging="332"/>
        <w:spacing w:after="0" w:line="180"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At June 30, 2015 and December 31, 2014, our investments in income producing loans and debt securities, excluding CLO Fund securities, had a weighted average interest rate of approximately 7.3% for both periods.</w:t>
      </w:r>
    </w:p>
    <w:p>
      <w:pPr>
        <w:spacing w:after="0" w:line="170"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and CLO Funds) at June 30, 2015 was spread across 25 different industries and 103 different entities with an average balance per entity of approximately $3.0 million. As of June 30, 2015, all but one of our portfolio companies were current on their debt service obligations.</w:t>
      </w:r>
    </w:p>
    <w:p>
      <w:pPr>
        <w:spacing w:after="0" w:line="18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may invest up to 30% of our investment portfolio in “Non-qualifying” opportunistic investments such as high-yield bonds, debt and equity securities of CLO Funds, foreign investments, and distressed debt or equity securities of public companies. At June 30, 2015 and December 31, 2014, the total amount of non-qualifying assets was approximately 21% for both periods. The majority of non-qualifying assets were foreign investments which was approximately 16% of the Company’s total assets, for both periods (including the Company’s investments in CLO Funds, which are typically domiciled outside the U.S. and represented approximately 16% of its total assets on such dates), for both periods. The investments in our Debt Securities Portfolio are all or predominantly below investment grade, and therefore have speculative characteristics with respect to the issuer’s capacity to pay interest and repay principal.</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companies (at fair value) as of June 30,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0"/>
              </w:rPr>
              <w:t>June 30, 2015 (unaudited)</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2"/>
              </w:rPr>
              <w:t>Fair Value</w:t>
            </w: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24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57,942,090</w:t>
            </w: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73,737,000</w:t>
            </w:r>
          </w:p>
        </w:tc>
        <w:tc>
          <w:tcPr>
            <w:tcW w:w="1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Katonah 2007-I CLO Ltd.</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23,740,077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24,674,912</w:t>
            </w:r>
          </w:p>
        </w:tc>
        <w:tc>
          <w:tcPr>
            <w:tcW w:w="3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Bank Money Market Account</w:t>
            </w: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16,208,632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16,208,632</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Crowley Holdings Preferred, LLC</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10,308,332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10,411,415</w:t>
            </w:r>
          </w:p>
        </w:tc>
        <w:tc>
          <w:tcPr>
            <w:tcW w:w="3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Tank Partners Holdings, LLC</w:t>
            </w: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10,416,387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9,788,240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Catamaran CLO 2015-1 Ltd.</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12,132,538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9,531,720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Restorix Health, Inc.</w:t>
            </w: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8,124,738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8,124,738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Catamaran CLO 2014-1 Ltd.</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9,690,780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7,908,078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2014-2 Ltd.</w:t>
            </w: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8,847,407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7,763,580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6,909,329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7,105,000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164,320,310</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175,253,315</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63</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0"/>
              </w:rPr>
              <w:t>December 31, 2014</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Fair Value</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24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60,292,677</w:t>
            </w:r>
          </w:p>
        </w:tc>
        <w:tc>
          <w:tcPr>
            <w:tcW w:w="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160" w:type="dxa"/>
            <w:vAlign w:val="bottom"/>
            <w:vMerge w:val="continue"/>
            <w:shd w:val="clear" w:color="auto" w:fill="CCEEFF"/>
          </w:tcPr>
          <w:p>
            <w:pPr>
              <w:spacing w:after="0"/>
              <w:rPr>
                <w:sz w:val="18"/>
                <w:szCs w:val="18"/>
                <w:color w:val="auto"/>
              </w:rPr>
            </w:pP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Katonah 2007-I CLO Ltd.</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23,471,779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25,191,782</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Trimaran Credit Facility</w:t>
            </w: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23,000,000</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Crowley Holdings Preferred, LLC</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10,206,016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10,418,302</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Tank Partners Holdings, LLC</w:t>
            </w: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10,212,907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9,866,065</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Catamaran CLO 2014-1 Ltd.</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10,473,628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8,867,176</w:t>
            </w:r>
          </w:p>
        </w:tc>
        <w:tc>
          <w:tcPr>
            <w:tcW w:w="16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2014-2 Ltd.</w:t>
            </w: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9,862,799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8,761,500</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Restorix Health, Inc.</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8,063,397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8,063,397</w:t>
            </w:r>
          </w:p>
        </w:tc>
        <w:tc>
          <w:tcPr>
            <w:tcW w:w="16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2013- 1 Ltd.</w:t>
            </w: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7,492,702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7,874,910</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6,894,754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7,105,000</w:t>
            </w:r>
          </w:p>
        </w:tc>
        <w:tc>
          <w:tcPr>
            <w:tcW w:w="16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169,970,659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181,474,132</w:t>
            </w:r>
          </w:p>
        </w:tc>
        <w:tc>
          <w:tcPr>
            <w:tcW w:w="160" w:type="dxa"/>
            <w:vAlign w:val="bottom"/>
          </w:tcPr>
          <w:p>
            <w:pPr>
              <w:spacing w:after="0"/>
              <w:rPr>
                <w:sz w:val="21"/>
                <w:szCs w:val="21"/>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Excluding the Asset Manager Affiliates and CLO Fund securities, the Company’s ten largest portfolio companies represented approximately 14% and 17% of the total fair value of the Company’s investments at June 30, 2015 and December 31, 2014,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industry concentrations based on the fair value of the Company’s investment portfolio as of June 30, 2015 and December 31, 2014,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w w:val="91"/>
              </w:rPr>
              <w:t>June 30, 2015 (unaudited)</w:t>
            </w:r>
          </w:p>
        </w:tc>
        <w:tc>
          <w:tcPr>
            <w:tcW w:w="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ind w:left="920"/>
              <w:spacing w:after="0"/>
              <w:rPr>
                <w:sz w:val="20"/>
                <w:szCs w:val="20"/>
                <w:color w:val="auto"/>
              </w:rPr>
            </w:pPr>
            <w:r>
              <w:rPr>
                <w:rFonts w:ascii="Arial" w:cs="Arial" w:eastAsia="Arial" w:hAnsi="Arial"/>
                <w:sz w:val="18"/>
                <w:szCs w:val="18"/>
                <w:b w:val="1"/>
                <w:bCs w:val="1"/>
                <w:color w:val="auto"/>
                <w:w w:val="99"/>
              </w:rPr>
              <w:t>December 31, 2014</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34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1"/>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9,962,961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9,507,015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10,059,487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9,533,092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57"/>
        </w:trPr>
        <w:tc>
          <w:tcPr>
            <w:tcW w:w="402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57,942,090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73,737,000</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30.0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60,292,677</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72,326,000</w:t>
            </w:r>
          </w:p>
        </w:tc>
        <w:tc>
          <w:tcPr>
            <w:tcW w:w="2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2"/>
                <w:szCs w:val="2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Portfolio Company Loan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23,000,000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23,000,000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8,338,128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8,288,792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8,362,956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8,312,548</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6,883,390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6,932,029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7,660,721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7,639,366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26,075,029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25,908,282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17,974,974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17,883,421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9,503,020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10,144,194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9,486,407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10,351,329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9,813,938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9,817,440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6,348,226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6,210,253</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97,601,049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78,448,455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1"/>
              </w:rPr>
              <w:t>30.0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90,889,190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77,514,901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1,985,014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1,985,000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14,308,915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13,799,538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13,876,482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13,301,207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13,470,912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13,389,057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13,535,975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13,314,952</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2,916,649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2,930,328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2,992,443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2,946,734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Energy: Oil &amp; Gas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14,071,674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12,659,600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13,866,208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13,289,753</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12,836,897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12,869,296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12,942,593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12,911,017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5,902,645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5,939,900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5,917,051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5,942,523</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64,268,378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62,621,277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1"/>
              </w:rPr>
              <w:t>24.0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66,186,412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65,720,782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High Tech Industries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10,837,095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10,924,468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14,457,495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14,419,110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3,219,576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2,825,862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3,392,481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2,962,315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11,239,642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10,844,244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11,318,815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11,396,027</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&amp; Subscription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10,468,451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10,360,599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14,477,078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14,409,401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Metals &amp; Mining</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228,563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228,563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4,389,620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4,028,444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4,234,086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3,773,847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Services: Business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20,521,595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20,426,472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16,550,255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16,066,421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Services: Consumer</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6,542,350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6,577,250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6,798,372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6,752,521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Telecommunications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15,111,618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14,979,978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22,030,434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21,865,864</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r>
      <w:tr>
        <w:trPr>
          <w:trHeight w:val="257"/>
        </w:trPr>
        <w:tc>
          <w:tcPr>
            <w:tcW w:w="40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16,457,815</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16,457,816</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1,602,741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1,602,741</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Transportation: Cargo</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21,724,053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21,876,962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20,156,700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20,455,941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Utilities: Electric</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5,804,056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5,820,362</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5,859,532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5,803,428</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482,425,123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474,100,660</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484,498,354</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479,706,494</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ind w:left="340" w:hanging="332"/>
        <w:spacing w:after="0" w:line="180"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ind w:left="340" w:hanging="332"/>
        <w:spacing w:after="0" w:line="180"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June 30, 2015, we had approximately $78 million invested in CLO Fund Securities, issued primarily by funds managed by our Asset Manager Affiliates.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CLO Fund Securities as of June 30, 2015 and December 31, 2014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June 30, 2015</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CLO Fund Securities</w:t>
            </w:r>
          </w:p>
        </w:tc>
        <w:tc>
          <w:tcPr>
            <w:tcW w:w="120" w:type="dxa"/>
            <w:vAlign w:val="bottom"/>
            <w:tcBorders>
              <w:bottom w:val="single" w:sz="8" w:color="CCEEFF"/>
            </w:tcBorders>
          </w:tcPr>
          <w:p>
            <w:pPr>
              <w:spacing w:after="0"/>
              <w:rPr>
                <w:sz w:val="14"/>
                <w:szCs w:val="14"/>
                <w:color w:val="auto"/>
              </w:rPr>
            </w:pPr>
          </w:p>
        </w:tc>
        <w:tc>
          <w:tcPr>
            <w:tcW w:w="27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Grant Grove CLO, Ltd.</w:t>
            </w:r>
          </w:p>
        </w:tc>
        <w:tc>
          <w:tcPr>
            <w:tcW w:w="1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Subordinated Securities</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22.2%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2,498,355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522,005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2,254,638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469,132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Katonah III, Ltd.</w:t>
            </w:r>
            <w:r>
              <w:rPr>
                <w:rFonts w:ascii="Arial" w:cs="Arial" w:eastAsia="Arial" w:hAnsi="Arial"/>
                <w:sz w:val="21"/>
                <w:szCs w:val="21"/>
                <w:color w:val="auto"/>
                <w:vertAlign w:val="superscript"/>
              </w:rPr>
              <w:t>3</w:t>
            </w:r>
          </w:p>
        </w:tc>
        <w:tc>
          <w:tcPr>
            <w:tcW w:w="286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23.1</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1,361,891</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375,000</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1,015,334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400,000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Katonah VII CLO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Securities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3,530,488</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3,563,252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Katonah VIII CLO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Subordinated Securities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10.3</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2,706,408</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2,755,267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Katonah IX CLO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Shares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6.9</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1,203,124</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493,427</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1,262,496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594,988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Katonah X CLO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Subordinated Securities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33.3</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8,932,776</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4,686,406</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8,910,471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4,863,001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Shares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23,740,077</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24,674,912</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23,471,779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25,191,782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IV,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19.0</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11,094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900,000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Trimaran CLO V,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Notes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20.8</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142,490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675,000</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1,292,698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1,657,020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VI,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Income Notes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16.2</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1,531,142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1,950,000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Notes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1,340,875</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2,042,214</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1,399,074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2,084,394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Catamaran CLO 2012-1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Subordinated Notes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24.9</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7,507,610</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5,052,888</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7,994,677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5,793,924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Catamaran CLO 2012-1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F Notes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42.9</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3,949,318</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4,060,000</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3,917,442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4,160,000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Catamaran CLO 2013-1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Subordinated Notes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23.5</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6,881,847</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6,963,300</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7,492,702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7,874,910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Dryden 30 Senior Loan Fund</w:t>
            </w: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1,712,276</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2,368,925</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10,473,628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8,867,176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Catamaran CLO 2014-1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Subordinated Notes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24.9</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9,690,780</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7,908,078</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1,417,376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1,340,000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Catamaran CLO 2014-1 Ltd.</w:t>
            </w:r>
            <w:r>
              <w:rPr>
                <w:rFonts w:ascii="Arial" w:cs="Arial" w:eastAsia="Arial" w:hAnsi="Arial"/>
                <w:sz w:val="21"/>
                <w:szCs w:val="21"/>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E Notes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15.1</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1,422,789</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1,310,000</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2,263,321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2,506,075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3"/>
                <w:szCs w:val="13"/>
                <w:color w:val="auto"/>
              </w:rPr>
              <w:t>Catamaran CLO 2014-2 Ltd.</w:t>
            </w:r>
            <w:r>
              <w:rPr>
                <w:rFonts w:ascii="Arial" w:cs="Arial" w:eastAsia="Arial" w:hAnsi="Arial"/>
                <w:sz w:val="21"/>
                <w:szCs w:val="21"/>
                <w:color w:val="auto"/>
                <w:vertAlign w:val="superscript"/>
              </w:rPr>
              <w:t>2</w:t>
            </w:r>
          </w:p>
        </w:tc>
        <w:tc>
          <w:tcPr>
            <w:tcW w:w="2860" w:type="dxa"/>
            <w:vAlign w:val="bottom"/>
            <w:gridSpan w:val="2"/>
          </w:tcPr>
          <w:p>
            <w:pPr>
              <w:spacing w:after="0"/>
              <w:rPr>
                <w:sz w:val="20"/>
                <w:szCs w:val="20"/>
                <w:color w:val="auto"/>
              </w:rPr>
            </w:pPr>
            <w:r>
              <w:rPr>
                <w:rFonts w:ascii="Arial" w:cs="Arial" w:eastAsia="Arial" w:hAnsi="Arial"/>
                <w:sz w:val="14"/>
                <w:szCs w:val="14"/>
                <w:color w:val="auto"/>
              </w:rPr>
              <w:t>Subordinated Notes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24.9</w:t>
            </w: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8,847,407</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7,763,580</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9,862,799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8,761,500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Catamaran CLO 2015-1 Ltd.</w:t>
            </w:r>
            <w:r>
              <w:rPr>
                <w:rFonts w:ascii="Arial" w:cs="Arial" w:eastAsia="Arial" w:hAnsi="Arial"/>
                <w:sz w:val="23"/>
                <w:szCs w:val="23"/>
                <w:color w:val="auto"/>
                <w:vertAlign w:val="superscript"/>
              </w:rPr>
              <w:t>2</w:t>
            </w: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Notes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24.0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12,132,538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9,531,720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64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97,601,049</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78,448,455</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90,889,190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77,514,902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Represents percentage of class held.</w:t>
      </w:r>
    </w:p>
    <w:p>
      <w:pPr>
        <w:ind w:left="120" w:hanging="112"/>
        <w:spacing w:after="0" w:line="184" w:lineRule="auto"/>
        <w:tabs>
          <w:tab w:leader="none" w:pos="12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A CLO Fund managed by an Asset Manager Affiliate.</w:t>
      </w:r>
    </w:p>
    <w:p>
      <w:pPr>
        <w:spacing w:after="0" w:line="27" w:lineRule="exact"/>
        <w:rPr>
          <w:sz w:val="20"/>
          <w:szCs w:val="20"/>
          <w:color w:val="auto"/>
        </w:rPr>
      </w:pPr>
    </w:p>
    <w:p>
      <w:pPr>
        <w:ind w:left="5620" w:right="5000" w:hanging="5612"/>
        <w:spacing w:after="0" w:line="352" w:lineRule="auto"/>
        <w:tabs>
          <w:tab w:leader="none" w:pos="124"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As of June 30, 2015, this CLO Fund security was not providing a dividend distribution.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June 30, 2015, our Asset Manager Affiliates had approximately $3.2 billion of par value of assets under management on which they earn management fees, and were valued at approximately $74 million.</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in the second quarter of 2015, our Asset Manager Affiliates received incentive fees from three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and six months ended June 30,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8" w:name="page69"/>
    <w:bookmarkEnd w:id="68"/>
    <w:p>
      <w:pPr>
        <w:ind w:firstLine="32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managed by our Asset Manager Affiliates and selective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7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F notes of the Catamaran 2012-1 and the Class E notes of Catamaran 2014-1, interest is earned at a fixed spread relative to the LIBOR index.</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cash distributions from our investment in our Asset Manager Affiliates, which are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three and six months ended June 30, 2015, the Asset Manager Affiliates received incentive fees from three funds.</w:t>
      </w:r>
    </w:p>
    <w:p>
      <w:pPr>
        <w:spacing w:after="0" w:line="183"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The Asset Manager Affiliates are expected to pay future distributions to the Company based upon their after-tax free cash flow, which generally will be dependent upon the maintenance and growth in their assets under management and incentive fees. As a result of tax-basis goodwill amortization and certain other tax-related adjustments, portions of distributions received may be deemed return of capital. As amortizing funds which are paying incentive fees are redeemed, we expect incentive fees available for distribution to diminish. During the three and six months ended June 30, 2015, three CLO Funds have achieved the minimum investment return threshold and are paying the Asset Manager Affiliates incentive fees. The fair value of our investment in our Asset Manager Affiliates was approximately $74 million at June 30, 2015, with an unrealized gain of approximately $3.8 million. For the three months ended June 30, 2015 and 2014, we recognized dividend income of approximately $1.2 million and $1.4 million from the Asset Manager Affiliates, respectively, while cash distributions received were $2.3 million and $3.0 million for those periods, respectively. For the six months ended June 30, 2015 and 2014, we recognized dividend income of approximately $2.6 million and $2.8 million from the Asset Manager Affiliates, respectively, while cash distributions received were $5.0 million and $6.0 million for those periods, respectively. The difference between cash distributions received and the tax-basis earnings and profits is recorded as an adjustment to the cost basis of the Asset Manager Affiliates investments.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$3.2 billion and $3.0 billion as of June 30, 2015 and December 31, 2014,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69" w:name="page70"/>
    <w:bookmarkEnd w:id="69"/>
    <w:p>
      <w:pPr>
        <w:ind w:right="30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Investment income for the three months ended June 30, 2015 and 2014 was approximately $11.2 million and $9.8 million, respectively. Of these amounts, approximately $5.9 million and $5.2 million was attributable to interest income on our Debt Securities Portfolio. Increases in interest income from 2014 to 2015 were due to higher average invested assets stemming primarily from capital raising activities.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 income for the six months ended June 30, 2015 and 2014 was approximately $23.5 million and $19.8 million, respectively. Of these amounts, approximately $12.1 million and $10.4 million was attributable to interest income on our Debt Securities Portfolio. Increases in interest income from 2014 to 2015 were due to higher average invested assets stemming primarily from capital raising activities.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yield on debt securities Portfolio was 7.3% as of June 30, 2015 and December 31, 2014.</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For the three months ended June 30, 2015 and 2014, approximately $4.0 million and $3.1 million, respectively, of investment income was attributable to investments in CLO Fund securities. For the six months ended June 30, 2015 and 2014, approximately $8.6 million and $6.2 million, respectively, of investment income was attributable to investments in CLO Fund securities. On a tax-basis, the Company recognized $4.4 million of taxable cash distributions during the six months ended June 30, 2015.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70" w:name="page71"/>
    <w:bookmarkEnd w:id="70"/>
    <w:p>
      <w:pPr>
        <w:ind w:right="4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contractual term of the borrowing.</w:t>
      </w:r>
    </w:p>
    <w:p>
      <w:pPr>
        <w:spacing w:after="0" w:line="181"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Total expenses for the three months ended June 30, 2015 and 2014 were approximately $5.3 million and $5.2 million, respectively. Interest expense and amortization on debt issuance costs for the periods, were approximately $3.0 million and $2.9 million, respectively, on average debt outstanding of $227 million and $196 million, respectively.</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the three months ended June 30, 2015 and 2014, approximately $1.1 million and $1.2 million, respectively, of expenses were attributable to employee compensation, including salaries, bonuses, employee benefits, payroll taxes and stock-based compensation expense. For the three months ended June 30,</w:t>
      </w:r>
    </w:p>
    <w:p>
      <w:pPr>
        <w:ind w:right="60"/>
        <w:spacing w:after="0" w:line="255" w:lineRule="auto"/>
        <w:rPr>
          <w:sz w:val="20"/>
          <w:szCs w:val="20"/>
          <w:color w:val="auto"/>
        </w:rPr>
      </w:pPr>
      <w:r>
        <w:rPr>
          <w:rFonts w:ascii="Arial" w:cs="Arial" w:eastAsia="Arial" w:hAnsi="Arial"/>
          <w:sz w:val="18"/>
          <w:szCs w:val="18"/>
          <w:color w:val="auto"/>
        </w:rPr>
        <w:t>2015 and 2014, respectively, professional fees and insurance expenses totaled approximately $812,000 and $657,000. Administrative costs, which include occupancy expense, technology and other office expenses, totaled approximately $479,000 and $399,000 for the three months ended June 30, 2015 and 2014, respectively.</w:t>
      </w:r>
    </w:p>
    <w:p>
      <w:pPr>
        <w:spacing w:after="0" w:line="19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Total expenses for the six months ended June 30, 2015 and 2014 were approximately $11.2 million and $10.7 million, respectively. Interest expense and amortization on debt issuance costs for the periods, were approximately $6.0 million and $5.9 million, respectively, on average debt outstanding of $227 million and $196 million, respectively.</w:t>
      </w:r>
    </w:p>
    <w:p>
      <w:pPr>
        <w:spacing w:after="0" w:line="181"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For the six months ended June 30, 2015 and 2014, approximately $2.1 million and $2.5 million, respectively, of expenses were attributable to employee compensation, including salaries, bonuses, employee benefits, payroll taxes and stock-based compensation expense. For the six months ended June 30, 2015 and 2014, respectively, professional fees and insurance expenses totaled approximately $2.1 million and $1.5 million. The increase in professional fees is primarily due to costs incurred in connection with the restatement. Administrative costs, which include occupancy expense, technology and other office expenses, totaled approximately $990,000 and $868,000 for the six months ended June 30, 2015 and 2014,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Income and Net Realized Gains (Losses)</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Net investment income and net realized gains (losses) represents the stockholder’s equity before net unrealized appreciation or depreciation on investments. For the three months ended June 30, 2015, net investment income and net realized gains were approximately $5.9 million, or $0.16 per share. For the three months ended June 30, 2014, net investment income and net realized losses were approximately $4.5 million or $0.14 per share. For the six months ended June 30, 2015, net investment income and net realized gains were approximately $12.4 million, or $0.33 per share. For the six months ended June 30, 2014, net investment income and net realized gains were approximately $9.3 million or $0.28 per share. Net investment income represents the income earned on our investments less operating and interest expense before net realized gains or losses and unrealized appreciation or depreciation on investments. For the three months ended June 30, 2015, net investment income was approximately $5.8 million, or $0.16 per share. For the six months ended June 30, 2015, net investment income was approximately $12.3 million, or $0.33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During the three months ended June 30, 2015, our total investments had net unrealized depreciation of approximately $4.6 million. During the three months ended June 30, 2014, our total investments had net unrealized appreciation of approximately $7.7 million. For the three months ended June 30, 2015, our Asset Manager Affiliates had net unrealized appreciation of approximately $3.3 million. For the three months ended June 30, 2014, our Asset Manager Affiliates had net unrealized appreciation of approximately $2.8 million. For the three months ended June 30, 2015, our middle market portfolio of debt securities and equity securities had net unrealized depreciation of approximately $2.7 million, compared with net unrealized appreciation of $1.6 million during the second quarter of 2014. For the three months ended June 30, 2015, our CLO Fund securities had net unrealized depreciation of approximately $5.2 million compared with net unrealized appreciation of $3.2 million during the second quarter of 2014.</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1" w:name="page72"/>
    <w:bookmarkEnd w:id="71"/>
    <w:p>
      <w:pPr>
        <w:ind w:right="20" w:firstLine="324"/>
        <w:spacing w:after="0" w:line="272" w:lineRule="auto"/>
        <w:rPr>
          <w:sz w:val="20"/>
          <w:szCs w:val="20"/>
          <w:color w:val="auto"/>
        </w:rPr>
      </w:pPr>
      <w:r>
        <w:rPr>
          <w:rFonts w:ascii="Arial" w:cs="Arial" w:eastAsia="Arial" w:hAnsi="Arial"/>
          <w:sz w:val="17"/>
          <w:szCs w:val="17"/>
          <w:color w:val="auto"/>
        </w:rPr>
        <w:t>During the six months ended June 30, 2015, our total investments had net unrealized depreciation of approximately $3.5 million. During the six months ended June 30, 2014, our total investments had net unrealized appreciation of approximately $6.4 million. For the six months ended June 30, 2015, our Asset Manager Affiliates had net unrealized appreciation of approximately $3.8 million. For the six months ended June 30, 2014, our Asset Manager Affiliates had net unrealized appreciation of approximately $1.9 million. For the six months ended June 30, 2015, our middle market portfolio of debt securities and equity securities had net unrealized depreciation of approximately $1.5 million, compared with net unrealized appreciation of $718,000 during the six months ended June 30, 2014. For the six months ended June 30, 2015, our CLO Fund securities had net unrealized depreciation of approximately $5.8 million compared with net unrealized appreciation of $3.8 million during the six months ended June 30,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net increase in stockholders’ equity resulting from operations for the three months ended June 30, 2015 was $1.2 million, or $0.03 per share. Net increase in stockholders’ equity resulting from operations for the three months ended June 30, 2014 was $12.3 million, or $0.37 per share.</w:t>
      </w:r>
    </w:p>
    <w:p>
      <w:pPr>
        <w:spacing w:after="0" w:line="124"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The net increase in stockholders’ equity resulting from operations for the six months ended June 30, 2015 was $8.9 million, or $0.24 per share. Net increase in stockholders’ equity resulting from operations for the six months ended June 30, 2014 was $15.7 million, or $0.47 per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2015 and December 31, 2014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7"/>
          </w:tcPr>
          <w:p>
            <w:pPr>
              <w:ind w:left="220"/>
              <w:spacing w:after="0"/>
              <w:rPr>
                <w:sz w:val="20"/>
                <w:szCs w:val="20"/>
                <w:color w:val="auto"/>
              </w:rPr>
            </w:pPr>
            <w:r>
              <w:rPr>
                <w:rFonts w:ascii="Arial" w:cs="Arial" w:eastAsia="Arial" w:hAnsi="Arial"/>
                <w:sz w:val="18"/>
                <w:szCs w:val="18"/>
                <w:b w:val="1"/>
                <w:bCs w:val="1"/>
                <w:color w:val="auto"/>
              </w:rPr>
              <w:t>Investments at Fair Value</w:t>
            </w:r>
          </w:p>
        </w:tc>
        <w:tc>
          <w:tcPr>
            <w:tcW w:w="0" w:type="dxa"/>
            <w:vAlign w:val="bottom"/>
          </w:tcPr>
          <w:p>
            <w:pPr>
              <w:spacing w:after="0"/>
              <w:rPr>
                <w:sz w:val="1"/>
                <w:szCs w:val="1"/>
                <w:color w:val="auto"/>
              </w:rPr>
            </w:pPr>
          </w:p>
        </w:tc>
      </w:tr>
      <w:tr>
        <w:trPr>
          <w:trHeight w:val="223"/>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Security Type</w:t>
            </w:r>
          </w:p>
        </w:tc>
        <w:tc>
          <w:tcPr>
            <w:tcW w:w="2660" w:type="dxa"/>
            <w:vAlign w:val="bottom"/>
            <w:tcBorders>
              <w:top w:val="single" w:sz="8" w:color="auto"/>
            </w:tcBorders>
            <w:gridSpan w:val="6"/>
          </w:tcPr>
          <w:p>
            <w:pPr>
              <w:spacing w:after="0"/>
              <w:rPr>
                <w:sz w:val="20"/>
                <w:szCs w:val="20"/>
                <w:color w:val="auto"/>
              </w:rPr>
            </w:pPr>
            <w:r>
              <w:rPr>
                <w:rFonts w:ascii="Arial" w:cs="Arial" w:eastAsia="Arial" w:hAnsi="Arial"/>
                <w:sz w:val="18"/>
                <w:szCs w:val="18"/>
                <w:b w:val="1"/>
                <w:bCs w:val="1"/>
                <w:color w:val="auto"/>
                <w:w w:val="91"/>
              </w:rPr>
              <w:t>June 30, 2015  December 31, 2014</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2,807,432</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Money Market Accounts</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16,457,816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1,602,741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217,535,523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218,329,860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Junior Secured Loan</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39,898,155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38,569,006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Loan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10,143,525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33,066,984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First Lien Bond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2,547,600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Subordinated Bond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4,278,531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4,240,301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Senior Secured Bond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1,481,700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1,552,500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11,618,855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11,386,218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78,448,455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77,514,902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7,542,085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8,119,681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10,411,415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10,418,302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73,737,000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72,326,000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476,908,092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480,927,293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June 30, 2015, we had approximately $227.4 million of par value of outstanding borrowings and our asset coverage ratio of total assets to total borrowings was 212%, compliant with the minimum asset coverage level of 200% generally required for a BDC by the 1940 Act. We may also borrow amounts of up to 5% of the value of our total assets for temporary purposes.</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72" w:name="page73"/>
    <w:bookmarkEnd w:id="72"/>
    <w:p>
      <w:pPr>
        <w:ind w:right="20" w:firstLine="324"/>
        <w:spacing w:after="0" w:line="297" w:lineRule="auto"/>
        <w:rPr>
          <w:sz w:val="20"/>
          <w:szCs w:val="20"/>
          <w:color w:val="auto"/>
        </w:rPr>
      </w:pPr>
      <w:r>
        <w:rPr>
          <w:rFonts w:ascii="Arial" w:cs="Arial" w:eastAsia="Arial" w:hAnsi="Arial"/>
          <w:sz w:val="16"/>
          <w:szCs w:val="16"/>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158"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The Convertible Notes are convertible into shares of the Company’s common stock. As of June 30, 2015, the conversion rate was 133.59 shares of common stock per $1,000 principal amount of Convertible Notes, which is equivalent to a conversion price of approximately $7.49 per share of common stock. The conversion rate is subject to adjustment upon certain events. Upon conversion, the Company would issue the full amount of common stock or settle the conversion in cash, at its option, and retire the full amount of debt outstanding.</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On April 4, 2013, approximately $9 million of the Company’s 8.75% Convertible Notes were converted at a price per share of $8.159 into 1,102,093 shares of KCAP common stock. On September 4, 2013, the Company purchased $2 million face value of its own Convertible Notes at a price of $114.50, plus accrued interest. KCAP subsequently surrendered these notes to the note trustee for cancellation effective September 13, 2013. On October 9, 2014, the Company purchased approximately $10.4 million face value of its own Convertible Notes at $114.875 plus accrued interest. KCAP subsequently surrendered these notes to the trustee for cancellation. Due to the cash conversion option embedded in the Convertible Notes, the Company applied the guidance in ASC 470-40-20, Debt with Conversion and Other Options, and realized a loss on the extinguishment of this debt. For the six months ended June 30, 2015, there were no realized losses on extinguishment of debt. The indenture governing the Convertible Notes contains certain restrictive covenants, including compliance with certain provisions of the 1940 Act and conditions governing the undertaking of new debt.</w:t>
      </w:r>
    </w:p>
    <w:p>
      <w:pPr>
        <w:spacing w:after="0" w:line="17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February 2012, the Company entered into a Note Purchase Agreement, under which it was able to obtain up to $30 million in financing (the “Facility”). The Facility was terminated on November 4, 2013 and remaining unamortized capitalized costs of approximately $203,000 related to the Facility were written-off and are included in Realized Losses on Extinguishments of Debt.</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 applicable to the Company as a BDC and a covenant that the Company agreed to in connection with the issuance of the 7.375% Notes Due 2019, the Company is limited in its ability to make distributions in certain circumstances. At June 30, 2015, the Company was in compliance with all of its debt covenants. The indenture governing the 7.375% Notes Due 2019 contains certain restrictive covenants, including compliance with certain provisions of the 1940 Act relating to borrowing and dividends.</w:t>
      </w:r>
    </w:p>
    <w:p>
      <w:pPr>
        <w:spacing w:after="0" w:line="16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On June 18, 2013, KCAP Senior Funding I, LLC,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On December 8, 2014, the Company completed the sale of additional KCAP Senior Funding I Notes for $56 million. The issuance of additional notes was pro-rata across all existing classes of notes originally issued. KCAP purchased an additional $13.9 million in the most junior class of notes. These junior notes eliminate in consolidation and the remaining notes with a par value of $105 million, net of $3.2 million of unamortized discount, are reflected on our consolidated balance sheet. The indenture governing the KCAP Senior Funding I Notes contains an event of default that is triggered in the event that certain coverage tests are not met.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3" w:name="page74"/>
    <w:bookmarkEnd w:id="73"/>
    <w:p>
      <w:pPr>
        <w:ind w:right="40" w:firstLine="324"/>
        <w:spacing w:after="0" w:line="277" w:lineRule="auto"/>
        <w:rPr>
          <w:sz w:val="20"/>
          <w:szCs w:val="20"/>
          <w:color w:val="auto"/>
        </w:rPr>
      </w:pPr>
      <w:r>
        <w:rPr>
          <w:rFonts w:ascii="Arial" w:cs="Arial" w:eastAsia="Arial" w:hAnsi="Arial"/>
          <w:sz w:val="18"/>
          <w:szCs w:val="18"/>
          <w:color w:val="auto"/>
        </w:rPr>
        <w:t>On October 6, 2014, the Company priced a follow-on public offering of 3.0 million shares of its common stock at a price of $8.02 per share. The offering raised net proceeds were approximately $23.8 million, after deducting underwriting discounts and offering expenses.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As a result, we may seek to enter into new agreements with other lenders or into other financing arrangements as market conditions permit. From time to time, we may seek to retire, repurchase, or exchange debt securities in open market purchases or by other means dependent on market conditions, liquidity, contractual obligations, and other matters.</w:t>
      </w:r>
    </w:p>
    <w:p>
      <w:pPr>
        <w:spacing w:after="0" w:line="18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If our common stock trades below our net asset value per share, we will generally not be able to issue additional common stock at the market price unless our shareholders approve such a sale and our Board of Directors makes certain determinations. At a special meeting of our shareholders held on July 20, 2015 and to be continued on August 17, 2015 our shareholders will vote on a proposal to authorize us to sell shares of our common stock below the then current net asset value per share of our common stock in one or more offerings for the period ending on the earlier of (i) the one year anniversary of such approval, or (ii) the date of our 2016 annual meeting of shareholders. If our shareholders approve such proposal, any issuance of shares of our common stock below the then current net asset value per share will be subject to certain limitations, including, but not limited to, the Company’s policy that it will not seek approval from our Board of Directors to sell or otherwise issue more than 15% of the Company’s then outstanding shares of common stock at a price below its then current net asset value. If the proposal is approved, we will need similar future approval from our shareholders to issue shares below the then current net asset value per share any time after the expiration of the then current approval.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currently intend to distribute during each calendar year an amount at least equal to the sum of:</w:t>
      </w:r>
    </w:p>
    <w:p>
      <w:pPr>
        <w:spacing w:after="0" w:line="170" w:lineRule="exact"/>
        <w:rPr>
          <w:sz w:val="20"/>
          <w:szCs w:val="20"/>
          <w:color w:val="auto"/>
        </w:rPr>
      </w:pPr>
    </w:p>
    <w:p>
      <w:pPr>
        <w:ind w:left="920" w:hanging="331"/>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Record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Distribution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Date</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5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6/23/2015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7/6/2015</w:t>
            </w:r>
          </w:p>
        </w:tc>
        <w:tc>
          <w:tcPr>
            <w:tcW w:w="1360" w:type="dxa"/>
            <w:vAlign w:val="bottom"/>
          </w:tcPr>
          <w:p>
            <w:pPr>
              <w:jc w:val="right"/>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3/24/2015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2015</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12/17/2014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12/29/2014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5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9/19/2014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10/14/2014</w:t>
            </w:r>
          </w:p>
        </w:tc>
        <w:tc>
          <w:tcPr>
            <w:tcW w:w="1360" w:type="dxa"/>
            <w:vAlign w:val="bottom"/>
          </w:tcPr>
          <w:p>
            <w:pPr>
              <w:jc w:val="right"/>
              <w:spacing w:after="0"/>
              <w:rPr>
                <w:sz w:val="20"/>
                <w:szCs w:val="20"/>
                <w:color w:val="auto"/>
              </w:rPr>
            </w:pPr>
            <w:r>
              <w:rPr>
                <w:rFonts w:ascii="Arial" w:cs="Arial" w:eastAsia="Arial" w:hAnsi="Arial"/>
                <w:sz w:val="18"/>
                <w:szCs w:val="18"/>
                <w:color w:val="auto"/>
              </w:rPr>
              <w:t>10/29/2014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6/20/2014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7/3/2014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3/21/2014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4/4/2014</w:t>
            </w:r>
          </w:p>
        </w:tc>
        <w:tc>
          <w:tcPr>
            <w:tcW w:w="1360" w:type="dxa"/>
            <w:vAlign w:val="bottom"/>
          </w:tcPr>
          <w:p>
            <w:pPr>
              <w:jc w:val="right"/>
              <w:spacing w:after="0"/>
              <w:rPr>
                <w:sz w:val="20"/>
                <w:szCs w:val="20"/>
                <w:color w:val="auto"/>
              </w:rPr>
            </w:pPr>
            <w:r>
              <w:rPr>
                <w:rFonts w:ascii="Arial" w:cs="Arial" w:eastAsia="Arial" w:hAnsi="Arial"/>
                <w:sz w:val="18"/>
                <w:szCs w:val="18"/>
                <w:color w:val="auto"/>
              </w:rPr>
              <w:t>4/25/2014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2014</w:t>
            </w: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5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12/13/2013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12/27/2013</w:t>
            </w:r>
          </w:p>
        </w:tc>
        <w:tc>
          <w:tcPr>
            <w:tcW w:w="1360" w:type="dxa"/>
            <w:vAlign w:val="bottom"/>
          </w:tcPr>
          <w:p>
            <w:pPr>
              <w:jc w:val="right"/>
              <w:spacing w:after="0"/>
              <w:rPr>
                <w:sz w:val="20"/>
                <w:szCs w:val="20"/>
                <w:color w:val="auto"/>
              </w:rPr>
            </w:pPr>
            <w:r>
              <w:rPr>
                <w:rFonts w:ascii="Arial" w:cs="Arial" w:eastAsia="Arial" w:hAnsi="Arial"/>
                <w:sz w:val="18"/>
                <w:szCs w:val="18"/>
                <w:color w:val="auto"/>
              </w:rPr>
              <w:t>1/27/2014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9/13/2013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5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6/17/2013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7/5/2013</w:t>
            </w:r>
          </w:p>
        </w:tc>
        <w:tc>
          <w:tcPr>
            <w:tcW w:w="1360" w:type="dxa"/>
            <w:vAlign w:val="bottom"/>
          </w:tcPr>
          <w:p>
            <w:pPr>
              <w:jc w:val="right"/>
              <w:spacing w:after="0"/>
              <w:rPr>
                <w:sz w:val="20"/>
                <w:szCs w:val="20"/>
                <w:color w:val="auto"/>
              </w:rPr>
            </w:pPr>
            <w:r>
              <w:rPr>
                <w:rFonts w:ascii="Arial" w:cs="Arial" w:eastAsia="Arial" w:hAnsi="Arial"/>
                <w:sz w:val="18"/>
                <w:szCs w:val="18"/>
                <w:color w:val="auto"/>
              </w:rPr>
              <w:t>7/26/2013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3/15/2013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declared in 2013</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w:t>
            </w: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in order to meet the needs of the Company’s investment objectives.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June 30, 2015, the Company had a commitment of $23 million, at December 31, 2014, there were no outstanding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June 30,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9"/>
          </w:tcPr>
          <w:p>
            <w:pPr>
              <w:jc w:val="right"/>
              <w:ind w:right="1220"/>
              <w:spacing w:after="0"/>
              <w:rPr>
                <w:sz w:val="20"/>
                <w:szCs w:val="20"/>
                <w:color w:val="auto"/>
              </w:rPr>
            </w:pPr>
            <w:r>
              <w:rPr>
                <w:rFonts w:ascii="Arial" w:cs="Arial" w:eastAsia="Arial" w:hAnsi="Arial"/>
                <w:sz w:val="18"/>
                <w:szCs w:val="18"/>
                <w:b w:val="1"/>
                <w:bCs w:val="1"/>
                <w:color w:val="auto"/>
              </w:rPr>
              <w:t>Payments Due by Period</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7"/>
              </w:rPr>
              <w:t>Less than one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4"/>
              </w:rPr>
              <w:t>More than 5</w:t>
            </w:r>
          </w:p>
        </w:tc>
        <w:tc>
          <w:tcPr>
            <w:tcW w:w="100" w:type="dxa"/>
            <w:vAlign w:val="bottom"/>
          </w:tcPr>
          <w:p>
            <w:pPr>
              <w:spacing w:after="0"/>
              <w:rPr>
                <w:sz w:val="16"/>
                <w:szCs w:val="16"/>
                <w:color w:val="auto"/>
              </w:rPr>
            </w:pPr>
          </w:p>
        </w:tc>
      </w:tr>
      <w:tr>
        <w:trPr>
          <w:trHeight w:val="234"/>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1 - 3 years</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3 - 5 years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years</w:t>
            </w:r>
          </w:p>
        </w:tc>
        <w:tc>
          <w:tcPr>
            <w:tcW w:w="100" w:type="dxa"/>
            <w:vAlign w:val="bottom"/>
            <w:tcBorders>
              <w:bottom w:val="single" w:sz="8" w:color="CCEEFF"/>
            </w:tcBorders>
          </w:tcPr>
          <w:p>
            <w:pPr>
              <w:spacing w:after="0"/>
              <w:rPr>
                <w:sz w:val="20"/>
                <w:szCs w:val="20"/>
                <w:color w:val="auto"/>
              </w:rPr>
            </w:pPr>
          </w:p>
        </w:tc>
      </w:tr>
      <w:tr>
        <w:trPr>
          <w:trHeight w:val="264"/>
        </w:trPr>
        <w:tc>
          <w:tcPr>
            <w:tcW w:w="292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30"/>
                <w:szCs w:val="30"/>
                <w:color w:val="auto"/>
                <w:vertAlign w:val="superscript"/>
              </w:rPr>
              <w:t>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227,397,000</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7"/>
              </w:rPr>
              <w:t>$   38,647,000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147,350,000</w:t>
            </w: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approximately $38.6 million of Convertible Notes, $41.4 million of 7.375% Notes Due 2019 and $147.4 Notes issued by KCAP Senior Funding I,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8" w:right="299" w:bottom="1440" w:gutter="0" w:footer="0" w:header="0"/>
        </w:sectPr>
      </w:pPr>
    </w:p>
    <w:bookmarkStart w:id="75" w:name="page76"/>
    <w:bookmarkEnd w:id="75"/>
    <w:p>
      <w:pPr>
        <w:jc w:val="both"/>
        <w:ind w:right="360" w:firstLine="324"/>
        <w:spacing w:after="0" w:line="312" w:lineRule="auto"/>
        <w:rPr>
          <w:sz w:val="20"/>
          <w:szCs w:val="20"/>
          <w:color w:val="auto"/>
        </w:rPr>
      </w:pPr>
      <w:r>
        <w:rPr>
          <w:rFonts w:ascii="Arial" w:cs="Arial" w:eastAsia="Arial" w:hAnsi="Arial"/>
          <w:sz w:val="16"/>
          <w:szCs w:val="16"/>
          <w:color w:val="auto"/>
        </w:rPr>
        <w:t>Pursuant to the AICPA Guide,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4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900" w:right="360" w:hanging="325"/>
        <w:spacing w:after="0" w:line="31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6" w:lineRule="exact"/>
        <w:rPr>
          <w:rFonts w:ascii="Arial" w:cs="Arial" w:eastAsia="Arial" w:hAnsi="Arial"/>
          <w:sz w:val="16"/>
          <w:szCs w:val="16"/>
          <w:color w:val="auto"/>
        </w:rPr>
      </w:pPr>
    </w:p>
    <w:p>
      <w:pPr>
        <w:ind w:left="900" w:right="60" w:hanging="325"/>
        <w:spacing w:after="0" w:line="297"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58"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8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all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76" w:name="page77"/>
    <w:bookmarkEnd w:id="76"/>
    <w:p>
      <w:pPr>
        <w:jc w:val="both"/>
        <w:ind w:right="140" w:firstLine="32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we securities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7" w:name="page78"/>
    <w:bookmarkEnd w:id="77"/>
    <w:p>
      <w:pPr>
        <w:ind w:left="340"/>
        <w:spacing w:after="0"/>
        <w:rPr>
          <w:sz w:val="20"/>
          <w:szCs w:val="20"/>
          <w:color w:val="auto"/>
        </w:rPr>
      </w:pPr>
      <w:r>
        <w:rPr>
          <w:rFonts w:ascii="Arial" w:cs="Arial" w:eastAsia="Arial" w:hAnsi="Arial"/>
          <w:sz w:val="17"/>
          <w:szCs w:val="17"/>
          <w:color w:val="auto"/>
        </w:rPr>
        <w:t>Our Board of Directors may consider other methods of valuation to determine the fair value of investments as appropriate in conformity with GAAP.</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June 30, 2015 and December 31, 2014, there was one issuer representing less than 1% of our total investments at fair value was on non-accrual status.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F notes of Catamaran 2012-1 and the class E notes of Catamaran 2014-1, interest is earned at a fixed spread relative to the LIBOR index.</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8" w:name="page79"/>
    <w:bookmarkEnd w:id="78"/>
    <w:p>
      <w:pPr>
        <w:ind w:left="26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the most recent completed calendar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Record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Distribution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Date</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5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6/23/2015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7/6/2015</w:t>
            </w:r>
          </w:p>
        </w:tc>
        <w:tc>
          <w:tcPr>
            <w:tcW w:w="1360" w:type="dxa"/>
            <w:vAlign w:val="bottom"/>
          </w:tcPr>
          <w:p>
            <w:pPr>
              <w:jc w:val="right"/>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3/24/2015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2015</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12/17/2014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12/29/2014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5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9/19/2014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10/14/2014</w:t>
            </w:r>
          </w:p>
        </w:tc>
        <w:tc>
          <w:tcPr>
            <w:tcW w:w="1360" w:type="dxa"/>
            <w:vAlign w:val="bottom"/>
          </w:tcPr>
          <w:p>
            <w:pPr>
              <w:jc w:val="right"/>
              <w:spacing w:after="0"/>
              <w:rPr>
                <w:sz w:val="20"/>
                <w:szCs w:val="20"/>
                <w:color w:val="auto"/>
              </w:rPr>
            </w:pPr>
            <w:r>
              <w:rPr>
                <w:rFonts w:ascii="Arial" w:cs="Arial" w:eastAsia="Arial" w:hAnsi="Arial"/>
                <w:sz w:val="18"/>
                <w:szCs w:val="18"/>
                <w:color w:val="auto"/>
              </w:rPr>
              <w:t>10/29/2014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6/20/2014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7/3/2014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3/21/2014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4/4/2014</w:t>
            </w:r>
          </w:p>
        </w:tc>
        <w:tc>
          <w:tcPr>
            <w:tcW w:w="1360" w:type="dxa"/>
            <w:vAlign w:val="bottom"/>
          </w:tcPr>
          <w:p>
            <w:pPr>
              <w:jc w:val="right"/>
              <w:spacing w:after="0"/>
              <w:rPr>
                <w:sz w:val="20"/>
                <w:szCs w:val="20"/>
                <w:color w:val="auto"/>
              </w:rPr>
            </w:pPr>
            <w:r>
              <w:rPr>
                <w:rFonts w:ascii="Arial" w:cs="Arial" w:eastAsia="Arial" w:hAnsi="Arial"/>
                <w:sz w:val="18"/>
                <w:szCs w:val="18"/>
                <w:color w:val="auto"/>
              </w:rPr>
              <w:t>4/25/2014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2014</w:t>
            </w: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5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12/13/2013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12/27/2013</w:t>
            </w:r>
          </w:p>
        </w:tc>
        <w:tc>
          <w:tcPr>
            <w:tcW w:w="1360" w:type="dxa"/>
            <w:vAlign w:val="bottom"/>
          </w:tcPr>
          <w:p>
            <w:pPr>
              <w:jc w:val="right"/>
              <w:spacing w:after="0"/>
              <w:rPr>
                <w:sz w:val="20"/>
                <w:szCs w:val="20"/>
                <w:color w:val="auto"/>
              </w:rPr>
            </w:pPr>
            <w:r>
              <w:rPr>
                <w:rFonts w:ascii="Arial" w:cs="Arial" w:eastAsia="Arial" w:hAnsi="Arial"/>
                <w:sz w:val="18"/>
                <w:szCs w:val="18"/>
                <w:color w:val="auto"/>
              </w:rPr>
              <w:t>1/27/2014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9/13/2013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5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6/17/2013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7/5/2013</w:t>
            </w:r>
          </w:p>
        </w:tc>
        <w:tc>
          <w:tcPr>
            <w:tcW w:w="1360" w:type="dxa"/>
            <w:vAlign w:val="bottom"/>
          </w:tcPr>
          <w:p>
            <w:pPr>
              <w:jc w:val="right"/>
              <w:spacing w:after="0"/>
              <w:rPr>
                <w:sz w:val="20"/>
                <w:szCs w:val="20"/>
                <w:color w:val="auto"/>
              </w:rPr>
            </w:pPr>
            <w:r>
              <w:rPr>
                <w:rFonts w:ascii="Arial" w:cs="Arial" w:eastAsia="Arial" w:hAnsi="Arial"/>
                <w:sz w:val="18"/>
                <w:szCs w:val="18"/>
                <w:color w:val="auto"/>
              </w:rPr>
              <w:t>7/26/2013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3/15/2013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declared in 2013</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77</w:t>
            </w: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79" w:name="page80"/>
    <w:bookmarkEnd w:id="79"/>
    <w:p>
      <w:pPr>
        <w:ind w:left="340"/>
        <w:spacing w:after="0"/>
        <w:rPr>
          <w:sz w:val="20"/>
          <w:szCs w:val="20"/>
          <w:color w:val="auto"/>
        </w:rPr>
      </w:pPr>
      <w:r>
        <w:rPr>
          <w:rFonts w:ascii="Arial" w:cs="Arial" w:eastAsia="Arial" w:hAnsi="Arial"/>
          <w:sz w:val="18"/>
          <w:szCs w:val="18"/>
          <w:color w:val="auto"/>
        </w:rPr>
        <w:t>The following table depicts the composition of shareholder distributions on a per share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3060" w:type="dxa"/>
            <w:vAlign w:val="bottom"/>
            <w:gridSpan w:val="7"/>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w w:val="95"/>
              </w:rPr>
              <w:t>Six Months Ended June 30,</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rPr>
              <w:t>2015</w:t>
            </w:r>
            <w:r>
              <w:rPr>
                <w:rFonts w:ascii="Arial" w:cs="Arial" w:eastAsia="Arial" w:hAnsi="Arial"/>
                <w:sz w:val="29"/>
                <w:szCs w:val="29"/>
                <w:b w:val="1"/>
                <w:bCs w:val="1"/>
                <w:color w:val="auto"/>
                <w:vertAlign w:val="superscript"/>
              </w:rPr>
              <w:t>1</w:t>
            </w:r>
          </w:p>
        </w:tc>
        <w:tc>
          <w:tcPr>
            <w:tcW w:w="4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30"/>
              <w:spacing w:after="0" w:line="251" w:lineRule="exact"/>
              <w:rPr>
                <w:sz w:val="20"/>
                <w:szCs w:val="20"/>
                <w:color w:val="auto"/>
              </w:rPr>
            </w:pPr>
            <w:r>
              <w:rPr>
                <w:rFonts w:ascii="Arial" w:cs="Arial" w:eastAsia="Arial" w:hAnsi="Arial"/>
                <w:sz w:val="18"/>
                <w:szCs w:val="18"/>
                <w:b w:val="1"/>
                <w:bCs w:val="1"/>
                <w:color w:val="auto"/>
              </w:rPr>
              <w:t>2014</w:t>
            </w:r>
            <w:r>
              <w:rPr>
                <w:rFonts w:ascii="Arial" w:cs="Arial" w:eastAsia="Arial" w:hAnsi="Arial"/>
                <w:sz w:val="29"/>
                <w:szCs w:val="29"/>
                <w:b w:val="1"/>
                <w:bCs w:val="1"/>
                <w:color w:val="auto"/>
                <w:vertAlign w:val="superscript"/>
              </w:rPr>
              <w:t>1</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10"/>
              <w:spacing w:after="0" w:line="251" w:lineRule="exact"/>
              <w:rPr>
                <w:sz w:val="20"/>
                <w:szCs w:val="20"/>
                <w:color w:val="auto"/>
              </w:rPr>
            </w:pPr>
            <w:r>
              <w:rPr>
                <w:rFonts w:ascii="Arial" w:cs="Arial" w:eastAsia="Arial" w:hAnsi="Arial"/>
                <w:sz w:val="18"/>
                <w:szCs w:val="18"/>
                <w:b w:val="1"/>
                <w:bCs w:val="1"/>
                <w:color w:val="auto"/>
              </w:rPr>
              <w:t>2015</w:t>
            </w:r>
            <w:r>
              <w:rPr>
                <w:rFonts w:ascii="Arial" w:cs="Arial" w:eastAsia="Arial" w:hAnsi="Arial"/>
                <w:sz w:val="29"/>
                <w:szCs w:val="29"/>
                <w:b w:val="1"/>
                <w:bCs w:val="1"/>
                <w:color w:val="auto"/>
                <w:vertAlign w:val="superscript"/>
              </w:rPr>
              <w:t>1</w:t>
            </w:r>
          </w:p>
        </w:tc>
        <w:tc>
          <w:tcPr>
            <w:tcW w:w="3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30"/>
              <w:spacing w:after="0" w:line="251" w:lineRule="exact"/>
              <w:rPr>
                <w:sz w:val="20"/>
                <w:szCs w:val="20"/>
                <w:color w:val="auto"/>
              </w:rPr>
            </w:pPr>
            <w:r>
              <w:rPr>
                <w:rFonts w:ascii="Arial" w:cs="Arial" w:eastAsia="Arial" w:hAnsi="Arial"/>
                <w:sz w:val="18"/>
                <w:szCs w:val="18"/>
                <w:b w:val="1"/>
                <w:bCs w:val="1"/>
                <w:color w:val="auto"/>
              </w:rPr>
              <w:t>2014</w:t>
            </w:r>
            <w:r>
              <w:rPr>
                <w:rFonts w:ascii="Arial" w:cs="Arial" w:eastAsia="Arial" w:hAnsi="Arial"/>
                <w:sz w:val="29"/>
                <w:szCs w:val="29"/>
                <w:b w:val="1"/>
                <w:bCs w:val="1"/>
                <w:color w:val="auto"/>
                <w:vertAlign w:val="superscript"/>
              </w:rPr>
              <w:t>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Tax Accounting Difference on CLO Equity Investments</w:t>
            </w: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tax accounting differences</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Taxable distributable income</w:t>
            </w:r>
          </w:p>
        </w:tc>
        <w:tc>
          <w:tcPr>
            <w:tcW w:w="8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distributed to the Company by Asset Manager Affiliates in</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excess of their taxable earnings</w:t>
            </w:r>
          </w:p>
        </w:tc>
        <w:tc>
          <w:tcPr>
            <w:tcW w:w="8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line="256" w:lineRule="exact"/>
              <w:rPr>
                <w:sz w:val="20"/>
                <w:szCs w:val="20"/>
                <w:color w:val="auto"/>
              </w:rPr>
            </w:pPr>
            <w:r>
              <w:rPr>
                <w:rFonts w:ascii="Arial" w:cs="Arial" w:eastAsia="Arial" w:hAnsi="Arial"/>
                <w:sz w:val="18"/>
                <w:szCs w:val="18"/>
                <w:color w:val="auto"/>
              </w:rPr>
              <w:t>Available for distribution</w:t>
            </w:r>
            <w:r>
              <w:rPr>
                <w:rFonts w:ascii="Arial" w:cs="Arial" w:eastAsia="Arial" w:hAnsi="Arial"/>
                <w:sz w:val="29"/>
                <w:szCs w:val="29"/>
                <w:color w:val="auto"/>
                <w:vertAlign w:val="superscript"/>
              </w:rPr>
              <w:t>2</w:t>
            </w: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0.42</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Difference</w:t>
            </w: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(0.01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30"/>
          <w:szCs w:val="30"/>
          <w:color w:val="auto"/>
          <w:vertAlign w:val="superscript"/>
        </w:rPr>
      </w:pPr>
      <w:r>
        <w:rPr>
          <w:rFonts w:ascii="Arial" w:cs="Arial" w:eastAsia="Arial" w:hAnsi="Arial"/>
          <w:sz w:val="18"/>
          <w:szCs w:val="18"/>
          <w:color w:val="auto"/>
        </w:rPr>
        <w:t>Table may not foot due to rounding.</w:t>
      </w:r>
    </w:p>
    <w:p>
      <w:pPr>
        <w:spacing w:after="0" w:line="1" w:lineRule="exact"/>
        <w:rPr>
          <w:sz w:val="20"/>
          <w:szCs w:val="20"/>
          <w:color w:val="auto"/>
        </w:rPr>
      </w:pPr>
    </w:p>
    <w:p>
      <w:pPr>
        <w:ind w:left="340" w:right="80" w:hanging="332"/>
        <w:spacing w:after="0" w:line="257" w:lineRule="auto"/>
        <w:tabs>
          <w:tab w:leader="none" w:pos="34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The “Available for distribution” financial measure is a non-GAAP financial measure that is calculated by including the cash distributed to the Company by the Asset Manager Affiliates in excess of their taxable earnings to the Company's taxable distributable income, which is the most directly comparable GAAP financial measure. In order to reconcile the “Available for distribution” financial measure to taxable distributable income per share in accordance with GAAP, the $0.03 and $0.06 per share of cash distributed to the Company by the Asset Manager Affiliates in excess of their taxable earnings is subtracted from the “Available for distribution” financial measure for the three and six months ended June 30, 2015, respectively. The Company's management believes that the presentation of the non-GAAP “Available for distribution” financial measure provides useful information to investors.</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June 30, 2015, approximately 97.5% of our debt securities portfolio were either fixed rate or floating rate with a spread to an interest rate index such as LIBOR or the prime rate. Most of these floating rate loans contain LIBOR floors ranging between 0.75% and 3.00%. We generally expect that future portfolio investments will predominately be floating rate investments. As of June 30, 2015, we had $227.4 million of borrowings outstanding at a weighted average rate of 4.45%.</w:t>
      </w:r>
    </w:p>
    <w:p>
      <w:pPr>
        <w:spacing w:after="0" w:line="15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Convertible Notes or 7.375% Notes Due 2019 would remain the same at 8.75% and 7.375%, respectively, given that this debt is at a fixed rate. The Notes issued by KCAP Senior Funding are floating rate based upon a LIBOR index plus a spread, which serves as a floor should LIBOR decrease to zero. Accordingly, our interest costs associated with this debt will fluctuate with changes in LIBOR.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0" w:name="page81"/>
    <w:bookmarkEnd w:id="80"/>
    <w:p>
      <w:pPr>
        <w:ind w:right="40" w:firstLine="32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June 30, 2015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5"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8"/>
          </w:tcPr>
          <w:p>
            <w:pPr>
              <w:jc w:val="center"/>
              <w:ind w:right="320"/>
              <w:spacing w:after="0"/>
              <w:rPr>
                <w:sz w:val="20"/>
                <w:szCs w:val="20"/>
                <w:color w:val="auto"/>
              </w:rPr>
            </w:pPr>
            <w:r>
              <w:rPr>
                <w:rFonts w:ascii="Arial" w:cs="Arial" w:eastAsia="Arial" w:hAnsi="Arial"/>
                <w:sz w:val="18"/>
                <w:szCs w:val="18"/>
                <w:color w:val="auto"/>
                <w:w w:val="91"/>
              </w:rPr>
              <w:t>Impact on net investment income:</w:t>
            </w:r>
          </w:p>
        </w:tc>
      </w:tr>
      <w:tr>
        <w:trPr>
          <w:trHeight w:val="223"/>
        </w:trPr>
        <w:tc>
          <w:tcPr>
            <w:tcW w:w="34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 rate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2"/>
              </w:rPr>
              <w:t>117,294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1,189,842</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Decrease in interest rate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383,469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383,469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383,469</w:t>
            </w:r>
          </w:p>
        </w:tc>
      </w:tr>
    </w:tbl>
    <w:p>
      <w:pPr>
        <w:spacing w:after="0" w:line="20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As shown above, net investment income assuming a 1% increase in interest rates would decrease by approximately $803,000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$117,000 and $1.2 million, respectively. Since LIBOR underlying certain investments, as well as certain of our borrowings, is currently very low, it is unlikely that the underlying rate will decrease by 1% or 2% or even 3%. If the underlying rate decreased to 0%, it would result in approximately a $383,000 increase in net investment income.</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June 30, 2015.</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 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1" w:name="page82"/>
    <w:bookmarkEnd w:id="81"/>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quarter ended June 30, 2015, there were no changes in the Company’s internal control over financial reporting that have materially affected, or are reasonably likely to materially affect, the Company’s internal control over financial reporting.</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2014.</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June 30, 2015, we issued a total of 20,929 shares of common stock under our dividend reinvestment plan (“DRIP”). This issuance was not subject to the registration requirements of the Securities Act of 1933. For the three months ended June 30, 2015, the aggregate value of the shares of our common stock issued under our DRIP was approximately $128,503.</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3720" w:type="dxa"/>
            <w:vAlign w:val="bottom"/>
            <w:gridSpan w:val="2"/>
          </w:tcPr>
          <w:p>
            <w:pPr>
              <w:ind w:left="2080"/>
              <w:spacing w:after="0"/>
              <w:rPr>
                <w:sz w:val="20"/>
                <w:szCs w:val="20"/>
                <w:color w:val="auto"/>
              </w:rPr>
            </w:pPr>
            <w:r>
              <w:rPr>
                <w:rFonts w:ascii="Arial" w:cs="Arial" w:eastAsia="Arial" w:hAnsi="Arial"/>
                <w:sz w:val="18"/>
                <w:szCs w:val="18"/>
                <w:color w:val="auto"/>
              </w:rPr>
              <w:t>KCAP F</w:t>
            </w:r>
            <w:r>
              <w:rPr>
                <w:rFonts w:ascii="Arial" w:cs="Arial" w:eastAsia="Arial" w:hAnsi="Arial"/>
                <w:sz w:val="12"/>
                <w:szCs w:val="12"/>
                <w:color w:val="auto"/>
              </w:rPr>
              <w:t>INANCIAL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tc>
        <w:tc>
          <w:tcPr>
            <w:tcW w:w="406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5, 2015</w:t>
            </w:r>
          </w:p>
        </w:tc>
        <w:tc>
          <w:tcPr>
            <w:tcW w:w="3720" w:type="dxa"/>
            <w:vAlign w:val="bottom"/>
            <w:gridSpan w:val="2"/>
          </w:tcPr>
          <w:p>
            <w:pPr>
              <w:ind w:left="2080"/>
              <w:spacing w:after="0"/>
              <w:rPr>
                <w:sz w:val="20"/>
                <w:szCs w:val="20"/>
                <w:color w:val="auto"/>
              </w:rPr>
            </w:pPr>
            <w:r>
              <w:rPr>
                <w:rFonts w:ascii="Arial" w:cs="Arial" w:eastAsia="Arial" w:hAnsi="Arial"/>
                <w:sz w:val="18"/>
                <w:szCs w:val="18"/>
                <w:color w:val="auto"/>
              </w:rPr>
              <w:t>By</w:t>
            </w:r>
          </w:p>
        </w:tc>
        <w:tc>
          <w:tcPr>
            <w:tcW w:w="4060" w:type="dxa"/>
            <w:vAlign w:val="bottom"/>
          </w:tcPr>
          <w:p>
            <w:pPr>
              <w:jc w:val="center"/>
              <w:ind w:right="1090"/>
              <w:spacing w:after="0"/>
              <w:rPr>
                <w:sz w:val="20"/>
                <w:szCs w:val="20"/>
                <w:color w:val="auto"/>
              </w:rPr>
            </w:pPr>
            <w:r>
              <w:rPr>
                <w:rFonts w:ascii="Arial" w:cs="Arial" w:eastAsia="Arial" w:hAnsi="Arial"/>
                <w:sz w:val="18"/>
                <w:szCs w:val="18"/>
                <w:color w:val="auto"/>
                <w:w w:val="90"/>
              </w:rPr>
              <w:t>/s/ Dayl W. Pearson</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4060" w:type="dxa"/>
            <w:vAlign w:val="bottom"/>
            <w:tcBorders>
              <w:top w:val="single" w:sz="8" w:color="auto"/>
            </w:tcBorders>
          </w:tcPr>
          <w:p>
            <w:pPr>
              <w:jc w:val="center"/>
              <w:ind w:right="1090"/>
              <w:spacing w:after="0" w:line="195" w:lineRule="exact"/>
              <w:rPr>
                <w:sz w:val="20"/>
                <w:szCs w:val="20"/>
                <w:color w:val="auto"/>
              </w:rPr>
            </w:pPr>
            <w:r>
              <w:rPr>
                <w:rFonts w:ascii="Arial" w:cs="Arial" w:eastAsia="Arial" w:hAnsi="Arial"/>
                <w:sz w:val="18"/>
                <w:szCs w:val="18"/>
                <w:color w:val="auto"/>
                <w:w w:val="88"/>
              </w:rPr>
              <w:t>Dayl W. Pearson</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60" w:type="dxa"/>
            <w:vAlign w:val="bottom"/>
          </w:tcPr>
          <w:p>
            <w:pPr>
              <w:jc w:val="center"/>
              <w:ind w:right="1090"/>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60" w:type="dxa"/>
            <w:vAlign w:val="bottom"/>
          </w:tcPr>
          <w:p>
            <w:pPr>
              <w:jc w:val="center"/>
              <w:ind w:right="1090"/>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5, 2015</w:t>
            </w:r>
          </w:p>
        </w:tc>
        <w:tc>
          <w:tcPr>
            <w:tcW w:w="3720" w:type="dxa"/>
            <w:vAlign w:val="bottom"/>
            <w:gridSpan w:val="2"/>
          </w:tcPr>
          <w:p>
            <w:pPr>
              <w:ind w:left="2080"/>
              <w:spacing w:after="0"/>
              <w:rPr>
                <w:sz w:val="20"/>
                <w:szCs w:val="20"/>
                <w:color w:val="auto"/>
              </w:rPr>
            </w:pPr>
            <w:r>
              <w:rPr>
                <w:rFonts w:ascii="Arial" w:cs="Arial" w:eastAsia="Arial" w:hAnsi="Arial"/>
                <w:sz w:val="18"/>
                <w:szCs w:val="18"/>
                <w:color w:val="auto"/>
              </w:rPr>
              <w:t>By</w:t>
            </w:r>
          </w:p>
        </w:tc>
        <w:tc>
          <w:tcPr>
            <w:tcW w:w="4060" w:type="dxa"/>
            <w:vAlign w:val="bottom"/>
          </w:tcPr>
          <w:p>
            <w:pPr>
              <w:jc w:val="center"/>
              <w:ind w:right="1090"/>
              <w:spacing w:after="0"/>
              <w:rPr>
                <w:sz w:val="20"/>
                <w:szCs w:val="20"/>
                <w:color w:val="auto"/>
              </w:rPr>
            </w:pPr>
            <w:r>
              <w:rPr>
                <w:rFonts w:ascii="Arial" w:cs="Arial" w:eastAsia="Arial" w:hAnsi="Arial"/>
                <w:sz w:val="18"/>
                <w:szCs w:val="18"/>
                <w:color w:val="auto"/>
                <w:w w:val="93"/>
              </w:rPr>
              <w:t>/s/ Edward U. Gilpin</w:t>
            </w:r>
          </w:p>
        </w:tc>
      </w:tr>
    </w:tbl>
    <w:p>
      <w:pPr>
        <w:jc w:val="center"/>
        <w:ind w:left="618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60" w:type="dxa"/>
            <w:vAlign w:val="bottom"/>
          </w:tcPr>
          <w:p>
            <w:pPr>
              <w:spacing w:after="0"/>
              <w:rPr>
                <w:sz w:val="24"/>
                <w:szCs w:val="24"/>
                <w:color w:val="auto"/>
              </w:rPr>
            </w:pPr>
          </w:p>
        </w:tc>
      </w:t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6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26"/>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2006 Equity Incentive Plan As Amended and Restated Effective June 23, 2015.**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Rule 13a-14(a) under the Securities Exchange Act of 1934, as adopted pursuant to</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5"/>
              </w:rPr>
              <w:t>Certification of Chief Financial Officer Pursuant to Rule 13a-14(a) under the Securities Exchange Act of 1934, as adopted pursuant to</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Certification of Chief Executive Officer Pursuant to 18 U. S. C. 1350, as adopted pursuant to Section 906 of the Sarbanes-Oxley Act of</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2002. **</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5"/>
              </w:rPr>
              <w:t>Certification of Chief Financial Officer Pursuant to 18 U. S. C. 1350, as adopted pursuant to Section 906 of the Sarbanes-Oxley Act of</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8097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Submitted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June 23, 2015</w:t>
      </w:r>
    </w:p>
    <w:p>
      <w:pPr>
        <w:spacing w:after="0" w:line="211"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PURPOSE AND CERTAIN DEFINED TERMS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purpose of this 2006 Equity Incentive Plan, as Amended and Restated Effective June 23, 2015 (the “</w:t>
      </w:r>
      <w:r>
        <w:rPr>
          <w:rFonts w:ascii="Arial" w:cs="Arial" w:eastAsia="Arial" w:hAnsi="Arial"/>
          <w:sz w:val="16"/>
          <w:szCs w:val="16"/>
          <w:u w:val="single" w:color="auto"/>
          <w:color w:val="auto"/>
        </w:rPr>
        <w:t>Plan</w:t>
      </w:r>
      <w:r>
        <w:rPr>
          <w:rFonts w:ascii="Arial" w:cs="Arial" w:eastAsia="Arial" w:hAnsi="Arial"/>
          <w:sz w:val="16"/>
          <w:szCs w:val="16"/>
          <w:color w:val="auto"/>
        </w:rPr>
        <w:t>”), is to advance the interests of the Company (as defined below) by providing for the grant to employees and officers of Share-based awards, including without limitation options to acquire Shares (as defined below) and, to the extent permitted by exemptive or other relief that may be granted by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or its staff, Restricted Shares (as defined below) and options to acquire Restricted Shares (collectively, the “</w:t>
      </w:r>
      <w:r>
        <w:rPr>
          <w:rFonts w:ascii="Arial" w:cs="Arial" w:eastAsia="Arial" w:hAnsi="Arial"/>
          <w:sz w:val="16"/>
          <w:szCs w:val="16"/>
          <w:u w:val="single" w:color="auto"/>
          <w:color w:val="auto"/>
        </w:rPr>
        <w:t>Awards</w:t>
      </w:r>
      <w:r>
        <w:rPr>
          <w:rFonts w:ascii="Arial" w:cs="Arial" w:eastAsia="Arial" w:hAnsi="Arial"/>
          <w:sz w:val="16"/>
          <w:szCs w:val="16"/>
          <w:color w:val="auto"/>
        </w:rPr>
        <w:t>”). At all times during such periods as the Company qualifies or intends to qualify as a “business development company” under the Investment Company Act of 1940, as amended (the “</w:t>
      </w:r>
      <w:r>
        <w:rPr>
          <w:rFonts w:ascii="Arial" w:cs="Arial" w:eastAsia="Arial" w:hAnsi="Arial"/>
          <w:sz w:val="16"/>
          <w:szCs w:val="16"/>
          <w:u w:val="single" w:color="auto"/>
          <w:color w:val="auto"/>
        </w:rPr>
        <w:t>1940 Act</w:t>
      </w:r>
      <w:r>
        <w:rPr>
          <w:rFonts w:ascii="Arial" w:cs="Arial" w:eastAsia="Arial" w:hAnsi="Arial"/>
          <w:sz w:val="16"/>
          <w:szCs w:val="16"/>
          <w:color w:val="auto"/>
        </w:rPr>
        <w:t>”), the terms of the Plan shall be construed so as to conform to the share-based compensation requirements applicable to “business development companies” under the 1940 Act. Any employee or officer selected to receive an Award under the Plan is referred to as a “participant.”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or other entity that stands in a relationship to the Company that would result in the Company and such corporation or other entity being treated as one employer under Section 414(b) or Section 414(c) of the Code, except that in determining eligibility for the grant of an Option by reason of service for an Affiliate, Sections 414(b) and 414(c) of the Code shall be applied by substituting “at least 50%” for “at least 80%” under Section 1563(a)(l), (2) and (3) of the Code and Treas. Regs.§ 1.414(c)-2; provided, that to the extent permitted under Section 409A, “at least 20%” shall be used in lieu of “at least 50%”; and further provided, that the lower ownership threshold described in this definition (50% or 20% as the case may be) shall apply only if the same definition of affiliation is used consistently with respect to all compensatory stock options or stock awards (whether under the Plan or another plan). The Company may at any time by amendment provide that different ownership thresholds (consistent with Section 409A) apply. Notwithstanding the foregoing provisions of this definition, except as otherwise determined by the Board, a corporation or other entity shall be treated as an Affiliate only if its employees would be treated as employees of the Company for purposes of the rules promulgated under the Securities Act of 1933, as amended, with respect to the use of Form S-8.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prior to Conversion, the board of managers of the LLC and, at and after Conversion, the board of directors of the Corporation.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prior to Conversion, the board of managers of the LLC and, at and after Conversion, the Corporation.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w:t>
      </w:r>
      <w:r>
        <w:rPr>
          <w:rFonts w:ascii="Arial" w:cs="Arial" w:eastAsia="Arial" w:hAnsi="Arial"/>
          <w:sz w:val="18"/>
          <w:szCs w:val="18"/>
          <w:color w:val="auto"/>
        </w:rPr>
        <w:t>” means the conversion of the LLC, pursuant to Section 265 of the Delaware General Corporation Law and Section 216 of the Delaware Limited Liability Company Act,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Corporation</w:t>
      </w:r>
      <w:r>
        <w:rPr>
          <w:rFonts w:ascii="Arial" w:cs="Arial" w:eastAsia="Arial" w:hAnsi="Arial"/>
          <w:sz w:val="17"/>
          <w:szCs w:val="17"/>
          <w:color w:val="auto"/>
        </w:rPr>
        <w:t>” means KCAP Financial, Inc., a Delaware corporation. The Corporation was formerly known as Kohlberg Capital Corporation.</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participant’s inability to perform his or her essential duties, responsibilities and functions of participant’s position with the Company (as determined by the Board in its good faith judgment, consistent with its policies and past practice) as a result of any mental or physical disability or incapacity even with responsible accommodations of such disability or incapacity provided by the Company or if providing such accommodations would be unreasonable.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w:t>
      </w:r>
      <w:r>
        <w:rPr>
          <w:rFonts w:ascii="Arial" w:cs="Arial" w:eastAsia="Arial" w:hAnsi="Arial"/>
          <w:sz w:val="18"/>
          <w:szCs w:val="18"/>
          <w:color w:val="auto"/>
        </w:rPr>
        <w:t>” means Kohlberg Capital, LLC, a Delaware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 Plan</w:t>
      </w:r>
      <w:r>
        <w:rPr>
          <w:rFonts w:ascii="Arial" w:cs="Arial" w:eastAsia="Arial" w:hAnsi="Arial"/>
          <w:sz w:val="18"/>
          <w:szCs w:val="18"/>
          <w:color w:val="auto"/>
        </w:rPr>
        <w:t>” means the Company’s 2008 Non-Employee Director Plan, as amended from time to time.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Criteria</w:t>
      </w:r>
      <w:r>
        <w:rPr>
          <w:rFonts w:ascii="Arial" w:cs="Arial" w:eastAsia="Arial" w:hAnsi="Arial"/>
          <w:sz w:val="17"/>
          <w:szCs w:val="17"/>
          <w:color w:val="auto"/>
        </w:rPr>
        <w:t>” or, in the singular, “</w:t>
      </w:r>
      <w:r>
        <w:rPr>
          <w:rFonts w:ascii="Arial" w:cs="Arial" w:eastAsia="Arial" w:hAnsi="Arial"/>
          <w:sz w:val="17"/>
          <w:szCs w:val="17"/>
          <w:u w:val="single" w:color="auto"/>
          <w:color w:val="auto"/>
        </w:rPr>
        <w:t>Performance Criterion</w:t>
      </w:r>
      <w:r>
        <w:rPr>
          <w:rFonts w:ascii="Arial" w:cs="Arial" w:eastAsia="Arial" w:hAnsi="Arial"/>
          <w:sz w:val="17"/>
          <w:szCs w:val="17"/>
          <w:color w:val="auto"/>
        </w:rPr>
        <w:t>,” means specified criteria, other than the mere continuation of employment or the mere passage of time, the satisfaction of which is a condition for the grant, exercisability, vesting or full enjoyment of an Award. For purposes of Awards that are intended to qualify for the performance-based compensation exception under Section 162(m) of the Code, a Performance Criterion will mean an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 A Performance Criterion and any targets with respect thereto determined by the Administrator need not be based upon an increase, a positive or improved result or avoidance of loss. To the extent consistent with the requirements for satisfying the performance-based compensation exception under Section 162(m) of the Code, the Board may provide in the case of any A ward intended to qualify for such exception that one or more of the Performance Criteria applicable to such Award will be adjusted in an objectively determinable manner to reflect events (for example, but without limitation, acquisitions or dispositions) occurring during the performance period that affect the applicable Performance Criterion or Criteria.</w:t>
      </w:r>
    </w:p>
    <w:p>
      <w:pPr>
        <w:spacing w:after="0" w:line="1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an award of Shares for so long as the Shares remain subject to restrictions requiring that they be forfeited to the Corporation if specified conditions are not satisfied.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prior to Conversion, the common units of the LLC and, at and after Conversion, the common stock, $.01 par value per share, of the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w:t>
      </w:r>
      <w:r>
        <w:rPr>
          <w:rFonts w:ascii="Arial" w:cs="Arial" w:eastAsia="Arial" w:hAnsi="Arial"/>
          <w:sz w:val="18"/>
          <w:szCs w:val="18"/>
          <w:color w:val="auto"/>
        </w:rPr>
        <w:t>” means, prior to Conversion, the members of the LLC and, at and after Conversion, the shareholders of the Corporation.</w:t>
      </w:r>
    </w:p>
    <w:p>
      <w:pPr>
        <w:spacing w:after="0" w:line="22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Plan shall be administered by the Board unless and until it delegates administration to a committee as provided herein; provided that a “required majority,” as defined in Section 57(o) of the 1940 Act, must approve each issuance of Awards and Dividend Equivalent Rights in accordance with Section 61(a)(3)(A)(iv) of the 1940 Act. The Board shall have discretionary authority, subject to the express provisions of the Plan, (a) to grant Awards to such Eligible Persons (defined below in Section 5 hereof) as the Board may select; (b) to determine the time or times when Awards shall be granted and the number of Shares subject to each Award; (c) to determine the terms and conditions of each Award; (d) to prescribe the form or forms of any instruments evidencing Awards and any other instruments required under the Plan and to change such forms from time to time; (e) to adopt, amend, and rescind rules and regulations for the administration of the Plan; and (f) to interpret the Plan and to decide any questions and settle all controversies and disputes that may arise in connection with the Plan. Such determinations of the Board shall be conclusive and shall bind all parties. Subject to Section 9 hereof, the Board shall also have the authority, both generally and in particular instances, to waive compliance by a participant with any obligation to be performed by him or her under an Award, to waive any condition or provision of an Award, and to amend or cancel any Award (and if an Award is canceled, to grant a new Award on such terms as the Board shall specify), except that the Board may not take any action with respect to an outstanding Award that would adversely affect the rights of the participant under such Award without such participant’s consent. Nothing in the preceding sentence shall be construed as limiting the power of the Board to make adjustments required by Sections 4 (d) and 6(i) hereof or by applicable law. In the case of any Award intended to be eligible for the performance-based compensation exception under Section 162(m)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the Board will exercise its discretion consistent with qualifying the A ward for that exception.</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may, in its discretion, delegate some or all of its powers with respect to the Plan to a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in which event all references (as appropriate) to the Board hereunder shall be deemed to refer to the Committee.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Determinations, interpretations and constructions made by the Board in good faith shall not be subject to review by any person and shall be final, binding and conclusive on all persons.</w:t>
      </w:r>
    </w:p>
    <w:p>
      <w:pPr>
        <w:spacing w:after="0" w:line="170"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EFFECTIVE DATE AND TERM OF PLAN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including a “required majority” as defined in Section 57(o) of the 1940 Act, adopted the Plan on December 11, 2006, and amended and restated the Plan on each of February 5, 2008, June 20, 2014, and June 23,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Awards shall be granted under the Plan after February 5, 2018, but Awards previously granted may extend beyond that date.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8" w:name="page89"/>
    <w:bookmarkEnd w:id="88"/>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SUBJECT TO THE PLAN</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424"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Subject to adjustment as provided in Section 4(d), the aggregate number of Shares that may be the subject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Plan shall be 2,000,000. If an option Award granted under the Plan is forfeited or otherwise terminates without having been exercised in full, or if any Share Award is forfeited or canceled, then the Shares covered by such forfeited, terminated or canceled Award shall be available for future grants under the Plan.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(i) Shares are surrendered or withheld from an option Award to pay the exercise price of the option Award, (ii) Shares are surrendered or withheld from an Award to satisfy any tax withholding or other obligation of the participant relating to the Award, (iii) Shares owned by a participant are tendered by the participant to pay the exercise price of an option Award, or (iv) Shares owned by a participant are tendered by the participant to satisfy any tax withholding or other obligation of the participant relating to an Award, then the Shares which are equal in number to the number of Shares surrendered, withheld or tendered, shall not be available for future grants under the Plan.</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maximum number of Shares for which any option Award may be granted to any person in any calendar year shall be 1,000,000. The maximum number of Shares that may be granted to any person under other Awards (if any and to the extent permitted under the 1940 Act) in any calendar year shall be 500,000. The foregoing provisions will be construed in a manner consistent with Section 162(m) of the Code (if applicable) and Section 61 of the 1940 Act.</w:t>
      </w:r>
    </w:p>
    <w:p>
      <w:pPr>
        <w:spacing w:after="0" w:line="147" w:lineRule="exact"/>
        <w:rPr>
          <w:sz w:val="20"/>
          <w:szCs w:val="20"/>
          <w:color w:val="auto"/>
        </w:rPr>
      </w:pPr>
    </w:p>
    <w:p>
      <w:pPr>
        <w:jc w:val="both"/>
        <w:ind w:firstLine="656"/>
        <w:spacing w:after="0" w:line="264" w:lineRule="auto"/>
        <w:tabs>
          <w:tab w:leader="none" w:pos="151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Shares to be Delivered</w:t>
      </w:r>
      <w:r>
        <w:rPr>
          <w:rFonts w:ascii="Arial" w:cs="Arial" w:eastAsia="Arial" w:hAnsi="Arial"/>
          <w:sz w:val="18"/>
          <w:szCs w:val="18"/>
          <w:color w:val="auto"/>
        </w:rPr>
        <w:t>. Shares delivered under the Plan shall be authorized but unissued Shares, or if the Board so decides in its sole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previously issued Shares acquired by the Company and held in its treasury. Any Shares acquired by the Company will be acquired in accordance with the 1940 Act, including Section 23 of the 1940 Act. No fractional Shares shall be delivered under the Plan.</w:t>
      </w:r>
    </w:p>
    <w:p>
      <w:pPr>
        <w:spacing w:after="0" w:line="181" w:lineRule="exact"/>
        <w:rPr>
          <w:rFonts w:ascii="Arial" w:cs="Arial" w:eastAsia="Arial" w:hAnsi="Arial"/>
          <w:sz w:val="18"/>
          <w:szCs w:val="18"/>
          <w:color w:val="auto"/>
        </w:rPr>
      </w:pPr>
    </w:p>
    <w:p>
      <w:pPr>
        <w:jc w:val="both"/>
        <w:ind w:firstLine="656"/>
        <w:spacing w:after="0" w:line="289" w:lineRule="auto"/>
        <w:tabs>
          <w:tab w:leader="none" w:pos="1455"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Limits on Number of Awards</w:t>
      </w:r>
      <w:r>
        <w:rPr>
          <w:rFonts w:ascii="Arial" w:cs="Arial" w:eastAsia="Arial" w:hAnsi="Arial"/>
          <w:sz w:val="16"/>
          <w:szCs w:val="16"/>
          <w:color w:val="auto"/>
        </w:rPr>
        <w:t>. The combined maximum amount of Restricted Stock that may be issued under the Plan will be 10%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on February 5, 2008, plus 10% of the number of Shares issued or delivered by the Company (other than pursuant to compensation plans) during the term of the Plan. No one person shall be granted more than 25% of the Restricted Stock reserved for issuance under this Plan. The amount of voting securities that would result from the exercise of all of the Company’s outstanding warrants, options and rights, together with any Restricted Shares issued pursuant to the Plan, at the time of issuance shall not exceed 25% of the outstanding voting securities of the Company, except that if the amount of voting securities that would result from the exercise of all the Company’s outstanding warrants, options and rights issued to the Company’s directors, officers and employees, together with any Restricted Shares issued pursuant to the Plan, would exceed 15% of the outstanding voting securities of the Company, the total amount of voting securities that would result from the exercise of all outstanding warrants, options and rights, together with any Restricted Shares issued pursuant to the Plan, at the time of issuance shall not exceed 20% of the outstanding voting securities of the Company.</w:t>
      </w:r>
    </w:p>
    <w:p>
      <w:pPr>
        <w:spacing w:after="0" w:line="274" w:lineRule="exact"/>
        <w:rPr>
          <w:rFonts w:ascii="Arial" w:cs="Arial" w:eastAsia="Arial" w:hAnsi="Arial"/>
          <w:sz w:val="16"/>
          <w:szCs w:val="16"/>
          <w:color w:val="auto"/>
        </w:rPr>
      </w:pPr>
    </w:p>
    <w:p>
      <w:pPr>
        <w:ind w:left="5680" w:hanging="109"/>
        <w:spacing w:after="0"/>
        <w:tabs>
          <w:tab w:leader="none" w:pos="56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9" w:name="page90"/>
    <w:bookmarkEnd w:id="89"/>
    <w:p>
      <w:pPr>
        <w:jc w:val="both"/>
        <w:ind w:firstLine="656"/>
        <w:spacing w:after="0" w:line="259" w:lineRule="auto"/>
        <w:tabs>
          <w:tab w:leader="none" w:pos="1439"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Changes in Shares</w:t>
      </w:r>
      <w:r>
        <w:rPr>
          <w:rFonts w:ascii="Arial" w:cs="Arial" w:eastAsia="Arial" w:hAnsi="Arial"/>
          <w:sz w:val="18"/>
          <w:szCs w:val="18"/>
          <w:color w:val="auto"/>
        </w:rPr>
        <w:t>. In the event of a Share dividend, Share split or combination of Shares, recapitalization, or other change in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and kind of Shares or securities of the Company subject to Awards then outstanding or subsequently granted under the Plan, the exercise price of such Awards, the maximum number of Shares or securities that may be delivered under the Plan, and other relevant provisions shall be appropriately adjusted by the Board, whose determination shall be binding on all persons.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may also adjust the number of Shares subject to outstanding Awards, the exercise price of outstanding Awards, and the terms of outstanding Awards, to take into consideration material changes in accounting practices or principles, extraordinary dividends, consolidations or mergers (except those described in Section 6(i)), acquisitions or dispositions of securities or property, or any other event if it is determined by the Board that such adjustment is appropriate to avoid distortion in the operation of the Plan; provided, however, that the exercise price of options granted under the Plan will not be adjusted unless the Company receives an exemptive order from the Commission or written confirmation from the staff of the Commission that the Company may do so. References in the Plan to Shares will be construed to include any units, any stock or any other securities resulting from an adjustment pursuant to this Section 4(d).</w:t>
      </w:r>
    </w:p>
    <w:p>
      <w:pPr>
        <w:spacing w:after="0" w:line="189"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AWARDS; ETC.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Persons eligible to receive Awards under the Plan (“</w:t>
      </w:r>
      <w:r>
        <w:rPr>
          <w:rFonts w:ascii="Arial" w:cs="Arial" w:eastAsia="Arial" w:hAnsi="Arial"/>
          <w:sz w:val="18"/>
          <w:szCs w:val="18"/>
          <w:u w:val="single" w:color="auto"/>
          <w:color w:val="auto"/>
        </w:rPr>
        <w:t>Eligible Persons</w:t>
      </w:r>
      <w:r>
        <w:rPr>
          <w:rFonts w:ascii="Arial" w:cs="Arial" w:eastAsia="Arial" w:hAnsi="Arial"/>
          <w:sz w:val="18"/>
          <w:szCs w:val="18"/>
          <w:color w:val="auto"/>
        </w:rPr>
        <w:t>”) shall be those key employees and officers of the Company and, to the extent permitted by exemptive or other relief that may be granted by the Commission or its staff, employees of wholly-owned consolidated subsidiaries of the Company who, in the opinion of the Board, are in a position to make a significant contribution to the success of the Company and its subsidiaries. A subsidiary for purposes of the Plan shall be a corporation, limited liability company, or other entity in which the Company owns, directly or indirectly, equity securities possessing 50% or more of the total combined voting power of all classes of equity securities. Notwithstanding the foregoing, in the case of an Award that is an incentive option, an Eligible Person shall only be those employees of the Company or of a “parent corporation” or “subsidiary corporation” of the Company as those terms are defined in Section 424 of the Code.</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the case of an Award of Restricted Shares (to the extent such Awards are permitted by exemptive relief or other relief that may be granted by the Commission or its staff) that is intended to qualify as performance-based for the purposes of Section 162(m) of the Code, the Plan and such Award will be construed to the maximum extent permitted by law in a manner consistent with qualifying the Award for such exception. With respect to such Awards, the Board will pre-establish, in writing, one or more specific Performance Criteria no later than 90 days after the commencement of the period of service to which the performance relates (or at such earlier time as is required to qualify the Award as performance-based under Section 162(m) of the Code). The Performance Criteria so established shall serve as a condition to either the grant of the Award or the vesting of Shares subject to the Award, as determined by the Board. Prior to grant or vesting, as the case may be, the Board will certify whether the Performance Criteria have been attained and such determination will be final and conclusive. If the Performance Criteria with respect to the Award are not attained, no other Award will be provided in substitution. No Award of Restricted Shares that is intended to qualify as performance-based for the purposes of section 162(m) of the Code may be granted after the first meeting of the Shareholders of the Company held in 2010 until the Performance Criteria have been resubmitted to and reapproved by the Shareholders of the Company in accordance with the requirements of Section 162(m) of the Code, unless such grant is made contingent upon such approval.</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0" w:name="page91"/>
    <w:bookmarkEnd w:id="90"/>
    <w:p>
      <w:pPr>
        <w:ind w:left="652" w:hanging="652"/>
        <w:spacing w:after="0"/>
        <w:tabs>
          <w:tab w:leader="none" w:pos="6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TERMS AND CONDITIONS OF AWARDS</w:t>
      </w:r>
    </w:p>
    <w:p>
      <w:pPr>
        <w:spacing w:after="0" w:line="225" w:lineRule="exact"/>
        <w:rPr>
          <w:rFonts w:ascii="Arial" w:cs="Arial" w:eastAsia="Arial" w:hAnsi="Arial"/>
          <w:sz w:val="18"/>
          <w:szCs w:val="18"/>
          <w:color w:val="auto"/>
        </w:rPr>
      </w:pPr>
    </w:p>
    <w:p>
      <w:pPr>
        <w:jc w:val="both"/>
        <w:ind w:left="-8" w:firstLine="656"/>
        <w:spacing w:after="0" w:line="259"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Code Section 409A Exemption</w:t>
      </w:r>
      <w:r>
        <w:rPr>
          <w:rFonts w:ascii="Arial" w:cs="Arial" w:eastAsia="Arial" w:hAnsi="Arial"/>
          <w:sz w:val="18"/>
          <w:szCs w:val="18"/>
          <w:color w:val="auto"/>
        </w:rPr>
        <w:t>. Except as the Board otherwise determines, no option shall have deferral features, or shall be administered</w:t>
      </w:r>
      <w:r>
        <w:rPr>
          <w:rFonts w:ascii="Arial" w:cs="Arial" w:eastAsia="Arial" w:hAnsi="Arial"/>
          <w:sz w:val="18"/>
          <w:szCs w:val="18"/>
          <w:i w:val="1"/>
          <w:iCs w:val="1"/>
          <w:color w:val="auto"/>
        </w:rPr>
        <w:t xml:space="preserve"> </w:t>
      </w:r>
      <w:r>
        <w:rPr>
          <w:rFonts w:ascii="Arial" w:cs="Arial" w:eastAsia="Arial" w:hAnsi="Arial"/>
          <w:sz w:val="18"/>
          <w:szCs w:val="18"/>
          <w:color w:val="auto"/>
        </w:rPr>
        <w:t>in a manner, that would cause such option to fail to qualify for exemption from Section 409A of the Code. Any option resulting in a deferral of compensation subject to Section 409A of the Code shall be construed to the maximum extent possible, as determined by the Board, consistent with the requirements of Section 409A of the Code.</w:t>
      </w:r>
    </w:p>
    <w:p>
      <w:pPr>
        <w:spacing w:after="0" w:line="186" w:lineRule="exact"/>
        <w:rPr>
          <w:rFonts w:ascii="Arial" w:cs="Arial" w:eastAsia="Arial" w:hAnsi="Arial"/>
          <w:sz w:val="18"/>
          <w:szCs w:val="18"/>
          <w:color w:val="auto"/>
        </w:rPr>
      </w:pPr>
    </w:p>
    <w:p>
      <w:pPr>
        <w:jc w:val="both"/>
        <w:ind w:left="-8" w:firstLine="656"/>
        <w:spacing w:after="0" w:line="312" w:lineRule="auto"/>
        <w:tabs>
          <w:tab w:leader="none" w:pos="1417" w:val="left"/>
        </w:tabs>
        <w:numPr>
          <w:ilvl w:val="1"/>
          <w:numId w:val="61"/>
        </w:numPr>
        <w:rPr>
          <w:rFonts w:ascii="Arial" w:cs="Arial" w:eastAsia="Arial" w:hAnsi="Arial"/>
          <w:sz w:val="16"/>
          <w:szCs w:val="16"/>
          <w:color w:val="auto"/>
        </w:rPr>
      </w:pPr>
      <w:r>
        <w:rPr>
          <w:rFonts w:ascii="Arial" w:cs="Arial" w:eastAsia="Arial" w:hAnsi="Arial"/>
          <w:sz w:val="16"/>
          <w:szCs w:val="16"/>
          <w:i w:val="1"/>
          <w:iCs w:val="1"/>
          <w:color w:val="auto"/>
        </w:rPr>
        <w:t>Exercise Price of Options</w:t>
      </w:r>
      <w:r>
        <w:rPr>
          <w:rFonts w:ascii="Arial" w:cs="Arial" w:eastAsia="Arial" w:hAnsi="Arial"/>
          <w:sz w:val="16"/>
          <w:szCs w:val="16"/>
          <w:color w:val="auto"/>
        </w:rPr>
        <w:t>. The exercise price of each option shall be determined by the Board. The exercise price of an option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the current market value of, or if no such market value exists, the current net asset value of, the Shares as determined in good faith by the Board on the date of grant. Current market value shall be the closing price of the Common Stock on the NASDAQ Global Select Market on the date of grant.</w:t>
      </w:r>
    </w:p>
    <w:p>
      <w:pPr>
        <w:spacing w:after="0" w:line="146" w:lineRule="exact"/>
        <w:rPr>
          <w:rFonts w:ascii="Arial" w:cs="Arial" w:eastAsia="Arial" w:hAnsi="Arial"/>
          <w:sz w:val="16"/>
          <w:szCs w:val="16"/>
          <w:color w:val="auto"/>
        </w:rPr>
      </w:pPr>
    </w:p>
    <w:p>
      <w:pPr>
        <w:jc w:val="both"/>
        <w:ind w:left="-8" w:firstLine="656"/>
        <w:spacing w:after="0" w:line="264" w:lineRule="auto"/>
        <w:tabs>
          <w:tab w:leader="none" w:pos="1447"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Duration of Options</w:t>
      </w:r>
      <w:r>
        <w:rPr>
          <w:rFonts w:ascii="Arial" w:cs="Arial" w:eastAsia="Arial" w:hAnsi="Arial"/>
          <w:sz w:val="18"/>
          <w:szCs w:val="18"/>
          <w:color w:val="auto"/>
        </w:rPr>
        <w:t>. An option shall be exercisable during such period or periods as the Board may specify. The latest date on which an</w:t>
      </w:r>
      <w:r>
        <w:rPr>
          <w:rFonts w:ascii="Arial" w:cs="Arial" w:eastAsia="Arial" w:hAnsi="Arial"/>
          <w:sz w:val="18"/>
          <w:szCs w:val="18"/>
          <w:i w:val="1"/>
          <w:iCs w:val="1"/>
          <w:color w:val="auto"/>
        </w:rPr>
        <w:t xml:space="preserve"> </w:t>
      </w:r>
      <w:r>
        <w:rPr>
          <w:rFonts w:ascii="Arial" w:cs="Arial" w:eastAsia="Arial" w:hAnsi="Arial"/>
          <w:sz w:val="18"/>
          <w:szCs w:val="18"/>
          <w:color w:val="auto"/>
        </w:rPr>
        <w:t>option may be exercised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be the date that is ten years from the date the option was granted or such earlier date as may be specified by the Board at the time the option is granted.</w:t>
      </w:r>
    </w:p>
    <w:p>
      <w:pPr>
        <w:spacing w:after="0" w:line="181" w:lineRule="exact"/>
        <w:rPr>
          <w:rFonts w:ascii="Arial" w:cs="Arial" w:eastAsia="Arial" w:hAnsi="Arial"/>
          <w:sz w:val="18"/>
          <w:szCs w:val="18"/>
          <w:color w:val="auto"/>
        </w:rPr>
      </w:pPr>
    </w:p>
    <w:p>
      <w:pPr>
        <w:ind w:left="1392" w:hanging="744"/>
        <w:spacing w:after="0"/>
        <w:tabs>
          <w:tab w:leader="none" w:pos="1392"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Exercise of Options</w:t>
      </w:r>
      <w:r>
        <w:rPr>
          <w:rFonts w:ascii="Arial" w:cs="Arial" w:eastAsia="Arial" w:hAnsi="Arial"/>
          <w:sz w:val="18"/>
          <w:szCs w:val="18"/>
          <w:color w:val="auto"/>
        </w:rPr>
        <w:t>.</w:t>
      </w:r>
    </w:p>
    <w:p>
      <w:pPr>
        <w:spacing w:after="0" w:line="225" w:lineRule="exact"/>
        <w:rPr>
          <w:sz w:val="20"/>
          <w:szCs w:val="20"/>
          <w:color w:val="auto"/>
        </w:rPr>
      </w:pPr>
    </w:p>
    <w:p>
      <w:pPr>
        <w:jc w:val="both"/>
        <w:ind w:left="1292" w:hanging="644"/>
        <w:spacing w:after="0" w:line="286" w:lineRule="auto"/>
        <w:tabs>
          <w:tab w:leader="none" w:pos="1292"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 option shall vest or become exercisable at such time or times and upon such conditions as the Board shall specify. In the case of an option not immediately exercisable in full, the Board may at any time accelerate the time at which all or any part of the option may be exercised regardless of any adverse or potentially adverse tax consequences resulting from such acceleration.</w:t>
      </w:r>
    </w:p>
    <w:p>
      <w:pPr>
        <w:spacing w:after="0" w:line="165" w:lineRule="exact"/>
        <w:rPr>
          <w:rFonts w:ascii="Arial" w:cs="Arial" w:eastAsia="Arial" w:hAnsi="Arial"/>
          <w:sz w:val="17"/>
          <w:szCs w:val="17"/>
          <w:color w:val="auto"/>
        </w:rPr>
      </w:pPr>
    </w:p>
    <w:p>
      <w:pPr>
        <w:jc w:val="both"/>
        <w:ind w:left="1292" w:hanging="644"/>
        <w:spacing w:after="0" w:line="264" w:lineRule="auto"/>
        <w:tabs>
          <w:tab w:leader="none" w:pos="129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exercise of an option shall be in writing, signed by the proper person and furnished to the Company, accompanied by (i) such documents as may be required by the Board and (ii) payment in full as specified below in Section 6(e) for the number of Shares for which the option is exercised.</w:t>
      </w:r>
    </w:p>
    <w:p>
      <w:pPr>
        <w:spacing w:after="0" w:line="181" w:lineRule="exact"/>
        <w:rPr>
          <w:rFonts w:ascii="Arial" w:cs="Arial" w:eastAsia="Arial" w:hAnsi="Arial"/>
          <w:sz w:val="18"/>
          <w:szCs w:val="18"/>
          <w:color w:val="auto"/>
        </w:rPr>
      </w:pPr>
    </w:p>
    <w:p>
      <w:pPr>
        <w:jc w:val="both"/>
        <w:ind w:left="1292" w:hanging="644"/>
        <w:spacing w:after="0" w:line="272" w:lineRule="auto"/>
        <w:tabs>
          <w:tab w:leader="none" w:pos="129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Board shall have the right to require that the participant exercising the option remit to the Company an amount sufficient to satisfy any federal, state, or local withholding tax requirements (or make other arrangements satisfactory to the Company with regard to such taxes) arising in connection with the exercise of the option. If permitted by the Board and to the extent permitted under the 1940 Act, either at the time of the grant of the option or in connection with exercise, the participant may elect, at such time and in such manner as the Board may prescribe, to satisfy such withholding obligation by (i) delivering to the Company Shares owned by such individual having a fair market value equal to such withholding obligation, or (ii) requesting that the Company withhold from the Shares to be delivered upon the exercise a number of Shares having a fair market value equal to such withholding obligation.</w:t>
      </w:r>
    </w:p>
    <w:p>
      <w:pPr>
        <w:spacing w:after="0" w:line="285" w:lineRule="exact"/>
        <w:rPr>
          <w:rFonts w:ascii="Arial" w:cs="Arial" w:eastAsia="Arial" w:hAnsi="Arial"/>
          <w:sz w:val="17"/>
          <w:szCs w:val="17"/>
          <w:color w:val="auto"/>
        </w:rPr>
      </w:pPr>
    </w:p>
    <w:p>
      <w:pPr>
        <w:ind w:left="5672" w:hanging="109"/>
        <w:spacing w:after="0"/>
        <w:tabs>
          <w:tab w:leader="none" w:pos="5672" w:val="left"/>
        </w:tabs>
        <w:numPr>
          <w:ilvl w:val="1"/>
          <w:numId w:val="62"/>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91" w:name="page92"/>
    <w:bookmarkEnd w:id="91"/>
    <w:p>
      <w:pPr>
        <w:jc w:val="both"/>
        <w:ind w:left="725" w:hanging="644"/>
        <w:spacing w:after="0" w:line="312" w:lineRule="auto"/>
        <w:tabs>
          <w:tab w:leader="none" w:pos="72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an option is exercised by the executor or administrator of a deceased participant, or by the person or persons to whom the option has been transferred by the participant’s will or the applicable laws of descent and distribution, the Company shall be under no obligation to deliver Shares pursuant to such exercise until the Company is satisfied as to the authority of the person or persons exercising the option.</w:t>
      </w:r>
    </w:p>
    <w:p>
      <w:pPr>
        <w:spacing w:after="0" w:line="147" w:lineRule="exact"/>
        <w:rPr>
          <w:sz w:val="20"/>
          <w:szCs w:val="20"/>
          <w:color w:val="auto"/>
        </w:rPr>
      </w:pPr>
    </w:p>
    <w:p>
      <w:pPr>
        <w:jc w:val="both"/>
        <w:ind w:left="-575" w:firstLine="656"/>
        <w:spacing w:after="0" w:line="276" w:lineRule="auto"/>
        <w:tabs>
          <w:tab w:leader="none" w:pos="880" w:val="left"/>
        </w:tabs>
        <w:numPr>
          <w:ilvl w:val="1"/>
          <w:numId w:val="64"/>
        </w:numPr>
        <w:rPr>
          <w:rFonts w:ascii="Arial" w:cs="Arial" w:eastAsia="Arial" w:hAnsi="Arial"/>
          <w:sz w:val="17"/>
          <w:szCs w:val="17"/>
          <w:color w:val="auto"/>
        </w:rPr>
      </w:pPr>
      <w:r>
        <w:rPr>
          <w:rFonts w:ascii="Arial" w:cs="Arial" w:eastAsia="Arial" w:hAnsi="Arial"/>
          <w:sz w:val="17"/>
          <w:szCs w:val="17"/>
          <w:i w:val="1"/>
          <w:iCs w:val="1"/>
          <w:color w:val="auto"/>
        </w:rPr>
        <w:t>Payment for and Delivery of Shares</w:t>
      </w:r>
      <w:r>
        <w:rPr>
          <w:rFonts w:ascii="Arial" w:cs="Arial" w:eastAsia="Arial" w:hAnsi="Arial"/>
          <w:sz w:val="17"/>
          <w:szCs w:val="17"/>
          <w:color w:val="auto"/>
        </w:rPr>
        <w:t>. Shares purchased upon exercise of an option under the Plan shall be paid for as follows: (i)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check acceptable to the Company (determined in accordance with such guidelines as the Board may prescribe), or money order payable to the order of the Company, or (ii) if so permitted by the Board (which, in the case of an incentive option, shall specify such method of payment at the time of grant) and to the extent permitted by the 1940 Act and otherwise legally permissible, (A) by delivery of an unconditional and irrevocable undertaking by a broker to deliver promptly to the Company sufficient funds to pay the exercise price, or (B) by any combination of the permissible forms of payment.</w:t>
      </w:r>
    </w:p>
    <w:p>
      <w:pPr>
        <w:spacing w:after="0" w:line="172" w:lineRule="exact"/>
        <w:rPr>
          <w:rFonts w:ascii="Arial" w:cs="Arial" w:eastAsia="Arial" w:hAnsi="Arial"/>
          <w:sz w:val="17"/>
          <w:szCs w:val="17"/>
          <w:color w:val="auto"/>
        </w:rPr>
      </w:pPr>
    </w:p>
    <w:p>
      <w:pPr>
        <w:ind w:left="-575" w:firstLine="656"/>
        <w:spacing w:after="0" w:line="277" w:lineRule="auto"/>
        <w:tabs>
          <w:tab w:leader="none" w:pos="968"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Delivery of Shares</w:t>
      </w:r>
      <w:r>
        <w:rPr>
          <w:rFonts w:ascii="Arial" w:cs="Arial" w:eastAsia="Arial" w:hAnsi="Arial"/>
          <w:sz w:val="18"/>
          <w:szCs w:val="18"/>
          <w:color w:val="auto"/>
        </w:rPr>
        <w:t>. A participant shall not have the rights of a Shareholder with regard to Awards under the Plan except as to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actually received by him or her under the Plan.</w:t>
      </w:r>
    </w:p>
    <w:p>
      <w:pPr>
        <w:spacing w:after="0" w:line="170" w:lineRule="exact"/>
        <w:rPr>
          <w:rFonts w:ascii="Arial" w:cs="Arial" w:eastAsia="Arial" w:hAnsi="Arial"/>
          <w:sz w:val="18"/>
          <w:szCs w:val="18"/>
          <w:color w:val="auto"/>
        </w:rPr>
      </w:pPr>
    </w:p>
    <w:p>
      <w:pPr>
        <w:jc w:val="both"/>
        <w:ind w:left="-575" w:firstLine="656"/>
        <w:spacing w:after="0" w:line="264" w:lineRule="auto"/>
        <w:tabs>
          <w:tab w:leader="none" w:pos="850"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Dividend Equivalents, Etc</w:t>
      </w:r>
      <w:r>
        <w:rPr>
          <w:rFonts w:ascii="Arial" w:cs="Arial" w:eastAsia="Arial" w:hAnsi="Arial"/>
          <w:sz w:val="18"/>
          <w:szCs w:val="18"/>
          <w:color w:val="auto"/>
        </w:rPr>
        <w:t>. To the extent permitted under the 1940 Act, the Board may provide for the payment of amounts in lieu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or other cash distributions with respect to Shares subject to an Award; provided, however, that such grants must be approved by order of the Commission.</w:t>
      </w:r>
    </w:p>
    <w:p>
      <w:pPr>
        <w:spacing w:after="0" w:line="181" w:lineRule="exact"/>
        <w:rPr>
          <w:rFonts w:ascii="Arial" w:cs="Arial" w:eastAsia="Arial" w:hAnsi="Arial"/>
          <w:sz w:val="18"/>
          <w:szCs w:val="18"/>
          <w:color w:val="auto"/>
        </w:rPr>
      </w:pPr>
    </w:p>
    <w:p>
      <w:pPr>
        <w:ind w:left="-575" w:firstLine="656"/>
        <w:spacing w:after="0" w:line="277" w:lineRule="auto"/>
        <w:tabs>
          <w:tab w:leader="none" w:pos="958"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Non transferability of Awards</w:t>
      </w:r>
      <w:r>
        <w:rPr>
          <w:rFonts w:ascii="Arial" w:cs="Arial" w:eastAsia="Arial" w:hAnsi="Arial"/>
          <w:sz w:val="18"/>
          <w:szCs w:val="18"/>
          <w:color w:val="auto"/>
        </w:rPr>
        <w:t>. No option, Share, or other Award may be transferred other than by will or by the laws of descent and .</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during a participant’s lifetime an Award may be exercised only by him or her.</w:t>
      </w:r>
    </w:p>
    <w:p>
      <w:pPr>
        <w:spacing w:after="0" w:line="170" w:lineRule="exact"/>
        <w:rPr>
          <w:rFonts w:ascii="Arial" w:cs="Arial" w:eastAsia="Arial" w:hAnsi="Arial"/>
          <w:sz w:val="18"/>
          <w:szCs w:val="18"/>
          <w:color w:val="auto"/>
        </w:rPr>
      </w:pPr>
    </w:p>
    <w:p>
      <w:pPr>
        <w:jc w:val="both"/>
        <w:ind w:left="-575" w:firstLine="656"/>
        <w:spacing w:after="0" w:line="264" w:lineRule="auto"/>
        <w:tabs>
          <w:tab w:leader="none" w:pos="945"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Mergers, etc</w:t>
      </w:r>
      <w:r>
        <w:rPr>
          <w:rFonts w:ascii="Arial" w:cs="Arial" w:eastAsia="Arial" w:hAnsi="Arial"/>
          <w:sz w:val="18"/>
          <w:szCs w:val="18"/>
          <w:color w:val="auto"/>
        </w:rPr>
        <w:t>. To the extent permitted under the 1940 Act and except as otherwise provided in an Award agreement or an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between the participant and the Company or an Affiliate, the following provisions shall apply in the event of a Covered Transaction (as defined below).</w:t>
      </w:r>
    </w:p>
    <w:p>
      <w:pPr>
        <w:spacing w:after="0" w:line="181" w:lineRule="exact"/>
        <w:rPr>
          <w:rFonts w:ascii="Arial" w:cs="Arial" w:eastAsia="Arial" w:hAnsi="Arial"/>
          <w:sz w:val="18"/>
          <w:szCs w:val="18"/>
          <w:color w:val="auto"/>
        </w:rPr>
      </w:pPr>
    </w:p>
    <w:p>
      <w:pPr>
        <w:jc w:val="both"/>
        <w:ind w:left="725" w:hanging="725"/>
        <w:spacing w:after="0" w:line="284" w:lineRule="auto"/>
        <w:tabs>
          <w:tab w:leader="none" w:pos="725"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Subject to subparagraph (2) below, all outstanding Awards requiring exercise will terminate and cease to be exercisable, and all other Awards to the extent not fully vested (including Awards subject to conditions not yet satisfied or determined) will be forfeited, as of the effective time of the Covered Transaction (as defined in subparagraph (3) herein), provided that the Board may in its sole discretion on or prior to the effective date of the Covered Transaction take any (or any combination of) the following actions: (i) make any outstanding option exercisable in full, (ii) remove any performance or other conditions or restrictions on any A ward and (iii) in the event of a Covered Transaction under the terms of which holders of the Shares of the Company will receive upon consummation thereof a payment for each such Share surrendered in the Covered Transaction (whether cash, non-cash or a combination of the foregoing), make or provide for a payment (with respect to some or all of the Awards), to the participant equal in the case of each affected Award to the difference between</w:t>
      </w:r>
    </w:p>
    <w:p>
      <w:pPr>
        <w:spacing w:after="0" w:line="1" w:lineRule="exact"/>
        <w:rPr>
          <w:rFonts w:ascii="Arial" w:cs="Arial" w:eastAsia="Arial" w:hAnsi="Arial"/>
          <w:sz w:val="16"/>
          <w:szCs w:val="16"/>
          <w:color w:val="auto"/>
        </w:rPr>
      </w:pPr>
    </w:p>
    <w:p>
      <w:pPr>
        <w:jc w:val="both"/>
        <w:ind w:left="725" w:firstLine="5"/>
        <w:spacing w:after="0" w:line="254" w:lineRule="auto"/>
        <w:tabs>
          <w:tab w:leader="none" w:pos="1024"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fair market value of a Share times the numbers of Shares subject to such outstanding Award (to the extent then exercisable at prices not in excess of the fair market value) and (B) the aggregate exercise price of all Shares subject to such outstanding Award, in each case on such payment terms (which need not be the same as the terms of payment to holders of Shares) and other terms, and subject to such conditions, as the Committee determines; or</w:t>
      </w:r>
    </w:p>
    <w:p>
      <w:pPr>
        <w:spacing w:after="0" w:line="297" w:lineRule="exact"/>
        <w:rPr>
          <w:rFonts w:ascii="Arial" w:cs="Arial" w:eastAsia="Arial" w:hAnsi="Arial"/>
          <w:sz w:val="18"/>
          <w:szCs w:val="18"/>
          <w:color w:val="auto"/>
        </w:rPr>
      </w:pPr>
    </w:p>
    <w:p>
      <w:pPr>
        <w:ind w:left="5105" w:hanging="109"/>
        <w:spacing w:after="0"/>
        <w:tabs>
          <w:tab w:leader="none" w:pos="5105" w:val="left"/>
        </w:tabs>
        <w:numPr>
          <w:ilvl w:val="3"/>
          <w:numId w:val="65"/>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14605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5"/>
          </w:cols>
          <w:pgMar w:left="815" w:top="800" w:right="239" w:bottom="1440" w:gutter="0" w:footer="0" w:header="0"/>
        </w:sectPr>
      </w:pPr>
    </w:p>
    <w:bookmarkStart w:id="92" w:name="page93"/>
    <w:bookmarkEnd w:id="92"/>
    <w:p>
      <w:pPr>
        <w:jc w:val="both"/>
        <w:ind w:left="725" w:hanging="725"/>
        <w:spacing w:after="0" w:line="297" w:lineRule="auto"/>
        <w:tabs>
          <w:tab w:leader="none" w:pos="725" w:val="left"/>
        </w:tabs>
        <w:numPr>
          <w:ilvl w:val="0"/>
          <w:numId w:val="66"/>
        </w:numPr>
        <w:rPr>
          <w:rFonts w:ascii="Arial" w:cs="Arial" w:eastAsia="Arial" w:hAnsi="Arial"/>
          <w:sz w:val="16"/>
          <w:szCs w:val="16"/>
          <w:color w:val="auto"/>
        </w:rPr>
      </w:pPr>
      <w:r>
        <w:rPr>
          <w:rFonts w:ascii="Arial" w:cs="Arial" w:eastAsia="Arial" w:hAnsi="Arial"/>
          <w:sz w:val="16"/>
          <w:szCs w:val="16"/>
          <w:color w:val="auto"/>
        </w:rPr>
        <w:t>With respect to an outstanding Award held by a participant who, following the Covered Transaction, will be employed by or otherwise providing services to an entity which is a surviving or acquiring entity in the covered transaction or any affiliate of such an entity, the Board may at or prior to the effective time of the Covered Transaction, in its sole discretion and in lieu of the action described in subparagraph (1) above, arrange to have such surviving or acquiring entity or affiliate assume any Award held by such participant outstanding hereunder or grant a replacement A ward which, in the judgment of the Board is substantially equivalent to any Award being replaced.</w:t>
      </w:r>
    </w:p>
    <w:p>
      <w:pPr>
        <w:spacing w:after="0" w:line="158" w:lineRule="exact"/>
        <w:rPr>
          <w:rFonts w:ascii="Arial" w:cs="Arial" w:eastAsia="Arial" w:hAnsi="Arial"/>
          <w:sz w:val="16"/>
          <w:szCs w:val="16"/>
          <w:color w:val="auto"/>
        </w:rPr>
      </w:pPr>
    </w:p>
    <w:p>
      <w:pPr>
        <w:jc w:val="both"/>
        <w:ind w:left="725" w:hanging="725"/>
        <w:spacing w:after="0" w:line="273" w:lineRule="auto"/>
        <w:tabs>
          <w:tab w:leader="none" w:pos="725" w:val="left"/>
        </w:tabs>
        <w:numPr>
          <w:ilvl w:val="0"/>
          <w:numId w:val="66"/>
        </w:numPr>
        <w:rPr>
          <w:rFonts w:ascii="Arial" w:cs="Arial" w:eastAsia="Arial" w:hAnsi="Arial"/>
          <w:sz w:val="17"/>
          <w:szCs w:val="17"/>
          <w:color w:val="auto"/>
        </w:rPr>
      </w:pPr>
      <w:r>
        <w:rPr>
          <w:rFonts w:ascii="Arial" w:cs="Arial" w:eastAsia="Arial" w:hAnsi="Arial"/>
          <w:sz w:val="17"/>
          <w:szCs w:val="17"/>
          <w:color w:val="auto"/>
        </w:rPr>
        <w:t>For purposes of this Section 6(i), a “</w:t>
      </w:r>
      <w:r>
        <w:rPr>
          <w:rFonts w:ascii="Arial" w:cs="Arial" w:eastAsia="Arial" w:hAnsi="Arial"/>
          <w:sz w:val="17"/>
          <w:szCs w:val="17"/>
          <w:u w:val="single" w:color="auto"/>
          <w:color w:val="auto"/>
        </w:rPr>
        <w:t>Covered Transaction</w:t>
      </w:r>
      <w:r>
        <w:rPr>
          <w:rFonts w:ascii="Arial" w:cs="Arial" w:eastAsia="Arial" w:hAnsi="Arial"/>
          <w:sz w:val="17"/>
          <w:szCs w:val="17"/>
          <w:color w:val="auto"/>
        </w:rPr>
        <w:t>” is a (i) Share sale, consolidation, merger, or similar transaction or series of related transactions in which the Company is not the surviving corporation or which results in the acquisition of all or substantially all of the Company’s then outstanding Shares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Board), the Covered Transaction shall be deemed to have occurred upon consummation of the tender offer.</w:t>
      </w:r>
    </w:p>
    <w:p>
      <w:pPr>
        <w:spacing w:after="0" w:line="178" w:lineRule="exact"/>
        <w:rPr>
          <w:rFonts w:ascii="Arial" w:cs="Arial" w:eastAsia="Arial" w:hAnsi="Arial"/>
          <w:sz w:val="17"/>
          <w:szCs w:val="17"/>
          <w:color w:val="auto"/>
        </w:rPr>
      </w:pPr>
    </w:p>
    <w:p>
      <w:pPr>
        <w:jc w:val="both"/>
        <w:ind w:left="-575" w:firstLine="656"/>
        <w:spacing w:after="0" w:line="259" w:lineRule="auto"/>
        <w:tabs>
          <w:tab w:leader="none" w:pos="79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No Grants in Contravention of the 1940 Act</w:t>
      </w:r>
      <w:r>
        <w:rPr>
          <w:rFonts w:ascii="Arial" w:cs="Arial" w:eastAsia="Arial" w:hAnsi="Arial"/>
          <w:sz w:val="18"/>
          <w:szCs w:val="18"/>
          <w:color w:val="auto"/>
        </w:rPr>
        <w:t>. At all times during such periods as the Company qualifies or intends to qualify as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company,” no Award may be granted under the Plan if the grant or terms of such Award would cause the Company to violate Section 61 of the 1940 Act (or any other provision of the 1940 Act applicable to “business development companies”), and, if approved for grant, such an Award will be void and of no effect.</w:t>
      </w:r>
    </w:p>
    <w:p>
      <w:pPr>
        <w:spacing w:after="0" w:line="186" w:lineRule="exact"/>
        <w:rPr>
          <w:rFonts w:ascii="Arial" w:cs="Arial" w:eastAsia="Arial" w:hAnsi="Arial"/>
          <w:sz w:val="18"/>
          <w:szCs w:val="18"/>
          <w:color w:val="auto"/>
        </w:rPr>
      </w:pPr>
    </w:p>
    <w:p>
      <w:pPr>
        <w:jc w:val="both"/>
        <w:ind w:left="-575" w:firstLine="656"/>
        <w:spacing w:after="0" w:line="272" w:lineRule="auto"/>
        <w:tabs>
          <w:tab w:leader="none" w:pos="967" w:val="left"/>
        </w:tabs>
        <w:numPr>
          <w:ilvl w:val="1"/>
          <w:numId w:val="66"/>
        </w:numPr>
        <w:rPr>
          <w:rFonts w:ascii="Arial" w:cs="Arial" w:eastAsia="Arial" w:hAnsi="Arial"/>
          <w:sz w:val="17"/>
          <w:szCs w:val="17"/>
          <w:color w:val="auto"/>
        </w:rPr>
      </w:pPr>
      <w:r>
        <w:rPr>
          <w:rFonts w:ascii="Arial" w:cs="Arial" w:eastAsia="Arial" w:hAnsi="Arial"/>
          <w:sz w:val="17"/>
          <w:szCs w:val="17"/>
          <w:i w:val="1"/>
          <w:iCs w:val="1"/>
          <w:color w:val="auto"/>
        </w:rPr>
        <w:t>Tax Withholding</w:t>
      </w:r>
      <w:r>
        <w:rPr>
          <w:rFonts w:ascii="Arial" w:cs="Arial" w:eastAsia="Arial" w:hAnsi="Arial"/>
          <w:sz w:val="17"/>
          <w:szCs w:val="17"/>
          <w:color w:val="auto"/>
        </w:rPr>
        <w:t>. The delivery of any Shares, or the lifting or lapse of restrictions on any Award, shall be subject to the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satisfaction of all applicable federal, state and local income and employment tax withholding obligations. A participant may satisfy such obligation(s) in whole or in part, by (i) delivering to the Company a check for the amount required to be withheld, or (ii) if permitted under the 1940 Act and as the Board in its sole discretion approves in any specific or general case, having the Company withhold Shares issuable to the participant under the Plan or delivering to the Company already-owned Shares, in either case having a fair market value equal to the amount required to be withheld, as determined by the Company. In addition, to the extent that the Company so chooses, the Company can hold back 100% of the participant’s compensation earned after such obligations arose and such held back amount shall be applied by the Company to satisfy such obligations.</w:t>
      </w:r>
    </w:p>
    <w:p>
      <w:pPr>
        <w:spacing w:after="0" w:line="285" w:lineRule="exact"/>
        <w:rPr>
          <w:rFonts w:ascii="Arial" w:cs="Arial" w:eastAsia="Arial" w:hAnsi="Arial"/>
          <w:sz w:val="17"/>
          <w:szCs w:val="17"/>
          <w:color w:val="auto"/>
        </w:rPr>
      </w:pPr>
    </w:p>
    <w:p>
      <w:pPr>
        <w:ind w:left="5105" w:hanging="109"/>
        <w:spacing w:after="0"/>
        <w:tabs>
          <w:tab w:leader="none" w:pos="5105" w:val="left"/>
        </w:tabs>
        <w:numPr>
          <w:ilvl w:val="2"/>
          <w:numId w:val="66"/>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5"/>
          </w:cols>
          <w:pgMar w:left="815" w:top="800" w:right="239" w:bottom="1440" w:gutter="0" w:footer="0" w:header="0"/>
        </w:sectPr>
      </w:pPr>
    </w:p>
    <w:bookmarkStart w:id="93" w:name="page94"/>
    <w:bookmarkEnd w:id="93"/>
    <w:p>
      <w:pPr>
        <w:ind w:left="652" w:hanging="652"/>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TERMINATION OF EMPLOYMENT</w:t>
      </w:r>
    </w:p>
    <w:p>
      <w:pPr>
        <w:spacing w:after="0" w:line="225" w:lineRule="exact"/>
        <w:rPr>
          <w:rFonts w:ascii="Arial" w:cs="Arial" w:eastAsia="Arial" w:hAnsi="Arial"/>
          <w:sz w:val="18"/>
          <w:szCs w:val="18"/>
          <w:color w:val="auto"/>
        </w:rPr>
      </w:pPr>
    </w:p>
    <w:p>
      <w:pPr>
        <w:jc w:val="both"/>
        <w:ind w:left="-8" w:firstLine="656"/>
        <w:spacing w:after="0" w:line="279" w:lineRule="auto"/>
        <w:tabs>
          <w:tab w:leader="none" w:pos="1499" w:val="left"/>
        </w:tabs>
        <w:numPr>
          <w:ilvl w:val="1"/>
          <w:numId w:val="67"/>
        </w:numPr>
        <w:rPr>
          <w:rFonts w:ascii="Arial" w:cs="Arial" w:eastAsia="Arial" w:hAnsi="Arial"/>
          <w:sz w:val="17"/>
          <w:szCs w:val="17"/>
          <w:color w:val="auto"/>
        </w:rPr>
      </w:pPr>
      <w:r>
        <w:rPr>
          <w:rFonts w:ascii="Arial" w:cs="Arial" w:eastAsia="Arial" w:hAnsi="Arial"/>
          <w:sz w:val="17"/>
          <w:szCs w:val="17"/>
          <w:color w:val="auto"/>
        </w:rPr>
        <w:t>Unless the Board expressly provides otherwise, and except as otherwise provided in an Award agreement or an employment agreement between the participant and the Company or an Affiliate, immediately upon the cessation of the participant’s employment or services an Award requiring exercise will cease to be exercisable and will terminate, and all other Awards to the extent not already vested will be forfeited (and, in the case of an Award of Restricted Shares, such unvested Restricted Shares will be transferred to, and reacquired by, the Company), except that:</w:t>
      </w:r>
    </w:p>
    <w:p>
      <w:pPr>
        <w:spacing w:after="0" w:line="171" w:lineRule="exact"/>
        <w:rPr>
          <w:sz w:val="20"/>
          <w:szCs w:val="20"/>
          <w:color w:val="auto"/>
        </w:rPr>
      </w:pPr>
    </w:p>
    <w:p>
      <w:pPr>
        <w:jc w:val="both"/>
        <w:ind w:left="1292" w:hanging="644"/>
        <w:spacing w:after="0" w:line="286" w:lineRule="auto"/>
        <w:tabs>
          <w:tab w:leader="none" w:pos="1292"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subject to (2) and (3) below, all vested options held by the participant immediately prior the cessation of the participant’s employment, to the extent then exercisable, will remain exercisable for the less of (i) a period of 90 days or (ii) the period ending on the latest date on which such option could have been exercised without regard to this Section 7(a)(l), and will thereupon terminate;</w:t>
      </w:r>
    </w:p>
    <w:p>
      <w:pPr>
        <w:spacing w:after="0" w:line="165" w:lineRule="exact"/>
        <w:rPr>
          <w:rFonts w:ascii="Arial" w:cs="Arial" w:eastAsia="Arial" w:hAnsi="Arial"/>
          <w:sz w:val="17"/>
          <w:szCs w:val="17"/>
          <w:color w:val="auto"/>
        </w:rPr>
      </w:pPr>
    </w:p>
    <w:p>
      <w:pPr>
        <w:jc w:val="both"/>
        <w:ind w:left="1292" w:hanging="644"/>
        <w:spacing w:after="0" w:line="264" w:lineRule="auto"/>
        <w:tabs>
          <w:tab w:leader="none" w:pos="129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vested options held by a participant immediately prior to the participant’s death, to the extent then exercisable, will remain exercisable for the lesser of (i) the 180 day period ending following the participant’s death or (ii) the period ending on the latest date on which such option could have been exercised without regard to this Section 7(a), and will thereupon terminate;</w:t>
      </w:r>
    </w:p>
    <w:p>
      <w:pPr>
        <w:spacing w:after="0" w:line="181" w:lineRule="exact"/>
        <w:rPr>
          <w:rFonts w:ascii="Arial" w:cs="Arial" w:eastAsia="Arial" w:hAnsi="Arial"/>
          <w:sz w:val="18"/>
          <w:szCs w:val="18"/>
          <w:color w:val="auto"/>
        </w:rPr>
      </w:pPr>
    </w:p>
    <w:p>
      <w:pPr>
        <w:jc w:val="both"/>
        <w:ind w:left="1292" w:hanging="644"/>
        <w:spacing w:after="0" w:line="268" w:lineRule="auto"/>
        <w:tabs>
          <w:tab w:leader="none" w:pos="1292"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options (whether or not vested) held by a participant immediately prior to the cessation of the participant’s employment or “Cause” will immediately terminate; for this purpose “</w:t>
      </w:r>
      <w:r>
        <w:rPr>
          <w:rFonts w:ascii="Arial" w:cs="Arial" w:eastAsia="Arial" w:hAnsi="Arial"/>
          <w:sz w:val="17"/>
          <w:szCs w:val="17"/>
          <w:u w:val="single" w:color="auto"/>
          <w:color w:val="auto"/>
        </w:rPr>
        <w:t>Cause</w:t>
      </w:r>
      <w:r>
        <w:rPr>
          <w:rFonts w:ascii="Arial" w:cs="Arial" w:eastAsia="Arial" w:hAnsi="Arial"/>
          <w:sz w:val="17"/>
          <w:szCs w:val="17"/>
          <w:color w:val="auto"/>
        </w:rPr>
        <w:t>” shall have the same meaning as provided in the employment agreement between the participant and the Company or its Affiliate, provided that if the participant is not a party to any such agreement, “Cause” shall mean the participant’s repeated material failure to perform (other than by reason of Disability), or gross negligence in the performance of, participant’s duties and responsibilities to the Company or any of its Affiliates which failure is not cured within thirty (30) days after written notice of such failure or negligence is delivered to participant; (ii) participant’s material breach of any written employment agreement between participant and the Company or any of its Affiliates which breach is not cured within thirty (30) days after written notice of such breach is delivered to participant; (iii) commission by participant of a felony involving moral turpitude or fraud with respect to the Company or any of its Affiliates; (iv) participant being sanctioned by a federal or state government or agency with violations of federal or state securities laws in any judicial or administrative process or proceeding, or having been found by any court to have committed any such violation; or (v) participant’s failure to comply with (A) any material Company policy, including without limitation, all Company Codes of Ethics, policies, procedures and handbooks, applicable to such participant or (B) any legal or regulatory obligations or requirements of participant, including, without limitation, failure of participant to provide any certifications as may be required by law which is not cured within thirty (30) days after written notice of such violation is delivered to participant. and</w:t>
      </w:r>
    </w:p>
    <w:p>
      <w:pPr>
        <w:spacing w:after="0" w:line="293" w:lineRule="exact"/>
        <w:rPr>
          <w:rFonts w:ascii="Arial" w:cs="Arial" w:eastAsia="Arial" w:hAnsi="Arial"/>
          <w:sz w:val="17"/>
          <w:szCs w:val="17"/>
          <w:color w:val="auto"/>
        </w:rPr>
      </w:pPr>
    </w:p>
    <w:p>
      <w:pPr>
        <w:ind w:left="5672" w:hanging="109"/>
        <w:spacing w:after="0"/>
        <w:tabs>
          <w:tab w:leader="none" w:pos="5672" w:val="left"/>
        </w:tabs>
        <w:numPr>
          <w:ilvl w:val="1"/>
          <w:numId w:val="68"/>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94" w:name="page95"/>
    <w:bookmarkEnd w:id="94"/>
    <w:p>
      <w:pPr>
        <w:ind w:left="130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as otherwise provided in an Award, after completion of the 90-day (or 180-day) period, such Awards shall terminate to the extent not previously exercised, expired, or terminated.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option shall be exercised or surrendered in exchange for a cash payment after the Expiration Date.</w:t>
      </w:r>
    </w:p>
    <w:p>
      <w:pPr>
        <w:spacing w:after="0" w:line="225" w:lineRule="exact"/>
        <w:rPr>
          <w:sz w:val="20"/>
          <w:szCs w:val="20"/>
          <w:color w:val="auto"/>
        </w:rPr>
      </w:pPr>
    </w:p>
    <w:p>
      <w:pPr>
        <w:jc w:val="both"/>
        <w:ind w:firstLine="656"/>
        <w:spacing w:after="0" w:line="257" w:lineRule="auto"/>
        <w:tabs>
          <w:tab w:leader="none" w:pos="1668"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particular but not in limitation of the foregoing, the Board may provide in the case of any Award for post-termination exercise provisions different from those expressly set forth in this Section 7, including without limitation terms allowing a later exercise by a former employee (or, in the case of a former employee who is deceased, the person or persons to whom the Award is transferred by will or the laws of descent and distribution) as to all or any portion of the Award not exercisable immediately prior to termination of employment or other service, but in no case may an A ward be exercised after the Expiration Date.</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EMPLOYMENT RIGHTS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Neither the adoption of the Plan nor the grant of Awards shall confer upon any participant any right to continue as an employee of the Company, its</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parent, or any subsidiary or affect in any way the right of the Company, its parent, or a subsidiary to terminate the participant’s relationship at any time. Except as specifically provided by the Board in any particular case, the loss of existing or potential profit in Awards granted under this Plan shall not constitute an element of damages in the event of termination of the relationship of a participant even if the termination is in violation of an obligation of the Company to the participant by contract or otherwise.</w:t>
      </w:r>
    </w:p>
    <w:p>
      <w:pPr>
        <w:spacing w:after="0" w:line="190"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DISCONTINUANCE, CANCELLATION, AMENDMENT, AND TERMINATION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at any time or times amend the Plan or any outstanding Award for any purpose which may at the time be permitted by law, and may at any time terminate the Plan as to any future grants of Awards; provided that, except as otherwise expressly provided in the Plan the Board may not, without the participant’s consent, alter the terms of an Award so as to affect adversely the participant’s rights under the Award, unless the Board expressly reserved the right to do so at the time of the Award. Any amendments to the Plan shall be conditioned upon Shareholder approval only to the extent, if any, such approval is required by law (including the Code), as determined by the Board.</w:t>
      </w:r>
    </w:p>
    <w:p>
      <w:pPr>
        <w:spacing w:after="0" w:line="188"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LIMITATION OF LIABILITY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anything to the contrary in the Plan, neither the Company, any subsidiary, nor the Board, nor any person acting on behalf of the Company, any subsidiary, or the Board, shall be liable to any participant or to the estate or beneficiary of any participant or to any other holder of an option by reason of any acceleration of income, or any additional tax, asserted by reason of the failure of an option to satisfy the requirements of Section 409 A or by reason of Section 4999 of the Code; provided, that nothing in this Section 10 shall limit the ability of the Board to provide by separate express written agreement with a participant for a gross-up payment or other payment in connection with any such tax or additional tax.</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5" w:name="page96"/>
    <w:bookmarkEnd w:id="95"/>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WAIVER OF JURY TRIAL</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shall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w:t>
      </w:r>
    </w:p>
    <w:p>
      <w:pPr>
        <w:spacing w:after="0" w:line="158"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LEGAL CONDITIONS ON DELIVERY OF SHARES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not be obligated to deliver any Shares pursuant to the Plan or to remove any restriction from Shares previously delivered under the Plan until: (i) the Company is satisfied that all legal matters in connection with the issuance and delivery of such Shares have been addressed and resolved; (ii) if the outstanding Shares are at the time of delivery listed on any stock exchange or national market system, the Shares to be delivered have been listed or authorized to be listed on such exchange or system upon official notice of issuance; and (iii) all conditions of the Award have been satisfied or waived. If the sale of Shares has not been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Company may require, as a condition to exercise of the Award, such representations or agreements as counsel for the Company may consider appropriate to avoid violation of the Securities Act. The Company may require that certificates evidencing Shares issued under the Plan bear an appropriate legend reflecting any restriction on transfer applicable to such Shares, and the Company may hold the certificates pending lapse of the applicable restrictions.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2015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8000" w:val="left"/>
        </w:tabs>
        <w:rPr>
          <w:sz w:val="20"/>
          <w:szCs w:val="20"/>
          <w:color w:val="auto"/>
        </w:rPr>
      </w:pPr>
      <w:r>
        <w:rPr>
          <w:rFonts w:ascii="Arial" w:cs="Arial" w:eastAsia="Arial" w:hAnsi="Arial"/>
          <w:sz w:val="18"/>
          <w:szCs w:val="18"/>
          <w:color w:val="auto"/>
        </w:rPr>
        <w:t>Date: August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D</w:t>
      </w:r>
      <w:r>
        <w:rPr>
          <w:rFonts w:ascii="Arial" w:cs="Arial" w:eastAsia="Arial" w:hAnsi="Arial"/>
          <w:sz w:val="11"/>
          <w:szCs w:val="11"/>
          <w:color w:val="auto"/>
        </w:rPr>
        <w:t>AYL</w:t>
      </w:r>
      <w:r>
        <w:rPr>
          <w:rFonts w:ascii="Arial" w:cs="Arial" w:eastAsia="Arial" w:hAnsi="Arial"/>
          <w:sz w:val="16"/>
          <w:szCs w:val="16"/>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2015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7980" w:val="left"/>
        </w:tabs>
        <w:rPr>
          <w:sz w:val="20"/>
          <w:szCs w:val="20"/>
          <w:color w:val="auto"/>
        </w:rPr>
      </w:pPr>
      <w:r>
        <w:rPr>
          <w:rFonts w:ascii="Arial" w:cs="Arial" w:eastAsia="Arial" w:hAnsi="Arial"/>
          <w:sz w:val="18"/>
          <w:szCs w:val="18"/>
          <w:color w:val="auto"/>
        </w:rPr>
        <w:t>Date: August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14"/>
        <w:spacing w:after="0" w:line="256"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June 30, 2015 (the “Report”), I, Dayl W. Pearson, President and Chief Executive Officer of the Company, certify, pursuant to 18 U.S.C. §1350, as adopted pursuant to §906 of the Sarbanes-Oxley Act of 2002, that:</w:t>
      </w:r>
    </w:p>
    <w:p>
      <w:pPr>
        <w:ind w:left="680" w:hanging="258"/>
        <w:spacing w:after="0"/>
        <w:tabs>
          <w:tab w:leader="none" w:pos="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0" w:lineRule="exact"/>
        <w:rPr>
          <w:rFonts w:ascii="Arial" w:cs="Arial" w:eastAsia="Arial" w:hAnsi="Arial"/>
          <w:sz w:val="17"/>
          <w:szCs w:val="17"/>
          <w:color w:val="auto"/>
        </w:rPr>
      </w:pPr>
    </w:p>
    <w:p>
      <w:pPr>
        <w:ind w:left="680" w:hanging="258"/>
        <w:spacing w:after="0"/>
        <w:tabs>
          <w:tab w:leader="none" w:pos="6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spacing w:after="0"/>
        <w:tabs>
          <w:tab w:leader="none" w:pos="5700" w:val="left"/>
          <w:tab w:leader="none" w:pos="8000" w:val="left"/>
        </w:tabs>
        <w:rPr>
          <w:sz w:val="20"/>
          <w:szCs w:val="20"/>
          <w:color w:val="auto"/>
        </w:rPr>
      </w:pPr>
      <w:r>
        <w:rPr>
          <w:rFonts w:ascii="Arial" w:cs="Arial" w:eastAsia="Arial" w:hAnsi="Arial"/>
          <w:sz w:val="18"/>
          <w:szCs w:val="18"/>
          <w:color w:val="auto"/>
        </w:rPr>
        <w:t>Date: August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D</w:t>
      </w:r>
      <w:r>
        <w:rPr>
          <w:rFonts w:ascii="Arial" w:cs="Arial" w:eastAsia="Arial" w:hAnsi="Arial"/>
          <w:sz w:val="11"/>
          <w:szCs w:val="11"/>
          <w:color w:val="auto"/>
        </w:rPr>
        <w:t>AYL</w:t>
      </w:r>
      <w:r>
        <w:rPr>
          <w:rFonts w:ascii="Arial" w:cs="Arial" w:eastAsia="Arial" w:hAnsi="Arial"/>
          <w:sz w:val="16"/>
          <w:szCs w:val="16"/>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414"/>
        <w:spacing w:after="0" w:line="256"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June 30, 2015 (the “Report”), I, Edward U. Gilpin, Chief Financial Officer of the Company, certify, pursuant to 18 U.S.C. §1350, as adopted pursuant to §906 of the Sarbanes-Oxley Act of 2002, that:</w:t>
      </w:r>
    </w:p>
    <w:p>
      <w:pPr>
        <w:ind w:left="680" w:hanging="258"/>
        <w:spacing w:after="0"/>
        <w:tabs>
          <w:tab w:leader="none" w:pos="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0" w:lineRule="exact"/>
        <w:rPr>
          <w:rFonts w:ascii="Arial" w:cs="Arial" w:eastAsia="Arial" w:hAnsi="Arial"/>
          <w:sz w:val="17"/>
          <w:szCs w:val="17"/>
          <w:color w:val="auto"/>
        </w:rPr>
      </w:pPr>
    </w:p>
    <w:p>
      <w:pPr>
        <w:ind w:left="680" w:hanging="258"/>
        <w:spacing w:after="0"/>
        <w:tabs>
          <w:tab w:leader="none" w:pos="6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spacing w:after="0"/>
        <w:tabs>
          <w:tab w:leader="none" w:pos="5700" w:val="left"/>
          <w:tab w:leader="none" w:pos="7980" w:val="left"/>
        </w:tabs>
        <w:rPr>
          <w:sz w:val="20"/>
          <w:szCs w:val="20"/>
          <w:color w:val="auto"/>
        </w:rPr>
      </w:pPr>
      <w:r>
        <w:rPr>
          <w:rFonts w:ascii="Arial" w:cs="Arial" w:eastAsia="Arial" w:hAnsi="Arial"/>
          <w:sz w:val="18"/>
          <w:szCs w:val="18"/>
          <w:color w:val="auto"/>
        </w:rPr>
        <w:t>Date: August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x"/>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bullet"/>
      <w:start w:val="1"/>
    </w:lvl>
  </w:abstractNum>
  <w:abstractNum w:abstractNumId="3">
    <w:nsid w:val="2CD89A32"/>
    <w:multiLevelType w:val="hybridMultilevel"/>
    <w:lvl w:ilvl="0">
      <w:lvlJc w:val="left"/>
      <w:lvlText w:val="2"/>
      <w:numFmt w:val="bullet"/>
      <w:start w:val="1"/>
    </w:lvl>
  </w:abstractNum>
  <w:abstractNum w:abstractNumId="4">
    <w:nsid w:val="57E4CCAF"/>
    <w:multiLevelType w:val="hybridMultilevel"/>
    <w:lvl w:ilvl="0">
      <w:lvlJc w:val="left"/>
      <w:lvlText w:val="3"/>
      <w:numFmt w:val="bullet"/>
      <w:start w:val="1"/>
    </w:lvl>
  </w:abstractNum>
  <w:abstractNum w:abstractNumId="5">
    <w:nsid w:val="7A6D8D3C"/>
    <w:multiLevelType w:val="hybridMultilevel"/>
    <w:lvl w:ilvl="0">
      <w:lvlJc w:val="left"/>
      <w:lvlText w:val="4"/>
      <w:numFmt w:val="bullet"/>
      <w:start w:val="1"/>
    </w:lvl>
  </w:abstractNum>
  <w:abstractNum w:abstractNumId="6">
    <w:nsid w:val="4B588F54"/>
    <w:multiLevelType w:val="hybridMultilevel"/>
    <w:lvl w:ilvl="0">
      <w:lvlJc w:val="left"/>
      <w:lvlText w:val="5"/>
      <w:numFmt w:val="bullet"/>
      <w:start w:val="1"/>
    </w:lvl>
  </w:abstractNum>
  <w:abstractNum w:abstractNumId="7">
    <w:nsid w:val="542289EC"/>
    <w:multiLevelType w:val="hybridMultilevel"/>
    <w:lvl w:ilvl="0">
      <w:lvlJc w:val="left"/>
      <w:lvlText w:val="6"/>
      <w:numFmt w:val="bullet"/>
      <w:start w:val="1"/>
    </w:lvl>
  </w:abstractNum>
  <w:abstractNum w:abstractNumId="8">
    <w:nsid w:val="6DE91B18"/>
    <w:multiLevelType w:val="hybridMultilevel"/>
    <w:lvl w:ilvl="0">
      <w:lvlJc w:val="left"/>
      <w:lvlText w:val="7"/>
      <w:numFmt w:val="bullet"/>
      <w:start w:val="1"/>
    </w:lvl>
  </w:abstractNum>
  <w:abstractNum w:abstractNumId="9">
    <w:nsid w:val="38437FDB"/>
    <w:multiLevelType w:val="hybridMultilevel"/>
    <w:lvl w:ilvl="0">
      <w:lvlJc w:val="left"/>
      <w:lvlText w:val="8"/>
      <w:numFmt w:val="bullet"/>
      <w:start w:val="1"/>
    </w:lvl>
  </w:abstractNum>
  <w:abstractNum w:abstractNumId="10">
    <w:nsid w:val="7644A45C"/>
    <w:multiLevelType w:val="hybridMultilevel"/>
    <w:lvl w:ilvl="0">
      <w:lvlJc w:val="left"/>
      <w:lvlText w:val="9"/>
      <w:numFmt w:val="bullet"/>
      <w:start w:val="1"/>
    </w:lvl>
  </w:abstractNum>
  <w:abstractNum w:abstractNumId="11">
    <w:nsid w:val="32FFF902"/>
    <w:multiLevelType w:val="hybridMultilevel"/>
    <w:lvl w:ilvl="0">
      <w:lvlJc w:val="left"/>
      <w:lvlText w:val="%1"/>
      <w:numFmt w:val="decimal"/>
      <w:start w:val="10"/>
    </w:lvl>
  </w:abstractNum>
  <w:abstractNum w:abstractNumId="12">
    <w:nsid w:val="684A481A"/>
    <w:multiLevelType w:val="hybridMultilevel"/>
    <w:lvl w:ilvl="0">
      <w:lvlJc w:val="left"/>
      <w:lvlText w:val="1"/>
      <w:numFmt w:val="bullet"/>
      <w:start w:val="1"/>
    </w:lvl>
  </w:abstractNum>
  <w:abstractNum w:abstractNumId="13">
    <w:nsid w:val="579478FE"/>
    <w:multiLevelType w:val="hybridMultilevel"/>
    <w:lvl w:ilvl="0">
      <w:lvlJc w:val="left"/>
      <w:lvlText w:val="2"/>
      <w:numFmt w:val="bullet"/>
      <w:start w:val="1"/>
    </w:lvl>
  </w:abstractNum>
  <w:abstractNum w:abstractNumId="14">
    <w:nsid w:val="749ABB43"/>
    <w:multiLevelType w:val="hybridMultilevel"/>
    <w:lvl w:ilvl="0">
      <w:lvlJc w:val="left"/>
      <w:lvlText w:val="3"/>
      <w:numFmt w:val="bullet"/>
      <w:start w:val="1"/>
    </w:lvl>
  </w:abstractNum>
  <w:abstractNum w:abstractNumId="15">
    <w:nsid w:val="3DC240FB"/>
    <w:multiLevelType w:val="hybridMultilevel"/>
    <w:lvl w:ilvl="0">
      <w:lvlJc w:val="left"/>
      <w:lvlText w:val="4"/>
      <w:numFmt w:val="bullet"/>
      <w:start w:val="1"/>
    </w:lvl>
  </w:abstractNum>
  <w:abstractNum w:abstractNumId="16">
    <w:nsid w:val="1BA026FA"/>
    <w:multiLevelType w:val="hybridMultilevel"/>
    <w:lvl w:ilvl="0">
      <w:lvlJc w:val="left"/>
      <w:lvlText w:val="5"/>
      <w:numFmt w:val="bullet"/>
      <w:start w:val="1"/>
    </w:lvl>
  </w:abstractNum>
  <w:abstractNum w:abstractNumId="17">
    <w:nsid w:val="79A1DEAA"/>
    <w:multiLevelType w:val="hybridMultilevel"/>
    <w:lvl w:ilvl="0">
      <w:lvlJc w:val="left"/>
      <w:lvlText w:val="6"/>
      <w:numFmt w:val="bullet"/>
      <w:start w:val="1"/>
    </w:lvl>
  </w:abstractNum>
  <w:abstractNum w:abstractNumId="18">
    <w:nsid w:val="75C6C33A"/>
    <w:multiLevelType w:val="hybridMultilevel"/>
    <w:lvl w:ilvl="0">
      <w:lvlJc w:val="left"/>
      <w:lvlText w:val="7"/>
      <w:numFmt w:val="bullet"/>
      <w:start w:val="1"/>
    </w:lvl>
  </w:abstractNum>
  <w:abstractNum w:abstractNumId="19">
    <w:nsid w:val="12E685FB"/>
    <w:multiLevelType w:val="hybridMultilevel"/>
    <w:lvl w:ilvl="0">
      <w:lvlJc w:val="left"/>
      <w:lvlText w:val="8"/>
      <w:numFmt w:val="bullet"/>
      <w:start w:val="1"/>
    </w:lvl>
  </w:abstractNum>
  <w:abstractNum w:abstractNumId="20">
    <w:nsid w:val="70C6A529"/>
    <w:multiLevelType w:val="hybridMultilevel"/>
    <w:lvl w:ilvl="0">
      <w:lvlJc w:val="left"/>
      <w:lvlText w:val="9"/>
      <w:numFmt w:val="bullet"/>
      <w:start w:val="1"/>
    </w:lvl>
  </w:abstractNum>
  <w:abstractNum w:abstractNumId="21">
    <w:nsid w:val="520EEDD1"/>
    <w:multiLevelType w:val="hybridMultilevel"/>
    <w:lvl w:ilvl="0">
      <w:lvlJc w:val="left"/>
      <w:lvlText w:val="%1"/>
      <w:numFmt w:val="decimal"/>
      <w:start w:val="10"/>
    </w:lvl>
  </w:abstractNum>
  <w:abstractNum w:abstractNumId="22">
    <w:nsid w:val="374A3FE6"/>
    <w:multiLevelType w:val="hybridMultilevel"/>
    <w:lvl w:ilvl="0">
      <w:lvlJc w:val="left"/>
      <w:lvlText w:val="1"/>
      <w:numFmt w:val="bullet"/>
      <w:start w:val="1"/>
    </w:lvl>
  </w:abstractNum>
  <w:abstractNum w:abstractNumId="23">
    <w:nsid w:val="4F4EF005"/>
    <w:multiLevelType w:val="hybridMultilevel"/>
    <w:lvl w:ilvl="0">
      <w:lvlJc w:val="left"/>
      <w:lvlText w:val="2"/>
      <w:numFmt w:val="bullet"/>
      <w:start w:val="1"/>
    </w:lvl>
  </w:abstractNum>
  <w:abstractNum w:abstractNumId="24">
    <w:nsid w:val="23F9C13C"/>
    <w:multiLevelType w:val="hybridMultilevel"/>
    <w:lvl w:ilvl="0">
      <w:lvlJc w:val="left"/>
      <w:lvlText w:val="3"/>
      <w:numFmt w:val="bullet"/>
      <w:start w:val="1"/>
    </w:lvl>
  </w:abstractNum>
  <w:abstractNum w:abstractNumId="25">
    <w:nsid w:val="649BB77C"/>
    <w:multiLevelType w:val="hybridMultilevel"/>
    <w:lvl w:ilvl="0">
      <w:lvlJc w:val="left"/>
      <w:lvlText w:val="4"/>
      <w:numFmt w:val="bullet"/>
      <w:start w:val="1"/>
    </w:lvl>
  </w:abstractNum>
  <w:abstractNum w:abstractNumId="26">
    <w:nsid w:val="275AC794"/>
    <w:multiLevelType w:val="hybridMultilevel"/>
    <w:lvl w:ilvl="0">
      <w:lvlJc w:val="left"/>
      <w:lvlText w:val="%1."/>
      <w:numFmt w:val="decimal"/>
      <w:start w:val="2"/>
    </w:lvl>
  </w:abstractNum>
  <w:abstractNum w:abstractNumId="27">
    <w:nsid w:val="39386575"/>
    <w:multiLevelType w:val="hybridMultilevel"/>
    <w:lvl w:ilvl="0">
      <w:lvlJc w:val="left"/>
      <w:lvlText w:val="1"/>
      <w:numFmt w:val="bullet"/>
      <w:start w:val="1"/>
    </w:lvl>
  </w:abstractNum>
  <w:abstractNum w:abstractNumId="28">
    <w:nsid w:val="1CF10FD8"/>
    <w:multiLevelType w:val="hybridMultilevel"/>
    <w:lvl w:ilvl="0">
      <w:lvlJc w:val="left"/>
      <w:lvlText w:val="2"/>
      <w:numFmt w:val="bullet"/>
      <w:start w:val="1"/>
    </w:lvl>
  </w:abstractNum>
  <w:abstractNum w:abstractNumId="29">
    <w:nsid w:val="180115BE"/>
    <w:multiLevelType w:val="hybridMultilevel"/>
    <w:lvl w:ilvl="0">
      <w:lvlJc w:val="left"/>
      <w:lvlText w:val="3"/>
      <w:numFmt w:val="bullet"/>
      <w:start w:val="1"/>
    </w:lvl>
  </w:abstractNum>
  <w:abstractNum w:abstractNumId="30">
    <w:nsid w:val="235BA861"/>
    <w:multiLevelType w:val="hybridMultilevel"/>
    <w:lvl w:ilvl="0">
      <w:lvlJc w:val="left"/>
      <w:lvlText w:val="1"/>
      <w:numFmt w:val="bullet"/>
      <w:start w:val="1"/>
    </w:lvl>
  </w:abstractNum>
  <w:abstractNum w:abstractNumId="31">
    <w:nsid w:val="47398C89"/>
    <w:multiLevelType w:val="hybridMultilevel"/>
    <w:lvl w:ilvl="0">
      <w:lvlJc w:val="left"/>
      <w:lvlText w:val="2"/>
      <w:numFmt w:val="bullet"/>
      <w:start w:val="1"/>
    </w:lvl>
  </w:abstractNum>
  <w:abstractNum w:abstractNumId="32">
    <w:nsid w:val="354FE9F9"/>
    <w:multiLevelType w:val="hybridMultilevel"/>
    <w:lvl w:ilvl="0">
      <w:lvlJc w:val="left"/>
      <w:lvlText w:val="3"/>
      <w:numFmt w:val="bullet"/>
      <w:start w:val="1"/>
    </w:lvl>
  </w:abstractNum>
  <w:abstractNum w:abstractNumId="33">
    <w:nsid w:val="15B5AF5C"/>
    <w:multiLevelType w:val="hybridMultilevel"/>
    <w:lvl w:ilvl="0">
      <w:lvlJc w:val="left"/>
      <w:lvlText w:val="1"/>
      <w:numFmt w:val="bullet"/>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1"/>
      <w:numFmt w:val="bullet"/>
      <w:start w:val="1"/>
    </w:lvl>
  </w:abstractNum>
  <w:abstractNum w:abstractNumId="36">
    <w:nsid w:val="10233C99"/>
    <w:multiLevelType w:val="hybridMultilevel"/>
    <w:lvl w:ilvl="0">
      <w:lvlJc w:val="left"/>
      <w:lvlText w:val="1"/>
      <w:numFmt w:val="bullet"/>
      <w:start w:val="1"/>
    </w:lvl>
  </w:abstractNum>
  <w:abstractNum w:abstractNumId="37">
    <w:nsid w:val="3F6AB60F"/>
    <w:multiLevelType w:val="hybridMultilevel"/>
    <w:lvl w:ilvl="0">
      <w:lvlJc w:val="left"/>
      <w:lvlText w:val="(%1)"/>
      <w:numFmt w:val="lowerRoman"/>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1"/>
      <w:numFmt w:val="bullet"/>
      <w:start w:val="1"/>
    </w:lvl>
  </w:abstractNum>
  <w:abstractNum w:abstractNumId="40">
    <w:nsid w:val="77AE35EB"/>
    <w:multiLevelType w:val="hybridMultilevel"/>
    <w:lvl w:ilvl="0">
      <w:lvlJc w:val="left"/>
      <w:lvlText w:val="2"/>
      <w:numFmt w:val="bullet"/>
      <w:start w:val="1"/>
    </w:lvl>
  </w:abstractNum>
  <w:abstractNum w:abstractNumId="41">
    <w:nsid w:val="579BE4F1"/>
    <w:multiLevelType w:val="hybridMultilevel"/>
    <w:lvl w:ilvl="0">
      <w:lvlJc w:val="left"/>
      <w:lvlText w:val="3"/>
      <w:numFmt w:val="bullet"/>
      <w:start w:val="1"/>
    </w:lvl>
  </w:abstractNum>
  <w:abstractNum w:abstractNumId="42">
    <w:nsid w:val="310C50B3"/>
    <w:multiLevelType w:val="hybridMultilevel"/>
    <w:lvl w:ilvl="0">
      <w:lvlJc w:val="left"/>
      <w:lvlText w:val="1"/>
      <w:numFmt w:val="bullet"/>
      <w:start w:val="1"/>
    </w:lvl>
  </w:abstractNum>
  <w:abstractNum w:abstractNumId="43">
    <w:nsid w:val="5FF87E05"/>
    <w:multiLevelType w:val="hybridMultilevel"/>
    <w:lvl w:ilvl="0">
      <w:lvlJc w:val="left"/>
      <w:lvlText w:val="2"/>
      <w:numFmt w:val="bullet"/>
      <w:start w:val="1"/>
    </w:lvl>
  </w:abstractNum>
  <w:abstractNum w:abstractNumId="44">
    <w:nsid w:val="2F305DEF"/>
    <w:multiLevelType w:val="hybridMultilevel"/>
    <w:lvl w:ilvl="0">
      <w:lvlJc w:val="left"/>
      <w:lvlText w:val="3"/>
      <w:numFmt w:val="bullet"/>
      <w:start w:val="1"/>
    </w:lvl>
  </w:abstractNum>
  <w:abstractNum w:abstractNumId="45">
    <w:nsid w:val="25A70BF7"/>
    <w:multiLevelType w:val="hybridMultilevel"/>
    <w:lvl w:ilvl="0">
      <w:lvlJc w:val="left"/>
      <w:lvlText w:val="1"/>
      <w:numFmt w:val="bullet"/>
      <w:start w:val="1"/>
    </w:lvl>
  </w:abstractNum>
  <w:abstractNum w:abstractNumId="46">
    <w:nsid w:val="1DBABF00"/>
    <w:multiLevelType w:val="hybridMultilevel"/>
    <w:lvl w:ilvl="0">
      <w:lvlJc w:val="left"/>
      <w:lvlText w:val="2"/>
      <w:numFmt w:val="bullet"/>
      <w:start w:val="1"/>
    </w:lvl>
  </w:abstractNum>
  <w:abstractNum w:abstractNumId="47">
    <w:nsid w:val="4AD084E9"/>
    <w:multiLevelType w:val="hybridMultilevel"/>
    <w:lvl w:ilvl="0">
      <w:lvlJc w:val="left"/>
      <w:lvlText w:val="3"/>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1)"/>
      <w:numFmt w:val="decimal"/>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1"/>
      <w:numFmt w:val="bullet"/>
      <w:start w:val="1"/>
    </w:lvl>
  </w:abstractNum>
  <w:abstractNum w:abstractNumId="52">
    <w:nsid w:val="6590700B"/>
    <w:multiLevelType w:val="hybridMultilevel"/>
    <w:lvl w:ilvl="0">
      <w:lvlJc w:val="left"/>
      <w:lvlText w:val="2"/>
      <w:numFmt w:val="bullet"/>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2"/>
    </w:lvl>
  </w:abstractNum>
  <w:abstractNum w:abstractNumId="55">
    <w:nsid w:val="98A3148"/>
    <w:multiLevelType w:val="hybridMultilevel"/>
    <w:lvl w:ilvl="0">
      <w:lvlJc w:val="left"/>
      <w:lvlText w:val="%1."/>
      <w:numFmt w:val="decimal"/>
      <w:start w:val="3"/>
    </w:lvl>
  </w:abstractNum>
  <w:abstractNum w:abstractNumId="56">
    <w:nsid w:val="799D0247"/>
    <w:multiLevelType w:val="hybridMultilevel"/>
    <w:lvl w:ilvl="0">
      <w:lvlJc w:val="left"/>
      <w:lvlText w:val="%1."/>
      <w:numFmt w:val="decimal"/>
      <w:start w:val="4"/>
    </w:lvl>
    <w:lvl w:ilvl="1">
      <w:lvlJc w:val="left"/>
      <w:lvlText w:val="(%2)"/>
      <w:numFmt w:val="lowerLetter"/>
      <w:start w:val="1"/>
    </w:lvl>
  </w:abstractNum>
  <w:abstractNum w:abstractNumId="57">
    <w:nsid w:val="6B94764"/>
    <w:multiLevelType w:val="hybridMultilevel"/>
    <w:lvl w:ilvl="0">
      <w:lvlJc w:val="left"/>
      <w:lvlText w:val="(%1)"/>
      <w:numFmt w:val="lowerLetter"/>
      <w:start w:val="2"/>
    </w:lvl>
    <w:lvl w:ilvl="1">
      <w:lvlJc w:val="left"/>
      <w:lvlText w:val="-"/>
      <w:numFmt w:val="bullet"/>
      <w:start w:val="1"/>
    </w:lvl>
  </w:abstractNum>
  <w:abstractNum w:abstractNumId="58">
    <w:nsid w:val="42C296BD"/>
    <w:multiLevelType w:val="hybridMultilevel"/>
    <w:lvl w:ilvl="0">
      <w:lvlJc w:val="left"/>
      <w:lvlText w:val="(%1)"/>
      <w:numFmt w:val="lowerLetter"/>
      <w:start w:val="4"/>
    </w:lvl>
  </w:abstractNum>
  <w:abstractNum w:abstractNumId="59">
    <w:nsid w:val="168E121F"/>
    <w:multiLevelType w:val="hybridMultilevel"/>
    <w:lvl w:ilvl="0">
      <w:lvlJc w:val="left"/>
      <w:lvlText w:val="%1."/>
      <w:numFmt w:val="decimal"/>
      <w:start w:val="5"/>
    </w:lvl>
  </w:abstractNum>
  <w:abstractNum w:abstractNumId="60">
    <w:nsid w:val="1EBA5D23"/>
    <w:multiLevelType w:val="hybridMultilevel"/>
    <w:lvl w:ilvl="0">
      <w:lvlJc w:val="left"/>
      <w:lvlText w:val="%1."/>
      <w:numFmt w:val="decimal"/>
      <w:start w:val="6"/>
    </w:lvl>
    <w:lvl w:ilvl="1">
      <w:lvlJc w:val="left"/>
      <w:lvlText w:val="(%2)"/>
      <w:numFmt w:val="lowerLetter"/>
      <w:start w:val="1"/>
    </w:lvl>
  </w:abstractNum>
  <w:abstractNum w:abstractNumId="61">
    <w:nsid w:val="661E3F1E"/>
    <w:multiLevelType w:val="hybridMultilevel"/>
    <w:lvl w:ilvl="0">
      <w:lvlJc w:val="left"/>
      <w:lvlText w:val="(%1)"/>
      <w:numFmt w:val="decimal"/>
      <w:start w:val="1"/>
    </w:lvl>
    <w:lvl w:ilvl="1">
      <w:lvlJc w:val="left"/>
      <w:lvlText w:val="-"/>
      <w:numFmt w:val="bullet"/>
      <w:start w:val="1"/>
    </w:lvl>
  </w:abstractNum>
  <w:abstractNum w:abstractNumId="62">
    <w:nsid w:val="5DC79EA8"/>
    <w:multiLevelType w:val="hybridMultilevel"/>
    <w:lvl w:ilvl="0">
      <w:lvlJc w:val="left"/>
      <w:lvlText w:val="(%1)"/>
      <w:numFmt w:val="decimal"/>
      <w:start w:val="4"/>
    </w:lvl>
  </w:abstractNum>
  <w:abstractNum w:abstractNumId="63">
    <w:nsid w:val="540A471C"/>
    <w:multiLevelType w:val="hybridMultilevel"/>
    <w:lvl w:ilvl="0">
      <w:lvlJc w:val="left"/>
      <w:lvlText w:val="%1"/>
      <w:numFmt w:val="decimal"/>
      <w:start w:val="1"/>
    </w:lvl>
    <w:lvl w:ilvl="1">
      <w:lvlJc w:val="left"/>
      <w:lvlText w:val="(%2)"/>
      <w:numFmt w:val="lowerLetter"/>
      <w:start w:val="5"/>
    </w:lvl>
    <w:lvl w:ilvl="2">
      <w:lvlJc w:val="left"/>
      <w:lvlText w:val="%3"/>
      <w:numFmt w:val="upperLetter"/>
      <w:start w:val="1"/>
    </w:lvl>
    <w:lvl w:ilvl="3">
      <w:lvlJc w:val="left"/>
      <w:lvlText w:val="-"/>
      <w:numFmt w:val="bullet"/>
      <w:start w:val="1"/>
    </w:lvl>
  </w:abstractNum>
  <w:abstractNum w:abstractNumId="64">
    <w:nsid w:val="7BD3EE7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65">
    <w:nsid w:val="51D9C564"/>
    <w:multiLevelType w:val="hybridMultilevel"/>
    <w:lvl w:ilvl="0">
      <w:lvlJc w:val="left"/>
      <w:lvlText w:val="(%1)"/>
      <w:numFmt w:val="decimal"/>
      <w:start w:val="2"/>
    </w:lvl>
    <w:lvl w:ilvl="1">
      <w:lvlJc w:val="left"/>
      <w:lvlText w:val="(%2)"/>
      <w:numFmt w:val="lowerLetter"/>
      <w:start w:val="10"/>
    </w:lvl>
    <w:lvl w:ilvl="2">
      <w:lvlJc w:val="left"/>
      <w:lvlText w:val="-"/>
      <w:numFmt w:val="bullet"/>
      <w:start w:val="1"/>
    </w:lvl>
  </w:abstractNum>
  <w:abstractNum w:abstractNumId="66">
    <w:nsid w:val="613EFDC5"/>
    <w:multiLevelType w:val="hybridMultilevel"/>
    <w:lvl w:ilvl="0">
      <w:lvlJc w:val="left"/>
      <w:lvlText w:val="%1."/>
      <w:numFmt w:val="decimal"/>
      <w:start w:val="7"/>
    </w:lvl>
    <w:lvl w:ilvl="1">
      <w:lvlJc w:val="left"/>
      <w:lvlText w:val="(%2)"/>
      <w:numFmt w:val="lowerLetter"/>
      <w:start w:val="1"/>
    </w:lvl>
  </w:abstractNum>
  <w:abstractNum w:abstractNumId="67">
    <w:nsid w:val="BF72B14"/>
    <w:multiLevelType w:val="hybridMultilevel"/>
    <w:lvl w:ilvl="0">
      <w:lvlJc w:val="left"/>
      <w:lvlText w:val="(%1)"/>
      <w:numFmt w:val="decimal"/>
      <w:start w:val="1"/>
    </w:lvl>
    <w:lvl w:ilvl="1">
      <w:lvlJc w:val="left"/>
      <w:lvlText w:val="-"/>
      <w:numFmt w:val="bullet"/>
      <w:start w:val="1"/>
    </w:lvl>
  </w:abstractNum>
  <w:abstractNum w:abstractNumId="68">
    <w:nsid w:val="11447B73"/>
    <w:multiLevelType w:val="hybridMultilevel"/>
    <w:lvl w:ilvl="0">
      <w:lvlJc w:val="left"/>
      <w:lvlText w:val="(%1)"/>
      <w:numFmt w:val="decimal"/>
      <w:start w:val="4"/>
    </w:lvl>
  </w:abstractNum>
  <w:abstractNum w:abstractNumId="69">
    <w:nsid w:val="42963E5A"/>
    <w:multiLevelType w:val="hybridMultilevel"/>
    <w:lvl w:ilvl="0">
      <w:lvlJc w:val="left"/>
      <w:lvlText w:val="%1"/>
      <w:numFmt w:val="decimal"/>
      <w:start w:val="1"/>
    </w:lvl>
    <w:lvl w:ilvl="1">
      <w:lvlJc w:val="left"/>
      <w:lvlText w:val="(%2)"/>
      <w:numFmt w:val="lowerLetter"/>
      <w:start w:val="2"/>
    </w:lvl>
  </w:abstractNum>
  <w:abstractNum w:abstractNumId="70">
    <w:nsid w:val="A0382C5"/>
    <w:multiLevelType w:val="hybridMultilevel"/>
    <w:lvl w:ilvl="0">
      <w:lvlJc w:val="left"/>
      <w:lvlText w:val="%1."/>
      <w:numFmt w:val="decimal"/>
      <w:start w:val="8"/>
    </w:lvl>
    <w:lvl w:ilvl="1">
      <w:lvlJc w:val="left"/>
      <w:lvlText w:val="%2"/>
      <w:numFmt w:val="lowerLetter"/>
      <w:start w:val="1"/>
    </w:lvl>
  </w:abstractNum>
  <w:abstractNum w:abstractNumId="71">
    <w:nsid w:val="8F2B15E"/>
    <w:multiLevelType w:val="hybridMultilevel"/>
    <w:lvl w:ilvl="0">
      <w:lvlJc w:val="left"/>
      <w:lvlText w:val="%1."/>
      <w:numFmt w:val="decimal"/>
      <w:start w:val="9"/>
    </w:lvl>
  </w:abstractNum>
  <w:abstractNum w:abstractNumId="72">
    <w:nsid w:val="1A32234B"/>
    <w:multiLevelType w:val="hybridMultilevel"/>
    <w:lvl w:ilvl="0">
      <w:lvlJc w:val="left"/>
      <w:lvlText w:val="%1."/>
      <w:numFmt w:val="decimal"/>
      <w:start w:val="10"/>
    </w:lvl>
  </w:abstractNum>
  <w:abstractNum w:abstractNumId="73">
    <w:nsid w:val="3B0FD379"/>
    <w:multiLevelType w:val="hybridMultilevel"/>
    <w:lvl w:ilvl="0">
      <w:lvlJc w:val="left"/>
      <w:lvlText w:val="%1."/>
      <w:numFmt w:val="decimal"/>
      <w:start w:val="11"/>
    </w:lvl>
  </w:abstractNum>
  <w:abstractNum w:abstractNumId="74">
    <w:nsid w:val="68EB2F63"/>
    <w:multiLevelType w:val="hybridMultilevel"/>
    <w:lvl w:ilvl="0">
      <w:lvlJc w:val="left"/>
      <w:lvlText w:val="%1."/>
      <w:numFmt w:val="decimal"/>
      <w:start w:val="12"/>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lowerLetter"/>
      <w:start w:val="1"/>
    </w:lvl>
  </w:abstractNum>
  <w:abstractNum w:abstractNumId="77">
    <w:nsid w:val="6A5EE64"/>
    <w:multiLevelType w:val="hybridMultilevel"/>
    <w:lvl w:ilvl="0">
      <w:lvlJc w:val="left"/>
      <w:lvlText w:val="%1."/>
      <w:numFmt w:val="decimal"/>
      <w:start w:val="5"/>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lowerLetter"/>
      <w:start w:val="1"/>
    </w:lvl>
  </w:abstractNum>
  <w:abstractNum w:abstractNumId="81">
    <w:nsid w:val="71EA1109"/>
    <w:multiLevelType w:val="hybridMultilevel"/>
    <w:lvl w:ilvl="0">
      <w:lvlJc w:val="left"/>
      <w:lvlText w:val="%1."/>
      <w:numFmt w:val="decimal"/>
      <w:start w:val="5"/>
    </w:lvl>
  </w:abstractNum>
  <w:abstractNum w:abstractNumId="82">
    <w:nsid w:val="100F59DC"/>
    <w:multiLevelType w:val="hybridMultilevel"/>
    <w:lvl w:ilvl="0">
      <w:lvlJc w:val="left"/>
      <w:lvlText w:val="(%1)"/>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2019-12-29T16:47:09Z</dcterms:created>
  <dcterms:modified xsi:type="dcterms:W3CDTF">2019-12-29T16:47:09Z</dcterms:modified>
</cp:coreProperties>
</file>