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193675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2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58420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78" w:lineRule="exact"/>
        <w:rPr>
          <w:sz w:val="24"/>
          <w:szCs w:val="24"/>
          <w:color w:val="auto"/>
        </w:rPr>
      </w:pPr>
    </w:p>
    <w:p>
      <w:pPr>
        <w:ind w:left="180" w:right="2100" w:hanging="172"/>
        <w:spacing w:after="0" w:line="282" w:lineRule="auto"/>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2013</w:t>
      </w:r>
    </w:p>
    <w:p>
      <w:pPr>
        <w:spacing w:after="0" w:line="162" w:lineRule="exact"/>
        <w:rPr>
          <w:sz w:val="24"/>
          <w:szCs w:val="24"/>
          <w:color w:val="auto"/>
        </w:rPr>
      </w:pPr>
    </w:p>
    <w:p>
      <w:pPr>
        <w:ind w:left="180" w:hanging="172"/>
        <w:spacing w:after="0"/>
        <w:tabs>
          <w:tab w:leader="none" w:pos="18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39" w:lineRule="exact"/>
        <w:rPr>
          <w:sz w:val="24"/>
          <w:szCs w:val="24"/>
          <w:color w:val="auto"/>
        </w:rPr>
      </w:pPr>
    </w:p>
    <w:p>
      <w:pPr>
        <w:ind w:left="180"/>
        <w:spacing w:after="0"/>
        <w:tabs>
          <w:tab w:leader="none" w:pos="29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814-00735</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KCAP Financial,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868" w:right="239" w:bottom="1440" w:gutter="0" w:footer="0" w:header="0"/>
        </w:sectPr>
      </w:pPr>
    </w:p>
    <w:p>
      <w:pPr>
        <w:spacing w:after="0" w:line="205" w:lineRule="exact"/>
        <w:rPr>
          <w:sz w:val="24"/>
          <w:szCs w:val="24"/>
          <w:color w:val="auto"/>
        </w:rPr>
      </w:pPr>
    </w:p>
    <w:p>
      <w:pPr>
        <w:ind w:left="2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4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168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00"/>
        <w:spacing w:after="0"/>
        <w:rPr>
          <w:sz w:val="20"/>
          <w:szCs w:val="20"/>
          <w:color w:val="auto"/>
        </w:rPr>
      </w:pPr>
      <w:r>
        <w:rPr>
          <w:rFonts w:ascii="Arial" w:cs="Arial" w:eastAsia="Arial" w:hAnsi="Arial"/>
          <w:sz w:val="18"/>
          <w:szCs w:val="18"/>
          <w:b w:val="1"/>
          <w:bCs w:val="1"/>
          <w:color w:val="auto"/>
        </w:rPr>
        <w:t>20-5951150</w:t>
      </w:r>
    </w:p>
    <w:p>
      <w:pPr>
        <w:spacing w:after="0" w:line="27" w:lineRule="exact"/>
        <w:rPr>
          <w:sz w:val="24"/>
          <w:szCs w:val="24"/>
          <w:color w:val="auto"/>
        </w:rPr>
      </w:pPr>
    </w:p>
    <w:p>
      <w:pPr>
        <w:jc w:val="center"/>
        <w:ind w:right="190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900"/>
        <w:spacing w:after="0"/>
        <w:rPr>
          <w:sz w:val="20"/>
          <w:szCs w:val="20"/>
          <w:color w:val="auto"/>
        </w:rPr>
      </w:pPr>
      <w:r>
        <w:rPr>
          <w:rFonts w:ascii="Arial" w:cs="Arial" w:eastAsia="Arial" w:hAnsi="Arial"/>
          <w:sz w:val="16"/>
          <w:szCs w:val="16"/>
          <w:b w:val="1"/>
          <w:bCs w:val="1"/>
          <w:color w:val="auto"/>
        </w:rPr>
        <w:t>Identification Number)</w:t>
      </w:r>
    </w:p>
    <w:p>
      <w:pPr>
        <w:spacing w:after="0" w:line="200" w:lineRule="exact"/>
        <w:rPr>
          <w:sz w:val="24"/>
          <w:szCs w:val="24"/>
          <w:color w:val="auto"/>
        </w:rPr>
      </w:pPr>
    </w:p>
    <w:p>
      <w:pPr>
        <w:sectPr>
          <w:pgSz w:w="11900" w:h="16838" w:orient="portrait"/>
          <w:cols w:equalWidth="0" w:num="2">
            <w:col w:w="7020" w:space="720"/>
            <w:col w:w="3680"/>
          </w:cols>
          <w:pgMar w:left="240" w:top="868"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295 Madison Avenue, 6th Floor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1420"/>
          </w:cols>
          <w:pgMar w:left="240" w:top="868" w:right="239" w:bottom="1440" w:gutter="0" w:footer="0" w:header="0"/>
          <w:type w:val="continuous"/>
        </w:sectPr>
      </w:pPr>
    </w:p>
    <w:p>
      <w:pPr>
        <w:spacing w:after="0" w:line="200" w:lineRule="exact"/>
        <w:rPr>
          <w:sz w:val="24"/>
          <w:szCs w:val="24"/>
          <w:color w:val="auto"/>
        </w:rPr>
      </w:pP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(212) 455-8300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1" w:lineRule="exact"/>
        <w:rPr>
          <w:sz w:val="24"/>
          <w:szCs w:val="24"/>
          <w:color w:val="auto"/>
        </w:rPr>
      </w:pPr>
    </w:p>
    <w:p>
      <w:pPr>
        <w:ind w:right="10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6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81" w:lineRule="exact"/>
        <w:rPr>
          <w:sz w:val="24"/>
          <w:szCs w:val="24"/>
          <w:color w:val="auto"/>
        </w:rPr>
      </w:pPr>
    </w:p>
    <w:p>
      <w:pPr>
        <w:ind w:right="340" w:firstLine="324"/>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420"/>
          </w:cols>
          <w:pgMar w:left="240" w:top="868" w:right="239" w:bottom="1440" w:gutter="0" w:footer="0" w:header="0"/>
          <w:type w:val="continuous"/>
        </w:sectPr>
      </w:pPr>
    </w:p>
    <w:p>
      <w:pPr>
        <w:spacing w:after="0" w:line="170"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11" w:lineRule="exact"/>
        <w:rPr>
          <w:sz w:val="24"/>
          <w:szCs w:val="24"/>
          <w:color w:val="auto"/>
        </w:rPr>
      </w:pPr>
    </w:p>
    <w:p>
      <w:pPr>
        <w:sectPr>
          <w:pgSz w:w="11900" w:h="16838" w:orient="portrait"/>
          <w:cols w:equalWidth="0" w:num="4">
            <w:col w:w="1820" w:space="720"/>
            <w:col w:w="4740" w:space="720"/>
            <w:col w:w="2620" w:space="720"/>
            <w:col w:w="80"/>
          </w:cols>
          <w:pgMar w:left="240" w:top="868"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tabs>
          <w:tab w:leader="none" w:pos="320" w:val="left"/>
        </w:tabs>
        <w:rPr>
          <w:sz w:val="20"/>
          <w:szCs w:val="20"/>
          <w:color w:val="auto"/>
        </w:rPr>
      </w:pPr>
      <w:r>
        <w:rPr>
          <w:rFonts w:ascii="Arial" w:cs="Arial" w:eastAsia="Arial" w:hAnsi="Arial"/>
          <w:sz w:val="16"/>
          <w:szCs w:val="16"/>
          <w:color w:val="auto"/>
        </w:rPr>
        <w:t>o</w:t>
        <w:tab/>
        <w:t>(Do not check if a smaller reporting company)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22" w:lineRule="exact"/>
        <w:rPr>
          <w:sz w:val="24"/>
          <w:szCs w:val="24"/>
          <w:color w:val="auto"/>
        </w:rPr>
      </w:pPr>
    </w:p>
    <w:p>
      <w:pPr>
        <w:sectPr>
          <w:pgSz w:w="11900" w:h="16838" w:orient="portrait"/>
          <w:cols w:equalWidth="0" w:num="4">
            <w:col w:w="1820" w:space="720"/>
            <w:col w:w="4740" w:space="720"/>
            <w:col w:w="2620" w:space="720"/>
            <w:col w:w="80"/>
          </w:cols>
          <w:pgMar w:left="240" w:top="868" w:right="239" w:bottom="1440" w:gutter="0" w:footer="0" w:header="0"/>
          <w:type w:val="continuous"/>
        </w:sectPr>
      </w:pPr>
    </w:p>
    <w:p>
      <w:pPr>
        <w:spacing w:after="0" w:line="16"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Arial" w:cs="Arial" w:eastAsia="Arial" w:hAnsi="Arial"/>
          <w:sz w:val="16"/>
          <w:szCs w:val="16"/>
          <w:b w:val="1"/>
          <w:bCs w:val="1"/>
          <w:color w:val="auto"/>
        </w:rPr>
        <w:t>o No</w:t>
      </w:r>
      <w:r>
        <w:rPr>
          <w:rFonts w:ascii="Arial" w:cs="Arial" w:eastAsia="Arial" w:hAnsi="Arial"/>
          <w:sz w:val="16"/>
          <w:szCs w:val="16"/>
          <w:color w:val="auto"/>
        </w:rPr>
        <w:t xml:space="preserve"> </w:t>
      </w:r>
      <w:r>
        <w:rPr>
          <w:rFonts w:ascii="MS PGothic" w:cs="MS PGothic" w:eastAsia="MS PGothic" w:hAnsi="MS PGothic"/>
          <w:sz w:val="16"/>
          <w:szCs w:val="16"/>
          <w:color w:val="auto"/>
          <w:highlight w:val="black"/>
        </w:rPr>
        <w:t>☒</w:t>
      </w:r>
    </w:p>
    <w:p>
      <w:pPr>
        <w:spacing w:after="0" w:line="28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outstanding shares of common stock of the registrant as of May 3, 2013 was 33,038,573.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683895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20" w:type="dxa"/>
            <w:vAlign w:val="bottom"/>
            <w:gridSpan w:val="12"/>
          </w:tcPr>
          <w:p>
            <w:pPr>
              <w:ind w:left="4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60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56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6020" w:type="dxa"/>
            <w:vAlign w:val="bottom"/>
            <w:gridSpan w:val="12"/>
            <w:shd w:val="clear" w:color="auto" w:fill="CCFFCC"/>
          </w:tcPr>
          <w:p>
            <w:pPr>
              <w:jc w:val="center"/>
              <w:ind w:right="3780"/>
              <w:spacing w:after="0" w:line="176" w:lineRule="exact"/>
              <w:rPr>
                <w:sz w:val="20"/>
                <w:szCs w:val="20"/>
                <w:color w:val="auto"/>
              </w:rPr>
            </w:pPr>
            <w:r>
              <w:rPr>
                <w:rFonts w:ascii="Arial" w:cs="Arial" w:eastAsia="Arial" w:hAnsi="Arial"/>
                <w:sz w:val="18"/>
                <w:szCs w:val="18"/>
                <w:b w:val="1"/>
                <w:bCs w:val="1"/>
                <w:color w:val="auto"/>
                <w:w w:val="94"/>
              </w:rPr>
              <w:t>Part I. Financial Information</w:t>
            </w:r>
          </w:p>
        </w:tc>
        <w:tc>
          <w:tcPr>
            <w:tcW w:w="6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600" w:type="dxa"/>
            <w:vAlign w:val="bottom"/>
            <w:tcBorders>
              <w:top w:val="single" w:sz="8" w:color="CCFFCC"/>
            </w:tcBorders>
          </w:tcPr>
          <w:p>
            <w:pPr>
              <w:spacing w:after="0"/>
              <w:rPr>
                <w:sz w:val="18"/>
                <w:szCs w:val="18"/>
                <w:color w:val="auto"/>
              </w:rPr>
            </w:pPr>
          </w:p>
        </w:tc>
        <w:tc>
          <w:tcPr>
            <w:tcW w:w="32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560" w:type="dxa"/>
            <w:vAlign w:val="bottom"/>
            <w:tcBorders>
              <w:top w:val="single" w:sz="8" w:color="CCFFCC"/>
            </w:tcBorders>
          </w:tcPr>
          <w:p>
            <w:pPr>
              <w:spacing w:after="0"/>
              <w:rPr>
                <w:sz w:val="18"/>
                <w:szCs w:val="18"/>
                <w:color w:val="auto"/>
              </w:rPr>
            </w:pPr>
          </w:p>
        </w:tc>
        <w:tc>
          <w:tcPr>
            <w:tcW w:w="700" w:type="dxa"/>
            <w:vAlign w:val="bottom"/>
            <w:tcBorders>
              <w:top w:val="single" w:sz="8" w:color="CCFFCC"/>
            </w:tcBorders>
          </w:tcPr>
          <w:p>
            <w:pPr>
              <w:spacing w:after="0"/>
              <w:rPr>
                <w:sz w:val="18"/>
                <w:szCs w:val="18"/>
                <w:color w:val="auto"/>
              </w:rPr>
            </w:pPr>
          </w:p>
        </w:tc>
        <w:tc>
          <w:tcPr>
            <w:tcW w:w="640" w:type="dxa"/>
            <w:vAlign w:val="bottom"/>
            <w:tcBorders>
              <w:top w:val="single" w:sz="8" w:color="CCFFC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2280" w:type="dxa"/>
            <w:vAlign w:val="bottom"/>
            <w:tcBorders>
              <w:top w:val="single" w:sz="8" w:color="CCFFCC"/>
            </w:tcBorders>
          </w:tcPr>
          <w:p>
            <w:pPr>
              <w:spacing w:after="0"/>
              <w:rPr>
                <w:sz w:val="18"/>
                <w:szCs w:val="18"/>
                <w:color w:val="auto"/>
              </w:rPr>
            </w:pPr>
          </w:p>
        </w:tc>
        <w:tc>
          <w:tcPr>
            <w:tcW w:w="6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1.</w:t>
            </w:r>
          </w:p>
        </w:tc>
        <w:tc>
          <w:tcPr>
            <w:tcW w:w="9700" w:type="dxa"/>
            <w:vAlign w:val="bottom"/>
            <w:gridSpan w:val="21"/>
            <w:shd w:val="clear" w:color="auto" w:fill="CCFFCC"/>
          </w:tcPr>
          <w:p>
            <w:pPr>
              <w:spacing w:after="0" w:line="176" w:lineRule="exact"/>
              <w:rPr>
                <w:sz w:val="20"/>
                <w:szCs w:val="20"/>
                <w:color w:val="auto"/>
              </w:rPr>
            </w:pPr>
            <w:r>
              <w:rPr>
                <w:rFonts w:ascii="Arial" w:cs="Arial" w:eastAsia="Arial" w:hAnsi="Arial"/>
                <w:sz w:val="18"/>
                <w:szCs w:val="18"/>
                <w:color w:val="auto"/>
              </w:rPr>
              <w:t>Financial Statements</w:t>
            </w:r>
          </w:p>
        </w:tc>
        <w:tc>
          <w:tcPr>
            <w:tcW w:w="68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560" w:type="dxa"/>
            <w:vAlign w:val="bottom"/>
            <w:tcBorders>
              <w:top w:val="single" w:sz="8" w:color="CCFFCC"/>
            </w:tcBorders>
          </w:tcPr>
          <w:p>
            <w:pPr>
              <w:spacing w:after="0"/>
              <w:rPr>
                <w:sz w:val="18"/>
                <w:szCs w:val="18"/>
                <w:color w:val="auto"/>
              </w:rPr>
            </w:pPr>
          </w:p>
        </w:tc>
        <w:tc>
          <w:tcPr>
            <w:tcW w:w="700" w:type="dxa"/>
            <w:vAlign w:val="bottom"/>
            <w:tcBorders>
              <w:top w:val="single" w:sz="8" w:color="CCFFCC"/>
            </w:tcBorders>
          </w:tcPr>
          <w:p>
            <w:pPr>
              <w:spacing w:after="0"/>
              <w:rPr>
                <w:sz w:val="18"/>
                <w:szCs w:val="18"/>
                <w:color w:val="auto"/>
              </w:rPr>
            </w:pPr>
          </w:p>
        </w:tc>
        <w:tc>
          <w:tcPr>
            <w:tcW w:w="6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600" w:type="dxa"/>
            <w:vAlign w:val="bottom"/>
            <w:tcBorders>
              <w:top w:val="single" w:sz="8" w:color="CCFFCC"/>
            </w:tcBorders>
          </w:tcPr>
          <w:p>
            <w:pPr>
              <w:spacing w:after="0"/>
              <w:rPr>
                <w:sz w:val="18"/>
                <w:szCs w:val="18"/>
                <w:color w:val="auto"/>
              </w:rPr>
            </w:pPr>
          </w:p>
        </w:tc>
        <w:tc>
          <w:tcPr>
            <w:tcW w:w="960" w:type="dxa"/>
            <w:vAlign w:val="bottom"/>
            <w:tcBorders>
              <w:top w:val="single" w:sz="8" w:color="CCFFCC"/>
            </w:tcBorders>
          </w:tcPr>
          <w:p>
            <w:pPr>
              <w:spacing w:after="0"/>
              <w:rPr>
                <w:sz w:val="18"/>
                <w:szCs w:val="18"/>
                <w:color w:val="auto"/>
              </w:rPr>
            </w:pPr>
          </w:p>
        </w:tc>
        <w:tc>
          <w:tcPr>
            <w:tcW w:w="50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2280" w:type="dxa"/>
            <w:vAlign w:val="bottom"/>
            <w:tcBorders>
              <w:top w:val="single" w:sz="8" w:color="CCFFCC"/>
            </w:tcBorders>
          </w:tcPr>
          <w:p>
            <w:pPr>
              <w:spacing w:after="0"/>
              <w:rPr>
                <w:sz w:val="18"/>
                <w:szCs w:val="18"/>
                <w:color w:val="auto"/>
              </w:rPr>
            </w:pPr>
          </w:p>
        </w:tc>
        <w:tc>
          <w:tcPr>
            <w:tcW w:w="6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700" w:type="dxa"/>
            <w:vAlign w:val="bottom"/>
            <w:gridSpan w:val="21"/>
            <w:shd w:val="clear" w:color="auto" w:fill="CCFFCC"/>
          </w:tcPr>
          <w:p>
            <w:pPr>
              <w:spacing w:after="0" w:line="176" w:lineRule="exact"/>
              <w:rPr>
                <w:sz w:val="20"/>
                <w:szCs w:val="20"/>
                <w:color w:val="auto"/>
              </w:rPr>
            </w:pPr>
            <w:r>
              <w:rPr>
                <w:rFonts w:ascii="Arial" w:cs="Arial" w:eastAsia="Arial" w:hAnsi="Arial"/>
                <w:sz w:val="18"/>
                <w:szCs w:val="18"/>
                <w:color w:val="auto"/>
              </w:rPr>
              <w:t>Balance Sheets as of March 31, 2013 (unaudited) and December 31, 2012</w:t>
            </w:r>
          </w:p>
        </w:tc>
        <w:tc>
          <w:tcPr>
            <w:tcW w:w="68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0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2280" w:type="dxa"/>
            <w:vAlign w:val="bottom"/>
            <w:tcBorders>
              <w:top w:val="single" w:sz="8" w:color="CCFFCC"/>
            </w:tcBorders>
          </w:tcPr>
          <w:p>
            <w:pPr>
              <w:spacing w:after="0"/>
              <w:rPr>
                <w:sz w:val="18"/>
                <w:szCs w:val="18"/>
                <w:color w:val="auto"/>
              </w:rPr>
            </w:pPr>
          </w:p>
        </w:tc>
        <w:tc>
          <w:tcPr>
            <w:tcW w:w="6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700" w:type="dxa"/>
            <w:vAlign w:val="bottom"/>
            <w:gridSpan w:val="21"/>
            <w:shd w:val="clear" w:color="auto" w:fill="CCFFCC"/>
          </w:tcPr>
          <w:p>
            <w:pPr>
              <w:spacing w:after="0" w:line="176" w:lineRule="exact"/>
              <w:rPr>
                <w:sz w:val="20"/>
                <w:szCs w:val="20"/>
                <w:color w:val="auto"/>
              </w:rPr>
            </w:pPr>
            <w:r>
              <w:rPr>
                <w:rFonts w:ascii="Arial" w:cs="Arial" w:eastAsia="Arial" w:hAnsi="Arial"/>
                <w:sz w:val="18"/>
                <w:szCs w:val="18"/>
                <w:color w:val="auto"/>
              </w:rPr>
              <w:t>Statements of Operations (unaudited) for the three months ended March 31, 2013 and 2012</w:t>
            </w:r>
          </w:p>
        </w:tc>
        <w:tc>
          <w:tcPr>
            <w:tcW w:w="68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2280" w:type="dxa"/>
            <w:vAlign w:val="bottom"/>
            <w:tcBorders>
              <w:top w:val="single" w:sz="8" w:color="CCFFCC"/>
            </w:tcBorders>
          </w:tcPr>
          <w:p>
            <w:pPr>
              <w:spacing w:after="0"/>
              <w:rPr>
                <w:sz w:val="18"/>
                <w:szCs w:val="18"/>
                <w:color w:val="auto"/>
              </w:rPr>
            </w:pPr>
          </w:p>
        </w:tc>
        <w:tc>
          <w:tcPr>
            <w:tcW w:w="6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700" w:type="dxa"/>
            <w:vAlign w:val="bottom"/>
            <w:gridSpan w:val="21"/>
            <w:shd w:val="clear" w:color="auto" w:fill="CCFFCC"/>
          </w:tcPr>
          <w:p>
            <w:pPr>
              <w:spacing w:after="0" w:line="176" w:lineRule="exact"/>
              <w:rPr>
                <w:sz w:val="20"/>
                <w:szCs w:val="20"/>
                <w:color w:val="auto"/>
              </w:rPr>
            </w:pPr>
            <w:r>
              <w:rPr>
                <w:rFonts w:ascii="Arial" w:cs="Arial" w:eastAsia="Arial" w:hAnsi="Arial"/>
                <w:sz w:val="18"/>
                <w:szCs w:val="18"/>
                <w:color w:val="auto"/>
              </w:rPr>
              <w:t>Statements of Changes in Net Assets (unaudited) for the three months ended March 31, 2013 and 2012</w:t>
            </w:r>
          </w:p>
        </w:tc>
        <w:tc>
          <w:tcPr>
            <w:tcW w:w="68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80" w:type="dxa"/>
            <w:vAlign w:val="bottom"/>
            <w:tcBorders>
              <w:top w:val="single" w:sz="8" w:color="CCFFCC"/>
            </w:tcBorders>
          </w:tcPr>
          <w:p>
            <w:pPr>
              <w:spacing w:after="0"/>
              <w:rPr>
                <w:sz w:val="18"/>
                <w:szCs w:val="18"/>
                <w:color w:val="auto"/>
              </w:rPr>
            </w:pPr>
          </w:p>
        </w:tc>
        <w:tc>
          <w:tcPr>
            <w:tcW w:w="6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700" w:type="dxa"/>
            <w:vAlign w:val="bottom"/>
            <w:gridSpan w:val="21"/>
            <w:shd w:val="clear" w:color="auto" w:fill="CCFFCC"/>
          </w:tcPr>
          <w:p>
            <w:pPr>
              <w:spacing w:after="0" w:line="176" w:lineRule="exact"/>
              <w:rPr>
                <w:sz w:val="20"/>
                <w:szCs w:val="20"/>
                <w:color w:val="auto"/>
              </w:rPr>
            </w:pPr>
            <w:r>
              <w:rPr>
                <w:rFonts w:ascii="Arial" w:cs="Arial" w:eastAsia="Arial" w:hAnsi="Arial"/>
                <w:sz w:val="18"/>
                <w:szCs w:val="18"/>
                <w:color w:val="auto"/>
              </w:rPr>
              <w:t>Statements of Cash Flows (unaudited) for the three months ended March 31, 2013 and 2012</w:t>
            </w:r>
          </w:p>
        </w:tc>
        <w:tc>
          <w:tcPr>
            <w:tcW w:w="68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2280" w:type="dxa"/>
            <w:vAlign w:val="bottom"/>
            <w:tcBorders>
              <w:top w:val="single" w:sz="8" w:color="CCFFCC"/>
            </w:tcBorders>
          </w:tcPr>
          <w:p>
            <w:pPr>
              <w:spacing w:after="0"/>
              <w:rPr>
                <w:sz w:val="18"/>
                <w:szCs w:val="18"/>
                <w:color w:val="auto"/>
              </w:rPr>
            </w:pPr>
          </w:p>
        </w:tc>
        <w:tc>
          <w:tcPr>
            <w:tcW w:w="6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700" w:type="dxa"/>
            <w:vAlign w:val="bottom"/>
            <w:gridSpan w:val="21"/>
            <w:shd w:val="clear" w:color="auto" w:fill="CCFFCC"/>
          </w:tcPr>
          <w:p>
            <w:pPr>
              <w:spacing w:after="0" w:line="176" w:lineRule="exact"/>
              <w:rPr>
                <w:sz w:val="20"/>
                <w:szCs w:val="20"/>
                <w:color w:val="auto"/>
              </w:rPr>
            </w:pPr>
            <w:r>
              <w:rPr>
                <w:rFonts w:ascii="Arial" w:cs="Arial" w:eastAsia="Arial" w:hAnsi="Arial"/>
                <w:sz w:val="18"/>
                <w:szCs w:val="18"/>
                <w:color w:val="auto"/>
              </w:rPr>
              <w:t>Schedules of Investments as of March 31, 2013 (unaudited) and December 31, 2012</w:t>
            </w:r>
          </w:p>
        </w:tc>
        <w:tc>
          <w:tcPr>
            <w:tcW w:w="68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2280" w:type="dxa"/>
            <w:vAlign w:val="bottom"/>
            <w:tcBorders>
              <w:top w:val="single" w:sz="8" w:color="CCFFCC"/>
            </w:tcBorders>
          </w:tcPr>
          <w:p>
            <w:pPr>
              <w:spacing w:after="0"/>
              <w:rPr>
                <w:sz w:val="18"/>
                <w:szCs w:val="18"/>
                <w:color w:val="auto"/>
              </w:rPr>
            </w:pPr>
          </w:p>
        </w:tc>
        <w:tc>
          <w:tcPr>
            <w:tcW w:w="6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700" w:type="dxa"/>
            <w:vAlign w:val="bottom"/>
            <w:gridSpan w:val="21"/>
            <w:shd w:val="clear" w:color="auto" w:fill="CCFFCC"/>
          </w:tcPr>
          <w:p>
            <w:pPr>
              <w:spacing w:after="0" w:line="176" w:lineRule="exact"/>
              <w:rPr>
                <w:sz w:val="20"/>
                <w:szCs w:val="20"/>
                <w:color w:val="auto"/>
              </w:rPr>
            </w:pPr>
            <w:r>
              <w:rPr>
                <w:rFonts w:ascii="Arial" w:cs="Arial" w:eastAsia="Arial" w:hAnsi="Arial"/>
                <w:sz w:val="18"/>
                <w:szCs w:val="18"/>
                <w:color w:val="auto"/>
              </w:rPr>
              <w:t>Financial Highlights (unaudited) for the three months ended March 31, 2013 and 2012</w:t>
            </w:r>
          </w:p>
        </w:tc>
        <w:tc>
          <w:tcPr>
            <w:tcW w:w="68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2280" w:type="dxa"/>
            <w:vAlign w:val="bottom"/>
            <w:tcBorders>
              <w:top w:val="single" w:sz="8" w:color="CCFFCC"/>
            </w:tcBorders>
          </w:tcPr>
          <w:p>
            <w:pPr>
              <w:spacing w:after="0"/>
              <w:rPr>
                <w:sz w:val="18"/>
                <w:szCs w:val="18"/>
                <w:color w:val="auto"/>
              </w:rPr>
            </w:pPr>
          </w:p>
        </w:tc>
        <w:tc>
          <w:tcPr>
            <w:tcW w:w="6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700" w:type="dxa"/>
            <w:vAlign w:val="bottom"/>
            <w:gridSpan w:val="21"/>
            <w:shd w:val="clear" w:color="auto" w:fill="CCFFCC"/>
          </w:tcPr>
          <w:p>
            <w:pPr>
              <w:spacing w:after="0" w:line="176" w:lineRule="exact"/>
              <w:rPr>
                <w:sz w:val="20"/>
                <w:szCs w:val="20"/>
                <w:color w:val="auto"/>
              </w:rPr>
            </w:pPr>
            <w:r>
              <w:rPr>
                <w:rFonts w:ascii="Arial" w:cs="Arial" w:eastAsia="Arial" w:hAnsi="Arial"/>
                <w:sz w:val="18"/>
                <w:szCs w:val="18"/>
                <w:color w:val="auto"/>
              </w:rPr>
              <w:t>Notes to Financial Statements (unaudited)</w:t>
            </w:r>
          </w:p>
        </w:tc>
        <w:tc>
          <w:tcPr>
            <w:tcW w:w="68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600" w:type="dxa"/>
            <w:vAlign w:val="bottom"/>
            <w:tcBorders>
              <w:top w:val="single" w:sz="8" w:color="CCFFCC"/>
            </w:tcBorders>
          </w:tcPr>
          <w:p>
            <w:pPr>
              <w:spacing w:after="0"/>
              <w:rPr>
                <w:sz w:val="18"/>
                <w:szCs w:val="18"/>
                <w:color w:val="auto"/>
              </w:rPr>
            </w:pPr>
          </w:p>
        </w:tc>
        <w:tc>
          <w:tcPr>
            <w:tcW w:w="960" w:type="dxa"/>
            <w:vAlign w:val="bottom"/>
            <w:tcBorders>
              <w:top w:val="single" w:sz="8" w:color="CCFFCC"/>
            </w:tcBorders>
          </w:tcPr>
          <w:p>
            <w:pPr>
              <w:spacing w:after="0"/>
              <w:rPr>
                <w:sz w:val="18"/>
                <w:szCs w:val="18"/>
                <w:color w:val="auto"/>
              </w:rPr>
            </w:pPr>
          </w:p>
        </w:tc>
        <w:tc>
          <w:tcPr>
            <w:tcW w:w="50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2280" w:type="dxa"/>
            <w:vAlign w:val="bottom"/>
            <w:tcBorders>
              <w:top w:val="single" w:sz="8" w:color="CCFFCC"/>
            </w:tcBorders>
          </w:tcPr>
          <w:p>
            <w:pPr>
              <w:spacing w:after="0"/>
              <w:rPr>
                <w:sz w:val="18"/>
                <w:szCs w:val="18"/>
                <w:color w:val="auto"/>
              </w:rPr>
            </w:pPr>
          </w:p>
        </w:tc>
        <w:tc>
          <w:tcPr>
            <w:tcW w:w="6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2.</w:t>
            </w:r>
          </w:p>
        </w:tc>
        <w:tc>
          <w:tcPr>
            <w:tcW w:w="9700" w:type="dxa"/>
            <w:vAlign w:val="bottom"/>
            <w:gridSpan w:val="21"/>
            <w:shd w:val="clear" w:color="auto" w:fill="CCFFCC"/>
          </w:tcPr>
          <w:p>
            <w:pPr>
              <w:spacing w:after="0" w:line="176"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8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2280" w:type="dxa"/>
            <w:vAlign w:val="bottom"/>
            <w:tcBorders>
              <w:top w:val="single" w:sz="8" w:color="CCFFCC"/>
            </w:tcBorders>
          </w:tcPr>
          <w:p>
            <w:pPr>
              <w:spacing w:after="0"/>
              <w:rPr>
                <w:sz w:val="18"/>
                <w:szCs w:val="18"/>
                <w:color w:val="auto"/>
              </w:rPr>
            </w:pPr>
          </w:p>
        </w:tc>
        <w:tc>
          <w:tcPr>
            <w:tcW w:w="6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3.</w:t>
            </w:r>
          </w:p>
        </w:tc>
        <w:tc>
          <w:tcPr>
            <w:tcW w:w="9700" w:type="dxa"/>
            <w:vAlign w:val="bottom"/>
            <w:gridSpan w:val="21"/>
            <w:shd w:val="clear" w:color="auto" w:fill="CCFFCC"/>
          </w:tcPr>
          <w:p>
            <w:pPr>
              <w:spacing w:after="0" w:line="176" w:lineRule="exact"/>
              <w:rPr>
                <w:sz w:val="20"/>
                <w:szCs w:val="20"/>
                <w:color w:val="auto"/>
              </w:rPr>
            </w:pPr>
            <w:r>
              <w:rPr>
                <w:rFonts w:ascii="Arial" w:cs="Arial" w:eastAsia="Arial" w:hAnsi="Arial"/>
                <w:sz w:val="18"/>
                <w:szCs w:val="18"/>
                <w:color w:val="auto"/>
              </w:rPr>
              <w:t>Quantitative and Qualitative Disclosures About Market Risk</w:t>
            </w:r>
          </w:p>
        </w:tc>
        <w:tc>
          <w:tcPr>
            <w:tcW w:w="68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60" w:type="dxa"/>
            <w:vAlign w:val="bottom"/>
            <w:tcBorders>
              <w:top w:val="single" w:sz="8" w:color="CCFFCC"/>
            </w:tcBorders>
          </w:tcPr>
          <w:p>
            <w:pPr>
              <w:spacing w:after="0"/>
              <w:rPr>
                <w:sz w:val="18"/>
                <w:szCs w:val="18"/>
                <w:color w:val="auto"/>
              </w:rPr>
            </w:pPr>
          </w:p>
        </w:tc>
        <w:tc>
          <w:tcPr>
            <w:tcW w:w="50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2280" w:type="dxa"/>
            <w:vAlign w:val="bottom"/>
            <w:tcBorders>
              <w:top w:val="single" w:sz="8" w:color="CCFFCC"/>
            </w:tcBorders>
          </w:tcPr>
          <w:p>
            <w:pPr>
              <w:spacing w:after="0"/>
              <w:rPr>
                <w:sz w:val="18"/>
                <w:szCs w:val="18"/>
                <w:color w:val="auto"/>
              </w:rPr>
            </w:pPr>
          </w:p>
        </w:tc>
        <w:tc>
          <w:tcPr>
            <w:tcW w:w="6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4.</w:t>
            </w:r>
          </w:p>
        </w:tc>
        <w:tc>
          <w:tcPr>
            <w:tcW w:w="9700" w:type="dxa"/>
            <w:vAlign w:val="bottom"/>
            <w:gridSpan w:val="21"/>
            <w:shd w:val="clear" w:color="auto" w:fill="CCFFCC"/>
          </w:tcPr>
          <w:p>
            <w:pPr>
              <w:spacing w:after="0" w:line="176" w:lineRule="exact"/>
              <w:rPr>
                <w:sz w:val="20"/>
                <w:szCs w:val="20"/>
                <w:color w:val="auto"/>
              </w:rPr>
            </w:pPr>
            <w:r>
              <w:rPr>
                <w:rFonts w:ascii="Arial" w:cs="Arial" w:eastAsia="Arial" w:hAnsi="Arial"/>
                <w:sz w:val="18"/>
                <w:szCs w:val="18"/>
                <w:color w:val="auto"/>
              </w:rPr>
              <w:t>Controls and Procedures</w:t>
            </w:r>
          </w:p>
        </w:tc>
        <w:tc>
          <w:tcPr>
            <w:tcW w:w="68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CCFFCC"/>
            </w:tcBorders>
          </w:tcPr>
          <w:p>
            <w:pPr>
              <w:spacing w:after="0"/>
              <w:rPr>
                <w:sz w:val="18"/>
                <w:szCs w:val="18"/>
                <w:color w:val="auto"/>
              </w:rPr>
            </w:pPr>
          </w:p>
        </w:tc>
        <w:tc>
          <w:tcPr>
            <w:tcW w:w="700" w:type="dxa"/>
            <w:vAlign w:val="bottom"/>
            <w:tcBorders>
              <w:top w:val="single" w:sz="8" w:color="CCFFCC"/>
            </w:tcBorders>
          </w:tcPr>
          <w:p>
            <w:pPr>
              <w:spacing w:after="0"/>
              <w:rPr>
                <w:sz w:val="18"/>
                <w:szCs w:val="18"/>
                <w:color w:val="auto"/>
              </w:rPr>
            </w:pPr>
          </w:p>
        </w:tc>
        <w:tc>
          <w:tcPr>
            <w:tcW w:w="6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600" w:type="dxa"/>
            <w:vAlign w:val="bottom"/>
            <w:tcBorders>
              <w:top w:val="single" w:sz="8" w:color="CCFFCC"/>
            </w:tcBorders>
          </w:tcPr>
          <w:p>
            <w:pPr>
              <w:spacing w:after="0"/>
              <w:rPr>
                <w:sz w:val="18"/>
                <w:szCs w:val="18"/>
                <w:color w:val="auto"/>
              </w:rPr>
            </w:pPr>
          </w:p>
        </w:tc>
        <w:tc>
          <w:tcPr>
            <w:tcW w:w="960" w:type="dxa"/>
            <w:vAlign w:val="bottom"/>
            <w:tcBorders>
              <w:top w:val="single" w:sz="8" w:color="CCFFCC"/>
            </w:tcBorders>
          </w:tcPr>
          <w:p>
            <w:pPr>
              <w:spacing w:after="0"/>
              <w:rPr>
                <w:sz w:val="18"/>
                <w:szCs w:val="18"/>
                <w:color w:val="auto"/>
              </w:rPr>
            </w:pPr>
          </w:p>
        </w:tc>
        <w:tc>
          <w:tcPr>
            <w:tcW w:w="50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2280" w:type="dxa"/>
            <w:vAlign w:val="bottom"/>
            <w:tcBorders>
              <w:top w:val="single" w:sz="8" w:color="CCFFCC"/>
            </w:tcBorders>
          </w:tcPr>
          <w:p>
            <w:pPr>
              <w:spacing w:after="0"/>
              <w:rPr>
                <w:sz w:val="18"/>
                <w:szCs w:val="18"/>
                <w:color w:val="auto"/>
              </w:rPr>
            </w:pPr>
          </w:p>
        </w:tc>
        <w:tc>
          <w:tcPr>
            <w:tcW w:w="6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60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56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5940" w:type="dxa"/>
            <w:vAlign w:val="bottom"/>
            <w:gridSpan w:val="11"/>
            <w:shd w:val="clear" w:color="auto" w:fill="CCFFCC"/>
          </w:tcPr>
          <w:p>
            <w:pPr>
              <w:jc w:val="center"/>
              <w:ind w:right="3880"/>
              <w:spacing w:after="0" w:line="176" w:lineRule="exact"/>
              <w:rPr>
                <w:sz w:val="20"/>
                <w:szCs w:val="20"/>
                <w:color w:val="auto"/>
              </w:rPr>
            </w:pPr>
            <w:r>
              <w:rPr>
                <w:rFonts w:ascii="Arial" w:cs="Arial" w:eastAsia="Arial" w:hAnsi="Arial"/>
                <w:sz w:val="18"/>
                <w:szCs w:val="18"/>
                <w:b w:val="1"/>
                <w:bCs w:val="1"/>
                <w:color w:val="auto"/>
                <w:w w:val="97"/>
              </w:rPr>
              <w:t>Part II. Other Information</w:t>
            </w:r>
          </w:p>
        </w:tc>
        <w:tc>
          <w:tcPr>
            <w:tcW w:w="6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600" w:type="dxa"/>
            <w:vAlign w:val="bottom"/>
            <w:tcBorders>
              <w:top w:val="single" w:sz="8" w:color="CCFFCC"/>
            </w:tcBorders>
          </w:tcPr>
          <w:p>
            <w:pPr>
              <w:spacing w:after="0"/>
              <w:rPr>
                <w:sz w:val="18"/>
                <w:szCs w:val="18"/>
                <w:color w:val="auto"/>
              </w:rPr>
            </w:pPr>
          </w:p>
        </w:tc>
        <w:tc>
          <w:tcPr>
            <w:tcW w:w="32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560" w:type="dxa"/>
            <w:vAlign w:val="bottom"/>
            <w:tcBorders>
              <w:top w:val="single" w:sz="8" w:color="CCFFCC"/>
            </w:tcBorders>
          </w:tcPr>
          <w:p>
            <w:pPr>
              <w:spacing w:after="0"/>
              <w:rPr>
                <w:sz w:val="18"/>
                <w:szCs w:val="18"/>
                <w:color w:val="auto"/>
              </w:rPr>
            </w:pPr>
          </w:p>
        </w:tc>
        <w:tc>
          <w:tcPr>
            <w:tcW w:w="700" w:type="dxa"/>
            <w:vAlign w:val="bottom"/>
            <w:tcBorders>
              <w:top w:val="single" w:sz="8" w:color="CCFFCC"/>
            </w:tcBorders>
          </w:tcPr>
          <w:p>
            <w:pPr>
              <w:spacing w:after="0"/>
              <w:rPr>
                <w:sz w:val="18"/>
                <w:szCs w:val="18"/>
                <w:color w:val="auto"/>
              </w:rPr>
            </w:pPr>
          </w:p>
        </w:tc>
        <w:tc>
          <w:tcPr>
            <w:tcW w:w="6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2280" w:type="dxa"/>
            <w:vAlign w:val="bottom"/>
            <w:tcBorders>
              <w:top w:val="single" w:sz="8" w:color="CCFFCC"/>
            </w:tcBorders>
          </w:tcPr>
          <w:p>
            <w:pPr>
              <w:spacing w:after="0"/>
              <w:rPr>
                <w:sz w:val="18"/>
                <w:szCs w:val="18"/>
                <w:color w:val="auto"/>
              </w:rPr>
            </w:pPr>
          </w:p>
        </w:tc>
        <w:tc>
          <w:tcPr>
            <w:tcW w:w="6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1.</w:t>
            </w:r>
          </w:p>
        </w:tc>
        <w:tc>
          <w:tcPr>
            <w:tcW w:w="9700" w:type="dxa"/>
            <w:vAlign w:val="bottom"/>
            <w:gridSpan w:val="21"/>
            <w:shd w:val="clear" w:color="auto" w:fill="CCFFCC"/>
          </w:tcPr>
          <w:p>
            <w:pPr>
              <w:spacing w:after="0" w:line="176" w:lineRule="exact"/>
              <w:rPr>
                <w:sz w:val="20"/>
                <w:szCs w:val="20"/>
                <w:color w:val="auto"/>
              </w:rPr>
            </w:pPr>
            <w:r>
              <w:rPr>
                <w:rFonts w:ascii="Arial" w:cs="Arial" w:eastAsia="Arial" w:hAnsi="Arial"/>
                <w:sz w:val="18"/>
                <w:szCs w:val="18"/>
                <w:color w:val="auto"/>
              </w:rPr>
              <w:t>Legal Proceedings</w:t>
            </w:r>
          </w:p>
        </w:tc>
        <w:tc>
          <w:tcPr>
            <w:tcW w:w="68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560" w:type="dxa"/>
            <w:vAlign w:val="bottom"/>
            <w:tcBorders>
              <w:top w:val="single" w:sz="8" w:color="CCFFCC"/>
            </w:tcBorders>
          </w:tcPr>
          <w:p>
            <w:pPr>
              <w:spacing w:after="0"/>
              <w:rPr>
                <w:sz w:val="18"/>
                <w:szCs w:val="18"/>
                <w:color w:val="auto"/>
              </w:rPr>
            </w:pPr>
          </w:p>
        </w:tc>
        <w:tc>
          <w:tcPr>
            <w:tcW w:w="700" w:type="dxa"/>
            <w:vAlign w:val="bottom"/>
            <w:tcBorders>
              <w:top w:val="single" w:sz="8" w:color="CCFFCC"/>
            </w:tcBorders>
          </w:tcPr>
          <w:p>
            <w:pPr>
              <w:spacing w:after="0"/>
              <w:rPr>
                <w:sz w:val="18"/>
                <w:szCs w:val="18"/>
                <w:color w:val="auto"/>
              </w:rPr>
            </w:pPr>
          </w:p>
        </w:tc>
        <w:tc>
          <w:tcPr>
            <w:tcW w:w="6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600" w:type="dxa"/>
            <w:vAlign w:val="bottom"/>
            <w:tcBorders>
              <w:top w:val="single" w:sz="8" w:color="CCFFCC"/>
            </w:tcBorders>
          </w:tcPr>
          <w:p>
            <w:pPr>
              <w:spacing w:after="0"/>
              <w:rPr>
                <w:sz w:val="18"/>
                <w:szCs w:val="18"/>
                <w:color w:val="auto"/>
              </w:rPr>
            </w:pPr>
          </w:p>
        </w:tc>
        <w:tc>
          <w:tcPr>
            <w:tcW w:w="960" w:type="dxa"/>
            <w:vAlign w:val="bottom"/>
            <w:tcBorders>
              <w:top w:val="single" w:sz="8" w:color="CCFFCC"/>
            </w:tcBorders>
          </w:tcPr>
          <w:p>
            <w:pPr>
              <w:spacing w:after="0"/>
              <w:rPr>
                <w:sz w:val="18"/>
                <w:szCs w:val="18"/>
                <w:color w:val="auto"/>
              </w:rPr>
            </w:pPr>
          </w:p>
        </w:tc>
        <w:tc>
          <w:tcPr>
            <w:tcW w:w="50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2280" w:type="dxa"/>
            <w:vAlign w:val="bottom"/>
            <w:tcBorders>
              <w:top w:val="single" w:sz="8" w:color="CCFFCC"/>
            </w:tcBorders>
          </w:tcPr>
          <w:p>
            <w:pPr>
              <w:spacing w:after="0"/>
              <w:rPr>
                <w:sz w:val="18"/>
                <w:szCs w:val="18"/>
                <w:color w:val="auto"/>
              </w:rPr>
            </w:pPr>
          </w:p>
        </w:tc>
        <w:tc>
          <w:tcPr>
            <w:tcW w:w="6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1A.</w:t>
            </w:r>
          </w:p>
        </w:tc>
        <w:tc>
          <w:tcPr>
            <w:tcW w:w="9700" w:type="dxa"/>
            <w:vAlign w:val="bottom"/>
            <w:gridSpan w:val="21"/>
            <w:shd w:val="clear" w:color="auto" w:fill="CCFFCC"/>
          </w:tcPr>
          <w:p>
            <w:pPr>
              <w:spacing w:after="0" w:line="176" w:lineRule="exact"/>
              <w:rPr>
                <w:sz w:val="20"/>
                <w:szCs w:val="20"/>
                <w:color w:val="auto"/>
              </w:rPr>
            </w:pPr>
            <w:r>
              <w:rPr>
                <w:rFonts w:ascii="Arial" w:cs="Arial" w:eastAsia="Arial" w:hAnsi="Arial"/>
                <w:sz w:val="18"/>
                <w:szCs w:val="18"/>
                <w:color w:val="auto"/>
              </w:rPr>
              <w:t>Risk Factors</w:t>
            </w:r>
          </w:p>
        </w:tc>
        <w:tc>
          <w:tcPr>
            <w:tcW w:w="68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560" w:type="dxa"/>
            <w:vAlign w:val="bottom"/>
            <w:tcBorders>
              <w:top w:val="single" w:sz="8" w:color="CCFFCC"/>
            </w:tcBorders>
          </w:tcPr>
          <w:p>
            <w:pPr>
              <w:spacing w:after="0"/>
              <w:rPr>
                <w:sz w:val="18"/>
                <w:szCs w:val="18"/>
                <w:color w:val="auto"/>
              </w:rPr>
            </w:pPr>
          </w:p>
        </w:tc>
        <w:tc>
          <w:tcPr>
            <w:tcW w:w="700" w:type="dxa"/>
            <w:vAlign w:val="bottom"/>
            <w:tcBorders>
              <w:top w:val="single" w:sz="8" w:color="CCFFCC"/>
            </w:tcBorders>
          </w:tcPr>
          <w:p>
            <w:pPr>
              <w:spacing w:after="0"/>
              <w:rPr>
                <w:sz w:val="18"/>
                <w:szCs w:val="18"/>
                <w:color w:val="auto"/>
              </w:rPr>
            </w:pPr>
          </w:p>
        </w:tc>
        <w:tc>
          <w:tcPr>
            <w:tcW w:w="6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600" w:type="dxa"/>
            <w:vAlign w:val="bottom"/>
            <w:tcBorders>
              <w:top w:val="single" w:sz="8" w:color="CCFFCC"/>
            </w:tcBorders>
          </w:tcPr>
          <w:p>
            <w:pPr>
              <w:spacing w:after="0"/>
              <w:rPr>
                <w:sz w:val="18"/>
                <w:szCs w:val="18"/>
                <w:color w:val="auto"/>
              </w:rPr>
            </w:pPr>
          </w:p>
        </w:tc>
        <w:tc>
          <w:tcPr>
            <w:tcW w:w="960" w:type="dxa"/>
            <w:vAlign w:val="bottom"/>
            <w:tcBorders>
              <w:top w:val="single" w:sz="8" w:color="CCFFCC"/>
            </w:tcBorders>
          </w:tcPr>
          <w:p>
            <w:pPr>
              <w:spacing w:after="0"/>
              <w:rPr>
                <w:sz w:val="18"/>
                <w:szCs w:val="18"/>
                <w:color w:val="auto"/>
              </w:rPr>
            </w:pPr>
          </w:p>
        </w:tc>
        <w:tc>
          <w:tcPr>
            <w:tcW w:w="50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2280" w:type="dxa"/>
            <w:vAlign w:val="bottom"/>
            <w:tcBorders>
              <w:top w:val="single" w:sz="8" w:color="CCFFCC"/>
            </w:tcBorders>
          </w:tcPr>
          <w:p>
            <w:pPr>
              <w:spacing w:after="0"/>
              <w:rPr>
                <w:sz w:val="18"/>
                <w:szCs w:val="18"/>
                <w:color w:val="auto"/>
              </w:rPr>
            </w:pPr>
          </w:p>
        </w:tc>
        <w:tc>
          <w:tcPr>
            <w:tcW w:w="6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2.</w:t>
            </w:r>
          </w:p>
        </w:tc>
        <w:tc>
          <w:tcPr>
            <w:tcW w:w="9700" w:type="dxa"/>
            <w:vAlign w:val="bottom"/>
            <w:gridSpan w:val="21"/>
            <w:shd w:val="clear" w:color="auto" w:fill="CCFFCC"/>
          </w:tcPr>
          <w:p>
            <w:pPr>
              <w:spacing w:after="0" w:line="176" w:lineRule="exact"/>
              <w:rPr>
                <w:sz w:val="20"/>
                <w:szCs w:val="20"/>
                <w:color w:val="auto"/>
              </w:rPr>
            </w:pPr>
            <w:r>
              <w:rPr>
                <w:rFonts w:ascii="Arial" w:cs="Arial" w:eastAsia="Arial" w:hAnsi="Arial"/>
                <w:sz w:val="18"/>
                <w:szCs w:val="18"/>
                <w:color w:val="auto"/>
              </w:rPr>
              <w:t>Unregistered Sales of Equity Securities and Use of Proceeds</w:t>
            </w:r>
          </w:p>
        </w:tc>
        <w:tc>
          <w:tcPr>
            <w:tcW w:w="68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60" w:type="dxa"/>
            <w:vAlign w:val="bottom"/>
            <w:tcBorders>
              <w:top w:val="single" w:sz="8" w:color="CCFFCC"/>
            </w:tcBorders>
          </w:tcPr>
          <w:p>
            <w:pPr>
              <w:spacing w:after="0"/>
              <w:rPr>
                <w:sz w:val="18"/>
                <w:szCs w:val="18"/>
                <w:color w:val="auto"/>
              </w:rPr>
            </w:pPr>
          </w:p>
        </w:tc>
        <w:tc>
          <w:tcPr>
            <w:tcW w:w="50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2280" w:type="dxa"/>
            <w:vAlign w:val="bottom"/>
            <w:tcBorders>
              <w:top w:val="single" w:sz="8" w:color="CCFFCC"/>
            </w:tcBorders>
          </w:tcPr>
          <w:p>
            <w:pPr>
              <w:spacing w:after="0"/>
              <w:rPr>
                <w:sz w:val="18"/>
                <w:szCs w:val="18"/>
                <w:color w:val="auto"/>
              </w:rPr>
            </w:pPr>
          </w:p>
        </w:tc>
        <w:tc>
          <w:tcPr>
            <w:tcW w:w="6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3.</w:t>
            </w:r>
          </w:p>
        </w:tc>
        <w:tc>
          <w:tcPr>
            <w:tcW w:w="9700" w:type="dxa"/>
            <w:vAlign w:val="bottom"/>
            <w:gridSpan w:val="21"/>
            <w:shd w:val="clear" w:color="auto" w:fill="CCFFCC"/>
          </w:tcPr>
          <w:p>
            <w:pPr>
              <w:spacing w:after="0" w:line="176" w:lineRule="exact"/>
              <w:rPr>
                <w:sz w:val="20"/>
                <w:szCs w:val="20"/>
                <w:color w:val="auto"/>
              </w:rPr>
            </w:pPr>
            <w:r>
              <w:rPr>
                <w:rFonts w:ascii="Arial" w:cs="Arial" w:eastAsia="Arial" w:hAnsi="Arial"/>
                <w:sz w:val="18"/>
                <w:szCs w:val="18"/>
                <w:color w:val="auto"/>
              </w:rPr>
              <w:t>Defaults Upon Senior Securities</w:t>
            </w:r>
          </w:p>
        </w:tc>
        <w:tc>
          <w:tcPr>
            <w:tcW w:w="68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700" w:type="dxa"/>
            <w:vAlign w:val="bottom"/>
            <w:tcBorders>
              <w:top w:val="single" w:sz="8" w:color="CCFFCC"/>
            </w:tcBorders>
          </w:tcPr>
          <w:p>
            <w:pPr>
              <w:spacing w:after="0"/>
              <w:rPr>
                <w:sz w:val="18"/>
                <w:szCs w:val="18"/>
                <w:color w:val="auto"/>
              </w:rPr>
            </w:pPr>
          </w:p>
        </w:tc>
        <w:tc>
          <w:tcPr>
            <w:tcW w:w="6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600" w:type="dxa"/>
            <w:vAlign w:val="bottom"/>
            <w:tcBorders>
              <w:top w:val="single" w:sz="8" w:color="CCFFCC"/>
            </w:tcBorders>
          </w:tcPr>
          <w:p>
            <w:pPr>
              <w:spacing w:after="0"/>
              <w:rPr>
                <w:sz w:val="18"/>
                <w:szCs w:val="18"/>
                <w:color w:val="auto"/>
              </w:rPr>
            </w:pPr>
          </w:p>
        </w:tc>
        <w:tc>
          <w:tcPr>
            <w:tcW w:w="960" w:type="dxa"/>
            <w:vAlign w:val="bottom"/>
            <w:tcBorders>
              <w:top w:val="single" w:sz="8" w:color="CCFFCC"/>
            </w:tcBorders>
          </w:tcPr>
          <w:p>
            <w:pPr>
              <w:spacing w:after="0"/>
              <w:rPr>
                <w:sz w:val="18"/>
                <w:szCs w:val="18"/>
                <w:color w:val="auto"/>
              </w:rPr>
            </w:pPr>
          </w:p>
        </w:tc>
        <w:tc>
          <w:tcPr>
            <w:tcW w:w="50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2280" w:type="dxa"/>
            <w:vAlign w:val="bottom"/>
            <w:tcBorders>
              <w:top w:val="single" w:sz="8" w:color="CCFFCC"/>
            </w:tcBorders>
          </w:tcPr>
          <w:p>
            <w:pPr>
              <w:spacing w:after="0"/>
              <w:rPr>
                <w:sz w:val="18"/>
                <w:szCs w:val="18"/>
                <w:color w:val="auto"/>
              </w:rPr>
            </w:pPr>
          </w:p>
        </w:tc>
        <w:tc>
          <w:tcPr>
            <w:tcW w:w="6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4.</w:t>
            </w:r>
          </w:p>
        </w:tc>
        <w:tc>
          <w:tcPr>
            <w:tcW w:w="9700" w:type="dxa"/>
            <w:vAlign w:val="bottom"/>
            <w:gridSpan w:val="21"/>
            <w:shd w:val="clear" w:color="auto" w:fill="CCFFCC"/>
          </w:tcPr>
          <w:p>
            <w:pPr>
              <w:spacing w:after="0" w:line="176" w:lineRule="exact"/>
              <w:rPr>
                <w:sz w:val="20"/>
                <w:szCs w:val="20"/>
                <w:color w:val="auto"/>
              </w:rPr>
            </w:pPr>
            <w:r>
              <w:rPr>
                <w:rFonts w:ascii="Arial" w:cs="Arial" w:eastAsia="Arial" w:hAnsi="Arial"/>
                <w:sz w:val="18"/>
                <w:szCs w:val="18"/>
                <w:color w:val="auto"/>
              </w:rPr>
              <w:t>Mine Safety Disclosures</w:t>
            </w:r>
          </w:p>
        </w:tc>
        <w:tc>
          <w:tcPr>
            <w:tcW w:w="68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CCFFCC"/>
            </w:tcBorders>
          </w:tcPr>
          <w:p>
            <w:pPr>
              <w:spacing w:after="0"/>
              <w:rPr>
                <w:sz w:val="18"/>
                <w:szCs w:val="18"/>
                <w:color w:val="auto"/>
              </w:rPr>
            </w:pPr>
          </w:p>
        </w:tc>
        <w:tc>
          <w:tcPr>
            <w:tcW w:w="700" w:type="dxa"/>
            <w:vAlign w:val="bottom"/>
            <w:tcBorders>
              <w:top w:val="single" w:sz="8" w:color="CCFFCC"/>
            </w:tcBorders>
          </w:tcPr>
          <w:p>
            <w:pPr>
              <w:spacing w:after="0"/>
              <w:rPr>
                <w:sz w:val="18"/>
                <w:szCs w:val="18"/>
                <w:color w:val="auto"/>
              </w:rPr>
            </w:pPr>
          </w:p>
        </w:tc>
        <w:tc>
          <w:tcPr>
            <w:tcW w:w="6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600" w:type="dxa"/>
            <w:vAlign w:val="bottom"/>
            <w:tcBorders>
              <w:top w:val="single" w:sz="8" w:color="CCFFCC"/>
            </w:tcBorders>
          </w:tcPr>
          <w:p>
            <w:pPr>
              <w:spacing w:after="0"/>
              <w:rPr>
                <w:sz w:val="18"/>
                <w:szCs w:val="18"/>
                <w:color w:val="auto"/>
              </w:rPr>
            </w:pPr>
          </w:p>
        </w:tc>
        <w:tc>
          <w:tcPr>
            <w:tcW w:w="960" w:type="dxa"/>
            <w:vAlign w:val="bottom"/>
            <w:tcBorders>
              <w:top w:val="single" w:sz="8" w:color="CCFFCC"/>
            </w:tcBorders>
          </w:tcPr>
          <w:p>
            <w:pPr>
              <w:spacing w:after="0"/>
              <w:rPr>
                <w:sz w:val="18"/>
                <w:szCs w:val="18"/>
                <w:color w:val="auto"/>
              </w:rPr>
            </w:pPr>
          </w:p>
        </w:tc>
        <w:tc>
          <w:tcPr>
            <w:tcW w:w="50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2280" w:type="dxa"/>
            <w:vAlign w:val="bottom"/>
            <w:tcBorders>
              <w:top w:val="single" w:sz="8" w:color="CCFFCC"/>
            </w:tcBorders>
          </w:tcPr>
          <w:p>
            <w:pPr>
              <w:spacing w:after="0"/>
              <w:rPr>
                <w:sz w:val="18"/>
                <w:szCs w:val="18"/>
                <w:color w:val="auto"/>
              </w:rPr>
            </w:pPr>
          </w:p>
        </w:tc>
        <w:tc>
          <w:tcPr>
            <w:tcW w:w="6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5.</w:t>
            </w:r>
          </w:p>
        </w:tc>
        <w:tc>
          <w:tcPr>
            <w:tcW w:w="9700" w:type="dxa"/>
            <w:vAlign w:val="bottom"/>
            <w:gridSpan w:val="21"/>
            <w:shd w:val="clear" w:color="auto" w:fill="CCFFCC"/>
          </w:tcPr>
          <w:p>
            <w:pPr>
              <w:spacing w:after="0" w:line="176" w:lineRule="exact"/>
              <w:rPr>
                <w:sz w:val="20"/>
                <w:szCs w:val="20"/>
                <w:color w:val="auto"/>
              </w:rPr>
            </w:pPr>
            <w:r>
              <w:rPr>
                <w:rFonts w:ascii="Arial" w:cs="Arial" w:eastAsia="Arial" w:hAnsi="Arial"/>
                <w:sz w:val="18"/>
                <w:szCs w:val="18"/>
                <w:color w:val="auto"/>
              </w:rPr>
              <w:t>Other Information</w:t>
            </w:r>
          </w:p>
        </w:tc>
        <w:tc>
          <w:tcPr>
            <w:tcW w:w="68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560" w:type="dxa"/>
            <w:vAlign w:val="bottom"/>
            <w:tcBorders>
              <w:top w:val="single" w:sz="8" w:color="CCFFCC"/>
            </w:tcBorders>
          </w:tcPr>
          <w:p>
            <w:pPr>
              <w:spacing w:after="0"/>
              <w:rPr>
                <w:sz w:val="18"/>
                <w:szCs w:val="18"/>
                <w:color w:val="auto"/>
              </w:rPr>
            </w:pPr>
          </w:p>
        </w:tc>
        <w:tc>
          <w:tcPr>
            <w:tcW w:w="700" w:type="dxa"/>
            <w:vAlign w:val="bottom"/>
            <w:tcBorders>
              <w:top w:val="single" w:sz="8" w:color="CCFFCC"/>
            </w:tcBorders>
          </w:tcPr>
          <w:p>
            <w:pPr>
              <w:spacing w:after="0"/>
              <w:rPr>
                <w:sz w:val="18"/>
                <w:szCs w:val="18"/>
                <w:color w:val="auto"/>
              </w:rPr>
            </w:pPr>
          </w:p>
        </w:tc>
        <w:tc>
          <w:tcPr>
            <w:tcW w:w="6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600" w:type="dxa"/>
            <w:vAlign w:val="bottom"/>
            <w:tcBorders>
              <w:top w:val="single" w:sz="8" w:color="CCFFCC"/>
            </w:tcBorders>
          </w:tcPr>
          <w:p>
            <w:pPr>
              <w:spacing w:after="0"/>
              <w:rPr>
                <w:sz w:val="18"/>
                <w:szCs w:val="18"/>
                <w:color w:val="auto"/>
              </w:rPr>
            </w:pPr>
          </w:p>
        </w:tc>
        <w:tc>
          <w:tcPr>
            <w:tcW w:w="960" w:type="dxa"/>
            <w:vAlign w:val="bottom"/>
            <w:tcBorders>
              <w:top w:val="single" w:sz="8" w:color="CCFFCC"/>
            </w:tcBorders>
          </w:tcPr>
          <w:p>
            <w:pPr>
              <w:spacing w:after="0"/>
              <w:rPr>
                <w:sz w:val="18"/>
                <w:szCs w:val="18"/>
                <w:color w:val="auto"/>
              </w:rPr>
            </w:pPr>
          </w:p>
        </w:tc>
        <w:tc>
          <w:tcPr>
            <w:tcW w:w="50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2280" w:type="dxa"/>
            <w:vAlign w:val="bottom"/>
            <w:tcBorders>
              <w:top w:val="single" w:sz="8" w:color="CCFFCC"/>
            </w:tcBorders>
          </w:tcPr>
          <w:p>
            <w:pPr>
              <w:spacing w:after="0"/>
              <w:rPr>
                <w:sz w:val="18"/>
                <w:szCs w:val="18"/>
                <w:color w:val="auto"/>
              </w:rPr>
            </w:pPr>
          </w:p>
        </w:tc>
        <w:tc>
          <w:tcPr>
            <w:tcW w:w="6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6.</w:t>
            </w:r>
          </w:p>
        </w:tc>
        <w:tc>
          <w:tcPr>
            <w:tcW w:w="9700" w:type="dxa"/>
            <w:vAlign w:val="bottom"/>
            <w:gridSpan w:val="21"/>
            <w:shd w:val="clear" w:color="auto" w:fill="CCFFCC"/>
          </w:tcPr>
          <w:p>
            <w:pPr>
              <w:spacing w:after="0" w:line="176" w:lineRule="exact"/>
              <w:rPr>
                <w:sz w:val="20"/>
                <w:szCs w:val="20"/>
                <w:color w:val="auto"/>
              </w:rPr>
            </w:pPr>
            <w:r>
              <w:rPr>
                <w:rFonts w:ascii="Arial" w:cs="Arial" w:eastAsia="Arial" w:hAnsi="Arial"/>
                <w:sz w:val="18"/>
                <w:szCs w:val="18"/>
                <w:color w:val="auto"/>
              </w:rPr>
              <w:t>Exhibits</w:t>
            </w:r>
          </w:p>
        </w:tc>
        <w:tc>
          <w:tcPr>
            <w:tcW w:w="68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560" w:type="dxa"/>
            <w:vAlign w:val="bottom"/>
            <w:tcBorders>
              <w:top w:val="single" w:sz="8" w:color="CCFFCC"/>
            </w:tcBorders>
          </w:tcPr>
          <w:p>
            <w:pPr>
              <w:spacing w:after="0"/>
              <w:rPr>
                <w:sz w:val="18"/>
                <w:szCs w:val="18"/>
                <w:color w:val="auto"/>
              </w:rPr>
            </w:pPr>
          </w:p>
        </w:tc>
        <w:tc>
          <w:tcPr>
            <w:tcW w:w="700" w:type="dxa"/>
            <w:vAlign w:val="bottom"/>
            <w:tcBorders>
              <w:top w:val="single" w:sz="8" w:color="CCFFCC"/>
            </w:tcBorders>
          </w:tcPr>
          <w:p>
            <w:pPr>
              <w:spacing w:after="0"/>
              <w:rPr>
                <w:sz w:val="18"/>
                <w:szCs w:val="18"/>
                <w:color w:val="auto"/>
              </w:rPr>
            </w:pPr>
          </w:p>
        </w:tc>
        <w:tc>
          <w:tcPr>
            <w:tcW w:w="6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600" w:type="dxa"/>
            <w:vAlign w:val="bottom"/>
            <w:tcBorders>
              <w:top w:val="single" w:sz="8" w:color="CCFFCC"/>
            </w:tcBorders>
          </w:tcPr>
          <w:p>
            <w:pPr>
              <w:spacing w:after="0"/>
              <w:rPr>
                <w:sz w:val="18"/>
                <w:szCs w:val="18"/>
                <w:color w:val="auto"/>
              </w:rPr>
            </w:pPr>
          </w:p>
        </w:tc>
        <w:tc>
          <w:tcPr>
            <w:tcW w:w="960" w:type="dxa"/>
            <w:vAlign w:val="bottom"/>
            <w:tcBorders>
              <w:top w:val="single" w:sz="8" w:color="CCFFCC"/>
            </w:tcBorders>
          </w:tcPr>
          <w:p>
            <w:pPr>
              <w:spacing w:after="0"/>
              <w:rPr>
                <w:sz w:val="18"/>
                <w:szCs w:val="18"/>
                <w:color w:val="auto"/>
              </w:rPr>
            </w:pPr>
          </w:p>
        </w:tc>
        <w:tc>
          <w:tcPr>
            <w:tcW w:w="50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2280" w:type="dxa"/>
            <w:vAlign w:val="bottom"/>
            <w:tcBorders>
              <w:top w:val="single" w:sz="8" w:color="CCFFCC"/>
            </w:tcBorders>
          </w:tcPr>
          <w:p>
            <w:pPr>
              <w:spacing w:after="0"/>
              <w:rPr>
                <w:sz w:val="18"/>
                <w:szCs w:val="18"/>
                <w:color w:val="auto"/>
              </w:rPr>
            </w:pPr>
          </w:p>
        </w:tc>
        <w:tc>
          <w:tcPr>
            <w:tcW w:w="6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Signatures</w:t>
            </w:r>
          </w:p>
        </w:tc>
        <w:tc>
          <w:tcPr>
            <w:tcW w:w="60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56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60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5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2280" w:type="dxa"/>
            <w:vAlign w:val="bottom"/>
            <w:shd w:val="clear" w:color="auto" w:fill="CCFFCC"/>
          </w:tcPr>
          <w:p>
            <w:pPr>
              <w:spacing w:after="0"/>
              <w:rPr>
                <w:sz w:val="17"/>
                <w:szCs w:val="17"/>
                <w:color w:val="auto"/>
              </w:rPr>
            </w:pPr>
          </w:p>
        </w:tc>
        <w:tc>
          <w:tcPr>
            <w:tcW w:w="68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CCFFCC"/>
              <w:bottom w:val="single" w:sz="8" w:color="auto"/>
            </w:tcBorders>
          </w:tcPr>
          <w:p>
            <w:pPr>
              <w:spacing w:after="0"/>
              <w:rPr>
                <w:sz w:val="24"/>
                <w:szCs w:val="24"/>
                <w:color w:val="auto"/>
              </w:rPr>
            </w:pPr>
          </w:p>
        </w:tc>
        <w:tc>
          <w:tcPr>
            <w:tcW w:w="600" w:type="dxa"/>
            <w:vAlign w:val="bottom"/>
            <w:tcBorders>
              <w:top w:val="single" w:sz="8" w:color="CCFFCC"/>
              <w:bottom w:val="single" w:sz="8" w:color="auto"/>
            </w:tcBorders>
          </w:tcPr>
          <w:p>
            <w:pPr>
              <w:spacing w:after="0"/>
              <w:rPr>
                <w:sz w:val="24"/>
                <w:szCs w:val="24"/>
                <w:color w:val="auto"/>
              </w:rPr>
            </w:pPr>
          </w:p>
        </w:tc>
        <w:tc>
          <w:tcPr>
            <w:tcW w:w="320" w:type="dxa"/>
            <w:vAlign w:val="bottom"/>
            <w:tcBorders>
              <w:top w:val="single" w:sz="8" w:color="CCFFCC"/>
              <w:bottom w:val="single" w:sz="8" w:color="auto"/>
            </w:tcBorders>
          </w:tcPr>
          <w:p>
            <w:pPr>
              <w:spacing w:after="0"/>
              <w:rPr>
                <w:sz w:val="24"/>
                <w:szCs w:val="24"/>
                <w:color w:val="auto"/>
              </w:rPr>
            </w:pPr>
          </w:p>
        </w:tc>
        <w:tc>
          <w:tcPr>
            <w:tcW w:w="400" w:type="dxa"/>
            <w:vAlign w:val="bottom"/>
            <w:tcBorders>
              <w:top w:val="single" w:sz="8" w:color="CCFFCC"/>
              <w:bottom w:val="single" w:sz="8" w:color="auto"/>
            </w:tcBorders>
          </w:tcPr>
          <w:p>
            <w:pPr>
              <w:spacing w:after="0"/>
              <w:rPr>
                <w:sz w:val="24"/>
                <w:szCs w:val="24"/>
                <w:color w:val="auto"/>
              </w:rPr>
            </w:pPr>
          </w:p>
        </w:tc>
        <w:tc>
          <w:tcPr>
            <w:tcW w:w="20" w:type="dxa"/>
            <w:vAlign w:val="bottom"/>
            <w:tcBorders>
              <w:top w:val="single" w:sz="8" w:color="CCFFCC"/>
              <w:bottom w:val="single" w:sz="8" w:color="auto"/>
            </w:tcBorders>
          </w:tcPr>
          <w:p>
            <w:pPr>
              <w:spacing w:after="0"/>
              <w:rPr>
                <w:sz w:val="24"/>
                <w:szCs w:val="24"/>
                <w:color w:val="auto"/>
              </w:rPr>
            </w:pPr>
          </w:p>
        </w:tc>
        <w:tc>
          <w:tcPr>
            <w:tcW w:w="180" w:type="dxa"/>
            <w:vAlign w:val="bottom"/>
            <w:tcBorders>
              <w:top w:val="single" w:sz="8" w:color="CCFFCC"/>
              <w:bottom w:val="single" w:sz="8" w:color="auto"/>
            </w:tcBorders>
          </w:tcPr>
          <w:p>
            <w:pPr>
              <w:spacing w:after="0"/>
              <w:rPr>
                <w:sz w:val="24"/>
                <w:szCs w:val="24"/>
                <w:color w:val="auto"/>
              </w:rPr>
            </w:pPr>
          </w:p>
        </w:tc>
        <w:tc>
          <w:tcPr>
            <w:tcW w:w="260" w:type="dxa"/>
            <w:vAlign w:val="bottom"/>
            <w:tcBorders>
              <w:top w:val="single" w:sz="8" w:color="CCFFCC"/>
              <w:bottom w:val="single" w:sz="8" w:color="auto"/>
            </w:tcBorders>
          </w:tcPr>
          <w:p>
            <w:pPr>
              <w:spacing w:after="0"/>
              <w:rPr>
                <w:sz w:val="24"/>
                <w:szCs w:val="24"/>
                <w:color w:val="auto"/>
              </w:rPr>
            </w:pPr>
          </w:p>
        </w:tc>
        <w:tc>
          <w:tcPr>
            <w:tcW w:w="560" w:type="dxa"/>
            <w:vAlign w:val="bottom"/>
            <w:tcBorders>
              <w:top w:val="single" w:sz="8" w:color="CCFFCC"/>
              <w:bottom w:val="single" w:sz="8" w:color="auto"/>
            </w:tcBorders>
          </w:tcPr>
          <w:p>
            <w:pPr>
              <w:spacing w:after="0"/>
              <w:rPr>
                <w:sz w:val="24"/>
                <w:szCs w:val="24"/>
                <w:color w:val="auto"/>
              </w:rPr>
            </w:pPr>
          </w:p>
        </w:tc>
        <w:tc>
          <w:tcPr>
            <w:tcW w:w="700" w:type="dxa"/>
            <w:vAlign w:val="bottom"/>
            <w:tcBorders>
              <w:top w:val="single" w:sz="8" w:color="CCFFCC"/>
              <w:bottom w:val="single" w:sz="8" w:color="auto"/>
            </w:tcBorders>
          </w:tcPr>
          <w:p>
            <w:pPr>
              <w:spacing w:after="0"/>
              <w:rPr>
                <w:sz w:val="24"/>
                <w:szCs w:val="24"/>
                <w:color w:val="auto"/>
              </w:rPr>
            </w:pPr>
          </w:p>
        </w:tc>
        <w:tc>
          <w:tcPr>
            <w:tcW w:w="640" w:type="dxa"/>
            <w:vAlign w:val="bottom"/>
            <w:tcBorders>
              <w:top w:val="single" w:sz="8" w:color="CCFFCC"/>
              <w:bottom w:val="single" w:sz="8" w:color="auto"/>
            </w:tcBorders>
          </w:tcPr>
          <w:p>
            <w:pPr>
              <w:spacing w:after="0"/>
              <w:rPr>
                <w:sz w:val="24"/>
                <w:szCs w:val="24"/>
                <w:color w:val="auto"/>
              </w:rPr>
            </w:pPr>
          </w:p>
        </w:tc>
        <w:tc>
          <w:tcPr>
            <w:tcW w:w="80" w:type="dxa"/>
            <w:vAlign w:val="bottom"/>
            <w:tcBorders>
              <w:top w:val="single" w:sz="8" w:color="CCFFCC"/>
              <w:bottom w:val="single" w:sz="8" w:color="auto"/>
            </w:tcBorders>
          </w:tcPr>
          <w:p>
            <w:pPr>
              <w:spacing w:after="0"/>
              <w:rPr>
                <w:sz w:val="24"/>
                <w:szCs w:val="24"/>
                <w:color w:val="auto"/>
              </w:rPr>
            </w:pPr>
          </w:p>
        </w:tc>
        <w:tc>
          <w:tcPr>
            <w:tcW w:w="600" w:type="dxa"/>
            <w:vAlign w:val="bottom"/>
            <w:tcBorders>
              <w:top w:val="single" w:sz="8" w:color="CCFFCC"/>
              <w:bottom w:val="single" w:sz="8" w:color="auto"/>
            </w:tcBorders>
          </w:tcPr>
          <w:p>
            <w:pPr>
              <w:spacing w:after="0"/>
              <w:rPr>
                <w:sz w:val="24"/>
                <w:szCs w:val="24"/>
                <w:color w:val="auto"/>
              </w:rPr>
            </w:pPr>
          </w:p>
        </w:tc>
        <w:tc>
          <w:tcPr>
            <w:tcW w:w="960" w:type="dxa"/>
            <w:vAlign w:val="bottom"/>
            <w:tcBorders>
              <w:top w:val="single" w:sz="8" w:color="CCFFCC"/>
              <w:bottom w:val="single" w:sz="8" w:color="auto"/>
            </w:tcBorders>
          </w:tcPr>
          <w:p>
            <w:pPr>
              <w:spacing w:after="0"/>
              <w:rPr>
                <w:sz w:val="24"/>
                <w:szCs w:val="24"/>
                <w:color w:val="auto"/>
              </w:rPr>
            </w:pPr>
          </w:p>
        </w:tc>
        <w:tc>
          <w:tcPr>
            <w:tcW w:w="500" w:type="dxa"/>
            <w:vAlign w:val="bottom"/>
            <w:tcBorders>
              <w:top w:val="single" w:sz="8" w:color="CCFFCC"/>
              <w:bottom w:val="single" w:sz="8" w:color="auto"/>
            </w:tcBorders>
          </w:tcPr>
          <w:p>
            <w:pPr>
              <w:spacing w:after="0"/>
              <w:rPr>
                <w:sz w:val="24"/>
                <w:szCs w:val="24"/>
                <w:color w:val="auto"/>
              </w:rPr>
            </w:pPr>
          </w:p>
        </w:tc>
        <w:tc>
          <w:tcPr>
            <w:tcW w:w="100" w:type="dxa"/>
            <w:vAlign w:val="bottom"/>
            <w:tcBorders>
              <w:top w:val="single" w:sz="8" w:color="CCFFCC"/>
              <w:bottom w:val="single" w:sz="8" w:color="auto"/>
            </w:tcBorders>
          </w:tcPr>
          <w:p>
            <w:pPr>
              <w:spacing w:after="0"/>
              <w:rPr>
                <w:sz w:val="24"/>
                <w:szCs w:val="24"/>
                <w:color w:val="auto"/>
              </w:rPr>
            </w:pPr>
          </w:p>
        </w:tc>
        <w:tc>
          <w:tcPr>
            <w:tcW w:w="200" w:type="dxa"/>
            <w:vAlign w:val="bottom"/>
            <w:tcBorders>
              <w:top w:val="single" w:sz="8" w:color="CCFFCC"/>
              <w:bottom w:val="single" w:sz="8" w:color="auto"/>
            </w:tcBorders>
          </w:tcPr>
          <w:p>
            <w:pPr>
              <w:spacing w:after="0"/>
              <w:rPr>
                <w:sz w:val="24"/>
                <w:szCs w:val="24"/>
                <w:color w:val="auto"/>
              </w:rPr>
            </w:pPr>
          </w:p>
        </w:tc>
        <w:tc>
          <w:tcPr>
            <w:tcW w:w="120" w:type="dxa"/>
            <w:vAlign w:val="bottom"/>
            <w:tcBorders>
              <w:top w:val="single" w:sz="8" w:color="CCFFCC"/>
              <w:bottom w:val="single" w:sz="8" w:color="auto"/>
            </w:tcBorders>
          </w:tcPr>
          <w:p>
            <w:pPr>
              <w:spacing w:after="0"/>
              <w:rPr>
                <w:sz w:val="24"/>
                <w:szCs w:val="24"/>
                <w:color w:val="auto"/>
              </w:rPr>
            </w:pPr>
          </w:p>
        </w:tc>
        <w:tc>
          <w:tcPr>
            <w:tcW w:w="220" w:type="dxa"/>
            <w:vAlign w:val="bottom"/>
            <w:tcBorders>
              <w:top w:val="single" w:sz="8" w:color="CCFFCC"/>
              <w:bottom w:val="single" w:sz="8" w:color="auto"/>
            </w:tcBorders>
          </w:tcPr>
          <w:p>
            <w:pPr>
              <w:spacing w:after="0"/>
              <w:rPr>
                <w:sz w:val="24"/>
                <w:szCs w:val="24"/>
                <w:color w:val="auto"/>
              </w:rPr>
            </w:pPr>
          </w:p>
        </w:tc>
        <w:tc>
          <w:tcPr>
            <w:tcW w:w="120" w:type="dxa"/>
            <w:vAlign w:val="bottom"/>
            <w:tcBorders>
              <w:top w:val="single" w:sz="8" w:color="CCFFCC"/>
              <w:bottom w:val="single" w:sz="8" w:color="auto"/>
            </w:tcBorders>
          </w:tcPr>
          <w:p>
            <w:pPr>
              <w:spacing w:after="0"/>
              <w:rPr>
                <w:sz w:val="24"/>
                <w:szCs w:val="24"/>
                <w:color w:val="auto"/>
              </w:rPr>
            </w:pPr>
          </w:p>
        </w:tc>
        <w:tc>
          <w:tcPr>
            <w:tcW w:w="60" w:type="dxa"/>
            <w:vAlign w:val="bottom"/>
            <w:tcBorders>
              <w:top w:val="single" w:sz="8" w:color="CCFFCC"/>
              <w:bottom w:val="single" w:sz="8" w:color="auto"/>
            </w:tcBorders>
          </w:tcPr>
          <w:p>
            <w:pPr>
              <w:spacing w:after="0"/>
              <w:rPr>
                <w:sz w:val="24"/>
                <w:szCs w:val="24"/>
                <w:color w:val="auto"/>
              </w:rPr>
            </w:pPr>
          </w:p>
        </w:tc>
        <w:tc>
          <w:tcPr>
            <w:tcW w:w="780" w:type="dxa"/>
            <w:vAlign w:val="bottom"/>
            <w:tcBorders>
              <w:top w:val="single" w:sz="8" w:color="CCFFCC"/>
              <w:bottom w:val="single" w:sz="8" w:color="auto"/>
            </w:tcBorders>
          </w:tcPr>
          <w:p>
            <w:pPr>
              <w:spacing w:after="0"/>
              <w:rPr>
                <w:sz w:val="24"/>
                <w:szCs w:val="24"/>
                <w:color w:val="auto"/>
              </w:rPr>
            </w:pPr>
          </w:p>
        </w:tc>
        <w:tc>
          <w:tcPr>
            <w:tcW w:w="2280" w:type="dxa"/>
            <w:vAlign w:val="bottom"/>
            <w:tcBorders>
              <w:top w:val="single" w:sz="8" w:color="CCFFCC"/>
              <w:bottom w:val="single" w:sz="8" w:color="auto"/>
            </w:tcBorders>
          </w:tcPr>
          <w:p>
            <w:pPr>
              <w:spacing w:after="0"/>
              <w:rPr>
                <w:sz w:val="24"/>
                <w:szCs w:val="24"/>
                <w:color w:val="auto"/>
              </w:rPr>
            </w:pPr>
          </w:p>
        </w:tc>
        <w:tc>
          <w:tcPr>
            <w:tcW w:w="680" w:type="dxa"/>
            <w:vAlign w:val="bottom"/>
            <w:tcBorders>
              <w:top w:val="single" w:sz="8" w:color="CCFFCC"/>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1" w:right="239" w:bottom="1440" w:gutter="0" w:footer="0" w:header="0"/>
        </w:sectPr>
      </w:pPr>
    </w:p>
    <w:bookmarkStart w:id="2" w:name="page3"/>
    <w:bookmarkEnd w:id="2"/>
    <w:p>
      <w:pPr>
        <w:ind w:left="4680"/>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March 31, 2013</w:t>
            </w:r>
          </w:p>
        </w:tc>
        <w:tc>
          <w:tcPr>
            <w:tcW w:w="14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Time deposits (cost: 2013 - $0; 2012 - $1,942,834)</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1,942,834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Money market account (cost: 2013 - $38,887,925; 2012 - $30,543,824)</w:t>
            </w:r>
          </w:p>
        </w:tc>
        <w:tc>
          <w:tcPr>
            <w:tcW w:w="12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38,887,925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30,543,824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Debt securities (cost: 2013 - $172,602,565; 2012 - $134,377,151)</w:t>
            </w: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151,549,821</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111,037,882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CLO Fund securities managed by non-affiliates (cost: 2013 - $10,321,884; 2012 - $10,487,023)</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3,193,376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3,725,924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CLO Fund securities managed by affiliates (cost: 2013 - $79,783,663; 2012 - $79,659,387)</w:t>
            </w:r>
          </w:p>
        </w:tc>
        <w:tc>
          <w:tcPr>
            <w:tcW w:w="120" w:type="dxa"/>
            <w:vAlign w:val="bottom"/>
            <w:shd w:val="clear" w:color="auto" w:fill="CCFFCC"/>
          </w:tcPr>
          <w:p>
            <w:pPr>
              <w:spacing w:after="0"/>
              <w:rPr>
                <w:sz w:val="18"/>
                <w:szCs w:val="18"/>
                <w:color w:val="auto"/>
              </w:rPr>
            </w:pPr>
          </w:p>
        </w:tc>
        <w:tc>
          <w:tcPr>
            <w:tcW w:w="15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75,076,683</w:t>
            </w:r>
          </w:p>
        </w:tc>
        <w:tc>
          <w:tcPr>
            <w:tcW w:w="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79,531,583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Equity securities (cost: 2013 - $18,260,008; 2012 - $18,375,588)</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7,839,699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8,020,716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Asset manager affiliates (cost: 2013 - $83,198,191; 2012 - $83,161,529)</w:t>
            </w:r>
          </w:p>
        </w:tc>
        <w:tc>
          <w:tcPr>
            <w:tcW w:w="120" w:type="dxa"/>
            <w:vAlign w:val="bottom"/>
            <w:shd w:val="clear" w:color="auto" w:fill="CCFFCC"/>
          </w:tcPr>
          <w:p>
            <w:pPr>
              <w:spacing w:after="0"/>
              <w:rPr>
                <w:sz w:val="19"/>
                <w:szCs w:val="19"/>
                <w:color w:val="auto"/>
              </w:rPr>
            </w:pPr>
          </w:p>
        </w:tc>
        <w:tc>
          <w:tcPr>
            <w:tcW w:w="15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80,354,000</w:t>
            </w:r>
          </w:p>
        </w:tc>
        <w:tc>
          <w:tcPr>
            <w:tcW w:w="14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77,242,000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Total Investments at fair value (cost: 2013 - $403,054,236; 2012 - $358,547,336)</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356,901,504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312,044,763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5,070,802</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738,756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Interest receivable</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1,850,238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697,349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Receivable for open trades</w:t>
            </w: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487,851</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3,226,672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2,210,869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FFCC"/>
          </w:tcPr>
          <w:p>
            <w:pPr>
              <w:spacing w:after="0"/>
              <w:rPr>
                <w:sz w:val="19"/>
                <w:szCs w:val="19"/>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3,650,894</w:t>
            </w:r>
          </w:p>
        </w:tc>
        <w:tc>
          <w:tcPr>
            <w:tcW w:w="2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3,568,736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371,187,961</w:t>
            </w:r>
          </w:p>
        </w:tc>
        <w:tc>
          <w:tcPr>
            <w:tcW w:w="200" w:type="dxa"/>
            <w:vAlign w:val="bottom"/>
            <w:shd w:val="clear" w:color="auto" w:fill="CCFFCC"/>
          </w:tcPr>
          <w:p>
            <w:pPr>
              <w:spacing w:after="0"/>
              <w:rPr>
                <w:sz w:val="21"/>
                <w:szCs w:val="21"/>
                <w:color w:val="auto"/>
              </w:rPr>
            </w:pPr>
          </w:p>
        </w:tc>
        <w:tc>
          <w:tcPr>
            <w:tcW w:w="44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319,260,473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Convertible senior notes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60,000,000</w:t>
            </w: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Senior notes</w:t>
            </w:r>
          </w:p>
        </w:tc>
        <w:tc>
          <w:tcPr>
            <w:tcW w:w="120" w:type="dxa"/>
            <w:vAlign w:val="bottom"/>
            <w:shd w:val="clear" w:color="auto" w:fill="CCFFCC"/>
          </w:tcPr>
          <w:p>
            <w:pPr>
              <w:spacing w:after="0"/>
              <w:rPr>
                <w:sz w:val="18"/>
                <w:szCs w:val="18"/>
                <w:color w:val="auto"/>
              </w:rPr>
            </w:pPr>
          </w:p>
        </w:tc>
        <w:tc>
          <w:tcPr>
            <w:tcW w:w="15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41,400,000</w:t>
            </w:r>
          </w:p>
        </w:tc>
        <w:tc>
          <w:tcPr>
            <w:tcW w:w="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Payable for open trades</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2,985,000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930,636</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2,581,432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Dividend payable</w:t>
            </w:r>
          </w:p>
        </w:tc>
        <w:tc>
          <w:tcPr>
            <w:tcW w:w="12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7,403,382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auto"/>
            </w:tcBorders>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105,315,636</w:t>
            </w:r>
          </w:p>
        </w:tc>
        <w:tc>
          <w:tcPr>
            <w:tcW w:w="200" w:type="dxa"/>
            <w:vAlign w:val="bottom"/>
          </w:tcPr>
          <w:p>
            <w:pPr>
              <w:spacing w:after="0"/>
              <w:rPr>
                <w:sz w:val="19"/>
                <w:szCs w:val="19"/>
                <w:color w:val="auto"/>
              </w:rPr>
            </w:pP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111,384,814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auto"/>
            </w:tcBorders>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9"/>
              </w:rPr>
              <w:t>Common stock, par value $0.01 per share, 100,000,000 common shares authorized; 31,936,480 and</w:t>
            </w:r>
          </w:p>
        </w:tc>
        <w:tc>
          <w:tcPr>
            <w:tcW w:w="12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11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26,470,408 common shares issued and outstanding at March 31, 2013 and December 31, 2012,</w:t>
            </w: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respectively</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319,043</w:t>
            </w:r>
          </w:p>
        </w:tc>
        <w:tc>
          <w:tcPr>
            <w:tcW w:w="200" w:type="dxa"/>
            <w:vAlign w:val="bottom"/>
            <w:shd w:val="clear" w:color="auto" w:fill="CCFFCC"/>
          </w:tcPr>
          <w:p>
            <w:pPr>
              <w:spacing w:after="0"/>
              <w:rPr>
                <w:sz w:val="20"/>
                <w:szCs w:val="20"/>
                <w:color w:val="auto"/>
              </w:rPr>
            </w:pPr>
          </w:p>
        </w:tc>
        <w:tc>
          <w:tcPr>
            <w:tcW w:w="44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264,382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361,299,553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310,566,503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Accumulated undistributed net investment income</w:t>
            </w: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7,045,514</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103,484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Accumulated net realized losses</w:t>
            </w:r>
          </w:p>
        </w:tc>
        <w:tc>
          <w:tcPr>
            <w:tcW w:w="12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(56,118,312)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(56,035,375)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Net unrealized depreciation on investments</w:t>
            </w:r>
          </w:p>
        </w:tc>
        <w:tc>
          <w:tcPr>
            <w:tcW w:w="120" w:type="dxa"/>
            <w:vAlign w:val="bottom"/>
            <w:shd w:val="clear" w:color="auto" w:fill="CCFFCC"/>
          </w:tcPr>
          <w:p>
            <w:pPr>
              <w:spacing w:after="0"/>
              <w:rPr>
                <w:sz w:val="19"/>
                <w:szCs w:val="19"/>
                <w:color w:val="auto"/>
              </w:rPr>
            </w:pPr>
          </w:p>
        </w:tc>
        <w:tc>
          <w:tcPr>
            <w:tcW w:w="15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(46,673,473)</w:t>
            </w:r>
          </w:p>
        </w:tc>
        <w:tc>
          <w:tcPr>
            <w:tcW w:w="14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(47,023,335)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265,872,325</w:t>
            </w:r>
          </w:p>
        </w:tc>
        <w:tc>
          <w:tcPr>
            <w:tcW w:w="200" w:type="dxa"/>
            <w:vAlign w:val="bottom"/>
            <w:shd w:val="clear" w:color="auto" w:fill="CCFFCC"/>
          </w:tcPr>
          <w:p>
            <w:pPr>
              <w:spacing w:after="0"/>
              <w:rPr>
                <w:sz w:val="19"/>
                <w:szCs w:val="19"/>
                <w:color w:val="auto"/>
              </w:rPr>
            </w:pPr>
          </w:p>
        </w:tc>
        <w:tc>
          <w:tcPr>
            <w:tcW w:w="44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207,875,659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371,187,961</w:t>
            </w:r>
          </w:p>
        </w:tc>
        <w:tc>
          <w:tcPr>
            <w:tcW w:w="200" w:type="dxa"/>
            <w:vAlign w:val="bottom"/>
            <w:shd w:val="clear" w:color="auto" w:fill="CCFFCC"/>
          </w:tcPr>
          <w:p>
            <w:pPr>
              <w:spacing w:after="0"/>
              <w:rPr>
                <w:sz w:val="21"/>
                <w:szCs w:val="21"/>
                <w:color w:val="auto"/>
              </w:rPr>
            </w:pPr>
          </w:p>
        </w:tc>
        <w:tc>
          <w:tcPr>
            <w:tcW w:w="44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319,260,473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NET ASSET VALUE PER COMMON SHARE</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8.33</w:t>
            </w:r>
          </w:p>
        </w:tc>
        <w:tc>
          <w:tcPr>
            <w:tcW w:w="44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FFCC"/>
              <w:bottom w:val="single" w:sz="8" w:color="CCFFCC"/>
            </w:tcBorders>
            <w:vMerge w:val="restart"/>
          </w:tcPr>
          <w:p>
            <w:pPr>
              <w:ind w:left="3940"/>
              <w:spacing w:after="0"/>
              <w:rPr>
                <w:sz w:val="20"/>
                <w:szCs w:val="20"/>
                <w:color w:val="auto"/>
              </w:rPr>
            </w:pPr>
            <w:r>
              <w:rPr>
                <w:rFonts w:ascii="Arial" w:cs="Arial" w:eastAsia="Arial" w:hAnsi="Arial"/>
                <w:sz w:val="18"/>
                <w:szCs w:val="18"/>
                <w:color w:val="auto"/>
              </w:rPr>
              <w:t>See accompanying notes to financial statements.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7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7980" w:type="dxa"/>
            <w:vAlign w:val="bottom"/>
            <w:tcBorders>
              <w:bottom w:val="single" w:sz="8" w:color="auto"/>
            </w:tcBorders>
          </w:tcPr>
          <w:p>
            <w:pPr>
              <w:ind w:left="564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8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March 31,</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Investment Income:</w:t>
            </w: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Interest from investments in debt securities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2,478,018</w:t>
            </w:r>
          </w:p>
        </w:tc>
        <w:tc>
          <w:tcPr>
            <w:tcW w:w="200" w:type="dxa"/>
            <w:vAlign w:val="bottom"/>
          </w:tcPr>
          <w:p>
            <w:pPr>
              <w:spacing w:after="0"/>
              <w:rPr>
                <w:sz w:val="18"/>
                <w:szCs w:val="18"/>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2,501,613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from cash and time deposits</w:t>
            </w: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4,712</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Dividends from investments in CLO Fund securities managed by non-affiliates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423,875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419,165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Dividends from investments in CLO Fund securities managed by affiliates</w:t>
            </w: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5,480,653</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3,613,639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Dividends from affiliate asset managers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3,000,000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825,000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Capital structuring service fees</w:t>
            </w:r>
          </w:p>
        </w:tc>
        <w:tc>
          <w:tcPr>
            <w:tcW w:w="340" w:type="dxa"/>
            <w:vAlign w:val="bottom"/>
            <w:shd w:val="clear" w:color="auto" w:fill="CCFFCC"/>
          </w:tcPr>
          <w:p>
            <w:pPr>
              <w:spacing w:after="0"/>
              <w:rPr>
                <w:sz w:val="19"/>
                <w:szCs w:val="19"/>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6,573</w:t>
            </w:r>
          </w:p>
        </w:tc>
        <w:tc>
          <w:tcPr>
            <w:tcW w:w="2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38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39,561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FFCC"/>
          </w:tcPr>
          <w:p>
            <w:pPr>
              <w:ind w:left="380"/>
              <w:spacing w:after="0"/>
              <w:rPr>
                <w:sz w:val="20"/>
                <w:szCs w:val="20"/>
                <w:color w:val="auto"/>
              </w:rPr>
            </w:pPr>
            <w:r>
              <w:rPr>
                <w:rFonts w:ascii="Arial" w:cs="Arial" w:eastAsia="Arial" w:hAnsi="Arial"/>
                <w:sz w:val="18"/>
                <w:szCs w:val="18"/>
                <w:color w:val="auto"/>
              </w:rPr>
              <w:t>Total investment income</w:t>
            </w:r>
          </w:p>
        </w:tc>
        <w:tc>
          <w:tcPr>
            <w:tcW w:w="34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11,393,831</w:t>
            </w:r>
          </w:p>
        </w:tc>
        <w:tc>
          <w:tcPr>
            <w:tcW w:w="140" w:type="dxa"/>
            <w:vAlign w:val="bottom"/>
            <w:shd w:val="clear" w:color="auto" w:fill="CCFFCC"/>
          </w:tcPr>
          <w:p>
            <w:pPr>
              <w:spacing w:after="0"/>
              <w:rPr>
                <w:sz w:val="19"/>
                <w:szCs w:val="19"/>
                <w:color w:val="auto"/>
              </w:rPr>
            </w:pPr>
          </w:p>
        </w:tc>
        <w:tc>
          <w:tcPr>
            <w:tcW w:w="38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7,401,540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Expenses:</w:t>
            </w: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Interest and amortization of debt issuance costs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2,260,246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1,442,286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Compensation</w:t>
            </w: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909,713</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947,735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Professional fees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642,328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916,660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Insurance</w:t>
            </w: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128,717</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129,603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Administrative and other</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506,471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325,975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rPr>
              <w:t>Total expenses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4,447,475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3,762,259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Net Investment Income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6,946,356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3,639,281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Realized And Unrealized Gains (Losses) On Investments:</w:t>
            </w: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Net realized gains (losses) from investment transactions</w:t>
            </w:r>
          </w:p>
        </w:tc>
        <w:tc>
          <w:tcPr>
            <w:tcW w:w="3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(82,937)</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302,734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change in unrealized appreciation (depreciation) on:</w:t>
            </w: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00"/>
              <w:spacing w:after="0"/>
              <w:rPr>
                <w:sz w:val="20"/>
                <w:szCs w:val="20"/>
                <w:color w:val="auto"/>
              </w:rPr>
            </w:pPr>
            <w:r>
              <w:rPr>
                <w:rFonts w:ascii="Arial" w:cs="Arial" w:eastAsia="Arial" w:hAnsi="Arial"/>
                <w:sz w:val="18"/>
                <w:szCs w:val="18"/>
                <w:color w:val="auto"/>
              </w:rPr>
              <w:t>Debt securities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2,286,526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(1,082,695)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400"/>
              <w:spacing w:after="0"/>
              <w:rPr>
                <w:sz w:val="20"/>
                <w:szCs w:val="20"/>
                <w:color w:val="auto"/>
              </w:rPr>
            </w:pPr>
            <w:r>
              <w:rPr>
                <w:rFonts w:ascii="Arial" w:cs="Arial" w:eastAsia="Arial" w:hAnsi="Arial"/>
                <w:sz w:val="18"/>
                <w:szCs w:val="18"/>
                <w:color w:val="auto"/>
              </w:rPr>
              <w:t>Equity securities</w:t>
            </w:r>
          </w:p>
        </w:tc>
        <w:tc>
          <w:tcPr>
            <w:tcW w:w="34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(65,437)</w:t>
            </w:r>
          </w:p>
        </w:tc>
        <w:tc>
          <w:tcPr>
            <w:tcW w:w="1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680,986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00"/>
              <w:spacing w:after="0"/>
              <w:rPr>
                <w:sz w:val="20"/>
                <w:szCs w:val="20"/>
                <w:color w:val="auto"/>
              </w:rPr>
            </w:pPr>
            <w:r>
              <w:rPr>
                <w:rFonts w:ascii="Arial" w:cs="Arial" w:eastAsia="Arial" w:hAnsi="Arial"/>
                <w:sz w:val="18"/>
                <w:szCs w:val="18"/>
                <w:color w:val="auto"/>
              </w:rPr>
              <w:t>CLO Fund securities managed by affiliates</w:t>
            </w:r>
          </w:p>
        </w:tc>
        <w:tc>
          <w:tcPr>
            <w:tcW w:w="3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(4,579,158)</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2,366,876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400"/>
              <w:spacing w:after="0"/>
              <w:rPr>
                <w:sz w:val="20"/>
                <w:szCs w:val="20"/>
                <w:color w:val="auto"/>
              </w:rPr>
            </w:pPr>
            <w:r>
              <w:rPr>
                <w:rFonts w:ascii="Arial" w:cs="Arial" w:eastAsia="Arial" w:hAnsi="Arial"/>
                <w:sz w:val="18"/>
                <w:szCs w:val="18"/>
                <w:color w:val="auto"/>
              </w:rPr>
              <w:t>CLO Fund securities managed by non-affiliates</w:t>
            </w:r>
          </w:p>
        </w:tc>
        <w:tc>
          <w:tcPr>
            <w:tcW w:w="34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(367,408)</w:t>
            </w:r>
          </w:p>
        </w:tc>
        <w:tc>
          <w:tcPr>
            <w:tcW w:w="1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(26,843)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rPr>
              <w:t>Affiliate asset manager investments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3,075,339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(5,303,682)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rPr>
              <w:t>Total net change in unrealized appreciation (depreciation)</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349,862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(3,365,358)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Net realized and unrealized appreciation (depreciation) on investments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266,925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(3,062,624)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7,213,281</w:t>
            </w:r>
          </w:p>
        </w:tc>
        <w:tc>
          <w:tcPr>
            <w:tcW w:w="200" w:type="dxa"/>
            <w:vAlign w:val="bottom"/>
          </w:tcPr>
          <w:p>
            <w:pPr>
              <w:spacing w:after="0"/>
              <w:rPr>
                <w:sz w:val="24"/>
                <w:szCs w:val="24"/>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576,657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tcBorders>
              <w:top w:val="single" w:sz="8" w:color="CCFFCC"/>
            </w:tcBorders>
            <w:shd w:val="clear" w:color="auto" w:fill="CCFFCC"/>
          </w:tcPr>
          <w:p>
            <w:pPr>
              <w:spacing w:after="0"/>
              <w:rPr>
                <w:sz w:val="17"/>
                <w:szCs w:val="17"/>
                <w:color w:val="auto"/>
              </w:rPr>
            </w:pPr>
          </w:p>
        </w:tc>
        <w:tc>
          <w:tcPr>
            <w:tcW w:w="340" w:type="dxa"/>
            <w:vAlign w:val="bottom"/>
            <w:tcBorders>
              <w:top w:val="single" w:sz="8" w:color="auto"/>
            </w:tcBorders>
            <w:shd w:val="clear" w:color="auto" w:fill="CCFFCC"/>
          </w:tcPr>
          <w:p>
            <w:pPr>
              <w:spacing w:after="0"/>
              <w:rPr>
                <w:sz w:val="17"/>
                <w:szCs w:val="17"/>
                <w:color w:val="auto"/>
              </w:rPr>
            </w:pPr>
          </w:p>
        </w:tc>
        <w:tc>
          <w:tcPr>
            <w:tcW w:w="1160" w:type="dxa"/>
            <w:vAlign w:val="bottom"/>
            <w:tcBorders>
              <w:top w:val="single" w:sz="8" w:color="auto"/>
            </w:tcBorders>
            <w:shd w:val="clear" w:color="auto" w:fill="CCFFCC"/>
          </w:tcPr>
          <w:p>
            <w:pPr>
              <w:spacing w:after="0"/>
              <w:rPr>
                <w:sz w:val="17"/>
                <w:szCs w:val="17"/>
                <w:color w:val="auto"/>
              </w:rPr>
            </w:pPr>
          </w:p>
        </w:tc>
        <w:tc>
          <w:tcPr>
            <w:tcW w:w="20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CCFFCC"/>
            </w:tcBorders>
            <w:shd w:val="clear" w:color="auto" w:fill="CCFFCC"/>
          </w:tcPr>
          <w:p>
            <w:pPr>
              <w:spacing w:after="0"/>
              <w:rPr>
                <w:sz w:val="17"/>
                <w:szCs w:val="17"/>
                <w:color w:val="auto"/>
              </w:rPr>
            </w:pPr>
          </w:p>
        </w:tc>
        <w:tc>
          <w:tcPr>
            <w:tcW w:w="380" w:type="dxa"/>
            <w:vAlign w:val="bottom"/>
            <w:tcBorders>
              <w:top w:val="single" w:sz="8" w:color="auto"/>
            </w:tcBorders>
            <w:shd w:val="clear" w:color="auto" w:fill="CCFFCC"/>
          </w:tcPr>
          <w:p>
            <w:pPr>
              <w:spacing w:after="0"/>
              <w:rPr>
                <w:sz w:val="17"/>
                <w:szCs w:val="17"/>
                <w:color w:val="auto"/>
              </w:rPr>
            </w:pPr>
          </w:p>
        </w:tc>
        <w:tc>
          <w:tcPr>
            <w:tcW w:w="110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40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0.25</w:t>
            </w:r>
          </w:p>
        </w:tc>
        <w:tc>
          <w:tcPr>
            <w:tcW w:w="5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0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0.24</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Investment Income Per Common Share:</w:t>
            </w: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0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0.24</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40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0.23</w:t>
            </w:r>
          </w:p>
        </w:tc>
        <w:tc>
          <w:tcPr>
            <w:tcW w:w="5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Weighted Average Shares of Common Stock Outstanding—Basic</w:t>
            </w:r>
          </w:p>
        </w:tc>
        <w:tc>
          <w:tcPr>
            <w:tcW w:w="34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29,266,186</w:t>
            </w:r>
          </w:p>
        </w:tc>
        <w:tc>
          <w:tcPr>
            <w:tcW w:w="1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24,270,825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Weighted Average Shares of Common Stock Outstanding—Diluted</w:t>
            </w:r>
          </w:p>
        </w:tc>
        <w:tc>
          <w:tcPr>
            <w:tcW w:w="34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36,635,703</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24,270,825</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NET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8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March 31,</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Operations:</w:t>
            </w: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investment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6,946,356</w:t>
            </w:r>
          </w:p>
        </w:tc>
        <w:tc>
          <w:tcPr>
            <w:tcW w:w="200" w:type="dxa"/>
            <w:vAlign w:val="bottom"/>
          </w:tcPr>
          <w:p>
            <w:pPr>
              <w:spacing w:after="0"/>
              <w:rPr>
                <w:sz w:val="18"/>
                <w:szCs w:val="18"/>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3,639,281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Net realized gains (losses) from investment transactions</w:t>
            </w:r>
          </w:p>
        </w:tc>
        <w:tc>
          <w:tcPr>
            <w:tcW w:w="34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(82,937)</w:t>
            </w:r>
          </w:p>
        </w:tc>
        <w:tc>
          <w:tcPr>
            <w:tcW w:w="1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302,734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 investments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349,862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(3,365,358)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Net increase in net assets resulting from operations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7,213,281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576,657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Stockholder distributions: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Dividends to stockholders</w:t>
            </w:r>
          </w:p>
        </w:tc>
        <w:tc>
          <w:tcPr>
            <w:tcW w:w="34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(4,326)</w:t>
            </w:r>
          </w:p>
        </w:tc>
        <w:tc>
          <w:tcPr>
            <w:tcW w:w="140" w:type="dxa"/>
            <w:vAlign w:val="bottom"/>
            <w:shd w:val="clear" w:color="auto" w:fill="CCFFCC"/>
          </w:tcPr>
          <w:p>
            <w:pPr>
              <w:spacing w:after="0"/>
              <w:rPr>
                <w:sz w:val="19"/>
                <w:szCs w:val="19"/>
                <w:color w:val="auto"/>
              </w:rPr>
            </w:pPr>
          </w:p>
        </w:tc>
        <w:tc>
          <w:tcPr>
            <w:tcW w:w="38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(3,654)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decrease in net assets resulting from stockholder distributions</w:t>
            </w:r>
          </w:p>
        </w:tc>
        <w:tc>
          <w:tcPr>
            <w:tcW w:w="34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(4,326)</w:t>
            </w:r>
          </w:p>
        </w:tc>
        <w:tc>
          <w:tcPr>
            <w:tcW w:w="140" w:type="dxa"/>
            <w:vAlign w:val="bottom"/>
            <w:shd w:val="clear" w:color="auto" w:fill="CCFFCC"/>
          </w:tcPr>
          <w:p>
            <w:pPr>
              <w:spacing w:after="0"/>
              <w:rPr>
                <w:sz w:val="19"/>
                <w:szCs w:val="19"/>
                <w:color w:val="auto"/>
              </w:rPr>
            </w:pPr>
          </w:p>
        </w:tc>
        <w:tc>
          <w:tcPr>
            <w:tcW w:w="38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(3,654)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Capital transactions:</w:t>
            </w: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Issuance of common stock for:</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Interest in affiliate asset manager</w:t>
            </w:r>
          </w:p>
        </w:tc>
        <w:tc>
          <w:tcPr>
            <w:tcW w:w="34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25,560,000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Dividend reinvestment plan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237,606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122,843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Issuance of common stock for public offering</w:t>
            </w:r>
          </w:p>
        </w:tc>
        <w:tc>
          <w:tcPr>
            <w:tcW w:w="34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50,632,166</w:t>
            </w:r>
          </w:p>
        </w:tc>
        <w:tc>
          <w:tcPr>
            <w:tcW w:w="1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Offering costs of public share offering</w:t>
            </w:r>
          </w:p>
        </w:tc>
        <w:tc>
          <w:tcPr>
            <w:tcW w:w="3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(102,423)</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Stock based compensation</w:t>
            </w:r>
          </w:p>
        </w:tc>
        <w:tc>
          <w:tcPr>
            <w:tcW w:w="34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20,362</w:t>
            </w:r>
          </w:p>
        </w:tc>
        <w:tc>
          <w:tcPr>
            <w:tcW w:w="140" w:type="dxa"/>
            <w:vAlign w:val="bottom"/>
            <w:shd w:val="clear" w:color="auto" w:fill="CCFFCC"/>
          </w:tcPr>
          <w:p>
            <w:pPr>
              <w:spacing w:after="0"/>
              <w:rPr>
                <w:sz w:val="19"/>
                <w:szCs w:val="19"/>
                <w:color w:val="auto"/>
              </w:rPr>
            </w:pPr>
          </w:p>
        </w:tc>
        <w:tc>
          <w:tcPr>
            <w:tcW w:w="38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172,729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increase in net assets resulting from capital transactions</w:t>
            </w:r>
          </w:p>
        </w:tc>
        <w:tc>
          <w:tcPr>
            <w:tcW w:w="34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50,787,711</w:t>
            </w:r>
          </w:p>
        </w:tc>
        <w:tc>
          <w:tcPr>
            <w:tcW w:w="140" w:type="dxa"/>
            <w:vAlign w:val="bottom"/>
            <w:shd w:val="clear" w:color="auto" w:fill="CCFFCC"/>
          </w:tcPr>
          <w:p>
            <w:pPr>
              <w:spacing w:after="0"/>
              <w:rPr>
                <w:sz w:val="19"/>
                <w:szCs w:val="19"/>
                <w:color w:val="auto"/>
              </w:rPr>
            </w:pPr>
          </w:p>
        </w:tc>
        <w:tc>
          <w:tcPr>
            <w:tcW w:w="38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25,855,572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Net assets at beginning of period</w:t>
            </w:r>
          </w:p>
        </w:tc>
        <w:tc>
          <w:tcPr>
            <w:tcW w:w="340" w:type="dxa"/>
            <w:vAlign w:val="bottom"/>
            <w:shd w:val="clear" w:color="auto" w:fill="CCFFCC"/>
          </w:tcPr>
          <w:p>
            <w:pPr>
              <w:spacing w:after="0"/>
              <w:rPr>
                <w:sz w:val="19"/>
                <w:szCs w:val="19"/>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207,875,659</w:t>
            </w:r>
          </w:p>
        </w:tc>
        <w:tc>
          <w:tcPr>
            <w:tcW w:w="2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38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180,525,941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98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8"/>
              </w:rPr>
              <w:t>Net assets at end of period (including undistributed net investment income of $7,045,514 in 2013 and</w:t>
            </w:r>
          </w:p>
        </w:tc>
        <w:tc>
          <w:tcPr>
            <w:tcW w:w="34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$4,457,530 in 2012)</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265,872,325</w:t>
            </w:r>
          </w:p>
        </w:tc>
        <w:tc>
          <w:tcPr>
            <w:tcW w:w="200" w:type="dxa"/>
            <w:vAlign w:val="bottom"/>
            <w:shd w:val="clear" w:color="auto" w:fill="CCFFCC"/>
          </w:tcPr>
          <w:p>
            <w:pPr>
              <w:spacing w:after="0"/>
              <w:rPr>
                <w:sz w:val="22"/>
                <w:szCs w:val="22"/>
                <w:color w:val="auto"/>
              </w:rPr>
            </w:pPr>
          </w:p>
        </w:tc>
        <w:tc>
          <w:tcPr>
            <w:tcW w:w="5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206,954,516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Net asset value per common share</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8.33</w:t>
            </w:r>
          </w:p>
        </w:tc>
        <w:tc>
          <w:tcPr>
            <w:tcW w:w="5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Common shares outstanding at end of period</w:t>
            </w:r>
          </w:p>
        </w:tc>
        <w:tc>
          <w:tcPr>
            <w:tcW w:w="34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31,936,480</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26,609,963</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8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March 31,</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OPERATING ACTIVITIES:</w:t>
            </w: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Net increase in net assets resulting from operations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7,213,281</w:t>
            </w:r>
          </w:p>
        </w:tc>
        <w:tc>
          <w:tcPr>
            <w:tcW w:w="200" w:type="dxa"/>
            <w:vAlign w:val="bottom"/>
          </w:tcPr>
          <w:p>
            <w:pPr>
              <w:spacing w:after="0"/>
              <w:rPr>
                <w:sz w:val="18"/>
                <w:szCs w:val="18"/>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576,657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shd w:val="clear" w:color="auto" w:fill="CCFFCC"/>
          </w:tcPr>
          <w:p>
            <w:pPr>
              <w:ind w:left="160"/>
              <w:spacing w:after="0" w:line="201" w:lineRule="exact"/>
              <w:rPr>
                <w:sz w:val="20"/>
                <w:szCs w:val="20"/>
                <w:color w:val="auto"/>
              </w:rPr>
            </w:pPr>
            <w:r>
              <w:rPr>
                <w:rFonts w:ascii="Arial" w:cs="Arial" w:eastAsia="Arial" w:hAnsi="Arial"/>
                <w:sz w:val="18"/>
                <w:szCs w:val="18"/>
                <w:color w:val="auto"/>
                <w:w w:val="97"/>
              </w:rPr>
              <w:t>Adjustments to reconcile net increase in net assets resulting from operations to net cash provided by</w:t>
            </w:r>
          </w:p>
        </w:tc>
        <w:tc>
          <w:tcPr>
            <w:tcW w:w="34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(used in) operations:</w:t>
            </w:r>
          </w:p>
        </w:tc>
        <w:tc>
          <w:tcPr>
            <w:tcW w:w="34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380" w:type="dxa"/>
            <w:vAlign w:val="bottom"/>
            <w:shd w:val="clear" w:color="auto" w:fill="CCFFCC"/>
          </w:tcPr>
          <w:p>
            <w:pPr>
              <w:spacing w:after="0"/>
              <w:rPr>
                <w:sz w:val="20"/>
                <w:szCs w:val="20"/>
                <w:color w:val="auto"/>
              </w:rPr>
            </w:pPr>
          </w:p>
        </w:tc>
        <w:tc>
          <w:tcPr>
            <w:tcW w:w="11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00"/>
              <w:spacing w:after="0"/>
              <w:rPr>
                <w:sz w:val="20"/>
                <w:szCs w:val="20"/>
                <w:color w:val="auto"/>
              </w:rPr>
            </w:pPr>
            <w:r>
              <w:rPr>
                <w:rFonts w:ascii="Arial" w:cs="Arial" w:eastAsia="Arial" w:hAnsi="Arial"/>
                <w:sz w:val="18"/>
                <w:szCs w:val="18"/>
                <w:color w:val="auto"/>
              </w:rPr>
              <w:t>Net realized (gains) losses on investment transactions</w:t>
            </w: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82,937</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(302,734)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30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34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(349,862)</w:t>
            </w:r>
          </w:p>
        </w:tc>
        <w:tc>
          <w:tcPr>
            <w:tcW w:w="1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3,365,358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00"/>
              <w:spacing w:after="0"/>
              <w:rPr>
                <w:sz w:val="20"/>
                <w:szCs w:val="20"/>
                <w:color w:val="auto"/>
              </w:rPr>
            </w:pPr>
            <w:r>
              <w:rPr>
                <w:rFonts w:ascii="Arial" w:cs="Arial" w:eastAsia="Arial" w:hAnsi="Arial"/>
                <w:sz w:val="18"/>
                <w:szCs w:val="18"/>
                <w:color w:val="auto"/>
              </w:rPr>
              <w:t>Net accretion of discount on securities and loans</w:t>
            </w:r>
          </w:p>
        </w:tc>
        <w:tc>
          <w:tcPr>
            <w:tcW w:w="3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(176,559)</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(680,795)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300"/>
              <w:spacing w:after="0"/>
              <w:rPr>
                <w:sz w:val="20"/>
                <w:szCs w:val="20"/>
                <w:color w:val="auto"/>
              </w:rPr>
            </w:pPr>
            <w:r>
              <w:rPr>
                <w:rFonts w:ascii="Arial" w:cs="Arial" w:eastAsia="Arial" w:hAnsi="Arial"/>
                <w:sz w:val="18"/>
                <w:szCs w:val="18"/>
                <w:color w:val="auto"/>
              </w:rPr>
              <w:t>Amortization of debt issuance cost</w:t>
            </w: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184,435</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118,020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0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20,362</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172,729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00"/>
              <w:spacing w:after="0"/>
              <w:rPr>
                <w:sz w:val="20"/>
                <w:szCs w:val="20"/>
                <w:color w:val="auto"/>
              </w:rPr>
            </w:pPr>
            <w:r>
              <w:rPr>
                <w:rFonts w:ascii="Arial" w:cs="Arial" w:eastAsia="Arial" w:hAnsi="Arial"/>
                <w:sz w:val="18"/>
                <w:szCs w:val="18"/>
                <w:color w:val="auto"/>
              </w:rPr>
              <w:t>Purchases of investments</w:t>
            </w:r>
          </w:p>
        </w:tc>
        <w:tc>
          <w:tcPr>
            <w:tcW w:w="3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(48,671,615)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(36,317,935)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300"/>
              <w:spacing w:after="0"/>
              <w:rPr>
                <w:sz w:val="20"/>
                <w:szCs w:val="20"/>
                <w:color w:val="auto"/>
              </w:rPr>
            </w:pPr>
            <w:r>
              <w:rPr>
                <w:rFonts w:ascii="Arial" w:cs="Arial" w:eastAsia="Arial" w:hAnsi="Arial"/>
                <w:sz w:val="18"/>
                <w:szCs w:val="18"/>
                <w:color w:val="auto"/>
              </w:rPr>
              <w:t>Proceeds from sale and redemption of investments</w:t>
            </w: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4,812,673</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39,032,930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00"/>
              <w:spacing w:after="0"/>
              <w:rPr>
                <w:sz w:val="20"/>
                <w:szCs w:val="20"/>
                <w:color w:val="auto"/>
              </w:rPr>
            </w:pPr>
            <w:r>
              <w:rPr>
                <w:rFonts w:ascii="Arial" w:cs="Arial" w:eastAsia="Arial" w:hAnsi="Arial"/>
                <w:sz w:val="18"/>
                <w:szCs w:val="18"/>
                <w:color w:val="auto"/>
              </w:rPr>
              <w:t>Increase in interest and dividends receivable</w:t>
            </w:r>
          </w:p>
        </w:tc>
        <w:tc>
          <w:tcPr>
            <w:tcW w:w="3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(1,152,889)</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(211,593)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300"/>
              <w:spacing w:after="0"/>
              <w:rPr>
                <w:sz w:val="20"/>
                <w:szCs w:val="20"/>
                <w:color w:val="auto"/>
              </w:rPr>
            </w:pPr>
            <w:r>
              <w:rPr>
                <w:rFonts w:ascii="Arial" w:cs="Arial" w:eastAsia="Arial" w:hAnsi="Arial"/>
                <w:sz w:val="18"/>
                <w:szCs w:val="18"/>
                <w:color w:val="auto"/>
              </w:rPr>
              <w:t>Increase in accounts receivable</w:t>
            </w:r>
          </w:p>
        </w:tc>
        <w:tc>
          <w:tcPr>
            <w:tcW w:w="34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(1,015,803)</w:t>
            </w:r>
          </w:p>
        </w:tc>
        <w:tc>
          <w:tcPr>
            <w:tcW w:w="1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(92,419)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00"/>
              <w:spacing w:after="0"/>
              <w:rPr>
                <w:sz w:val="20"/>
                <w:szCs w:val="20"/>
                <w:color w:val="auto"/>
              </w:rPr>
            </w:pPr>
            <w:r>
              <w:rPr>
                <w:rFonts w:ascii="Arial" w:cs="Arial" w:eastAsia="Arial" w:hAnsi="Arial"/>
                <w:sz w:val="18"/>
                <w:szCs w:val="18"/>
                <w:color w:val="auto"/>
              </w:rPr>
              <w:t>Decrease in time deposit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1,942,834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300"/>
              <w:spacing w:after="0"/>
              <w:rPr>
                <w:sz w:val="20"/>
                <w:szCs w:val="20"/>
                <w:color w:val="auto"/>
              </w:rPr>
            </w:pPr>
            <w:r>
              <w:rPr>
                <w:rFonts w:ascii="Arial" w:cs="Arial" w:eastAsia="Arial" w:hAnsi="Arial"/>
                <w:sz w:val="18"/>
                <w:szCs w:val="18"/>
                <w:color w:val="auto"/>
              </w:rPr>
              <w:t>Increase in other assets</w:t>
            </w:r>
          </w:p>
        </w:tc>
        <w:tc>
          <w:tcPr>
            <w:tcW w:w="34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(266,595)</w:t>
            </w:r>
          </w:p>
        </w:tc>
        <w:tc>
          <w:tcPr>
            <w:tcW w:w="1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(323,790)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300"/>
              <w:spacing w:after="0"/>
              <w:rPr>
                <w:sz w:val="20"/>
                <w:szCs w:val="20"/>
                <w:color w:val="auto"/>
              </w:rPr>
            </w:pPr>
            <w:r>
              <w:rPr>
                <w:rFonts w:ascii="Arial" w:cs="Arial" w:eastAsia="Arial" w:hAnsi="Arial"/>
                <w:sz w:val="18"/>
                <w:szCs w:val="18"/>
                <w:color w:val="auto"/>
              </w:rPr>
              <w:t>Decrease in accounts payable and accrued expenses</w:t>
            </w:r>
          </w:p>
        </w:tc>
        <w:tc>
          <w:tcPr>
            <w:tcW w:w="34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(1,650,794)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(1,800,648)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840"/>
              <w:spacing w:after="0"/>
              <w:rPr>
                <w:sz w:val="20"/>
                <w:szCs w:val="20"/>
                <w:color w:val="auto"/>
              </w:rPr>
            </w:pPr>
            <w:r>
              <w:rPr>
                <w:rFonts w:ascii="Arial" w:cs="Arial" w:eastAsia="Arial" w:hAnsi="Arial"/>
                <w:sz w:val="18"/>
                <w:szCs w:val="18"/>
                <w:color w:val="auto"/>
              </w:rPr>
              <w:t>Net cash provided by (used in) operating activities</w:t>
            </w:r>
          </w:p>
        </w:tc>
        <w:tc>
          <w:tcPr>
            <w:tcW w:w="34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(39,027,595)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3,535,780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931" w:right="239" w:bottom="1440" w:gutter="0" w:footer="0" w:header="0"/>
        </w:sectPr>
      </w:pPr>
    </w:p>
    <w:p>
      <w:pPr>
        <w:spacing w:after="0"/>
        <w:rPr>
          <w:sz w:val="20"/>
          <w:szCs w:val="20"/>
          <w:color w:val="auto"/>
        </w:rPr>
      </w:pPr>
      <w:r>
        <w:rPr>
          <w:rFonts w:ascii="Arial" w:cs="Arial" w:eastAsia="Arial" w:hAnsi="Arial"/>
          <w:sz w:val="18"/>
          <w:szCs w:val="18"/>
          <w:color w:val="auto"/>
        </w:rPr>
        <w:t>FINANCING ACTIVITIES: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issuance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Offering costs of public share offering</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Dividends paid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Increase in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1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Net cash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CHANGE IN CASH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CASH,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CASH,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700"/>
        <w:spacing w:after="0"/>
        <w:tabs>
          <w:tab w:leader="none" w:pos="3120" w:val="left"/>
        </w:tabs>
        <w:rPr>
          <w:sz w:val="20"/>
          <w:szCs w:val="20"/>
          <w:color w:val="auto"/>
        </w:rPr>
      </w:pPr>
      <w:r>
        <w:rPr>
          <w:rFonts w:ascii="Arial" w:cs="Arial" w:eastAsia="Arial" w:hAnsi="Arial"/>
          <w:sz w:val="18"/>
          <w:szCs w:val="18"/>
          <w:color w:val="auto"/>
        </w:rPr>
        <w:t>50,632,166</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860"/>
        <w:spacing w:after="0"/>
        <w:tabs>
          <w:tab w:leader="none" w:pos="3120" w:val="left"/>
        </w:tabs>
        <w:rPr>
          <w:sz w:val="20"/>
          <w:szCs w:val="20"/>
          <w:color w:val="auto"/>
        </w:rPr>
      </w:pPr>
      <w:r>
        <w:rPr>
          <w:rFonts w:ascii="Arial" w:cs="Arial" w:eastAsia="Arial" w:hAnsi="Arial"/>
          <w:sz w:val="18"/>
          <w:szCs w:val="18"/>
          <w:color w:val="auto"/>
        </w:rPr>
        <w:t>(102,423)</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jc w:val="both"/>
        <w:ind w:left="720"/>
        <w:spacing w:after="0"/>
        <w:tabs>
          <w:tab w:leader="none" w:pos="2520" w:val="left"/>
        </w:tabs>
        <w:rPr>
          <w:sz w:val="20"/>
          <w:szCs w:val="20"/>
          <w:color w:val="auto"/>
        </w:rPr>
      </w:pPr>
      <w:r>
        <w:rPr>
          <w:rFonts w:ascii="Arial" w:cs="Arial" w:eastAsia="Arial" w:hAnsi="Arial"/>
          <w:sz w:val="18"/>
          <w:szCs w:val="18"/>
          <w:color w:val="auto"/>
        </w:rPr>
        <w:t>(7,170,102)</w:t>
      </w:r>
      <w:r>
        <w:rPr>
          <w:sz w:val="20"/>
          <w:szCs w:val="20"/>
          <w:color w:val="auto"/>
        </w:rPr>
        <w:tab/>
      </w:r>
      <w:r>
        <w:rPr>
          <w:rFonts w:ascii="Arial" w:cs="Arial" w:eastAsia="Arial" w:hAnsi="Arial"/>
          <w:sz w:val="18"/>
          <w:szCs w:val="18"/>
          <w:color w:val="auto"/>
        </w:rPr>
        <w:t>(3,960,849)</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(98,068)</w:t>
      </w:r>
    </w:p>
    <w:p>
      <w:pPr>
        <w:spacing w:after="0" w:line="23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43,359,641</w:t>
      </w:r>
      <w:r>
        <w:rPr>
          <w:rFonts w:ascii="Arial" w:cs="Arial" w:eastAsia="Arial" w:hAnsi="Arial"/>
          <w:sz w:val="16"/>
          <w:szCs w:val="16"/>
          <w:color w:val="auto"/>
        </w:rPr>
        <w:t>(4,058,917)</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4,332,046</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(523,137)</w:t>
            </w:r>
          </w:p>
        </w:tc>
      </w:tr>
      <w:tr>
        <w:trPr>
          <w:trHeight w:val="230"/>
        </w:trPr>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738,756</w:t>
            </w:r>
          </w:p>
        </w:tc>
        <w:tc>
          <w:tcPr>
            <w:tcW w:w="3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2,555,259</w:t>
            </w:r>
          </w:p>
        </w:tc>
        <w:tc>
          <w:tcPr>
            <w:tcW w:w="60" w:type="dxa"/>
            <w:vAlign w:val="bottom"/>
          </w:tcPr>
          <w:p>
            <w:pPr>
              <w:spacing w:after="0"/>
              <w:rPr>
                <w:sz w:val="20"/>
                <w:szCs w:val="20"/>
                <w:color w:val="auto"/>
              </w:rPr>
            </w:pPr>
          </w:p>
        </w:tc>
      </w:tr>
      <w:tr>
        <w:trPr>
          <w:trHeight w:val="453"/>
        </w:trPr>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5,070,802</w:t>
            </w:r>
          </w:p>
        </w:tc>
        <w:tc>
          <w:tcPr>
            <w:tcW w:w="340" w:type="dxa"/>
            <w:vAlign w:val="bottom"/>
          </w:tcPr>
          <w:p>
            <w:pPr>
              <w:spacing w:after="0"/>
              <w:rPr>
                <w:sz w:val="24"/>
                <w:szCs w:val="24"/>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2,032,122</w:t>
            </w:r>
          </w:p>
        </w:tc>
        <w:tc>
          <w:tcPr>
            <w:tcW w:w="60" w:type="dxa"/>
            <w:vAlign w:val="bottom"/>
          </w:tcPr>
          <w:p>
            <w:pPr>
              <w:spacing w:after="0"/>
              <w:rPr>
                <w:sz w:val="24"/>
                <w:szCs w:val="24"/>
                <w:color w:val="auto"/>
              </w:rPr>
            </w:pP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80" w:space="720"/>
            <w:col w:w="3420"/>
          </w:cols>
          <w:pgMar w:left="240" w:top="931"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shd w:val="clear" w:color="auto" w:fill="CCFFCC"/>
          </w:tcPr>
          <w:p>
            <w:pPr>
              <w:spacing w:after="0"/>
              <w:rPr>
                <w:sz w:val="20"/>
                <w:szCs w:val="20"/>
                <w:color w:val="auto"/>
              </w:rPr>
            </w:pPr>
            <w:r>
              <w:rPr>
                <w:rFonts w:ascii="Arial" w:cs="Arial" w:eastAsia="Arial" w:hAnsi="Arial"/>
                <w:sz w:val="18"/>
                <w:szCs w:val="18"/>
                <w:color w:val="auto"/>
              </w:rPr>
              <w:t>Supplemental Information:</w:t>
            </w:r>
          </w:p>
        </w:tc>
        <w:tc>
          <w:tcPr>
            <w:tcW w:w="134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color w:val="auto"/>
              </w:rPr>
              <w:t>Interest paid during the period</w:t>
            </w: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3,388,313</w:t>
            </w:r>
          </w:p>
        </w:tc>
        <w:tc>
          <w:tcPr>
            <w:tcW w:w="5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2,625,000</w:t>
            </w:r>
          </w:p>
        </w:tc>
      </w:tr>
      <w:tr>
        <w:trPr>
          <w:trHeight w:val="216"/>
        </w:trPr>
        <w:tc>
          <w:tcPr>
            <w:tcW w:w="71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Dividends paid during the period under the dividend reinvestment plan</w:t>
            </w:r>
          </w:p>
        </w:tc>
        <w:tc>
          <w:tcPr>
            <w:tcW w:w="134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237,606</w:t>
            </w:r>
          </w:p>
        </w:tc>
        <w:tc>
          <w:tcPr>
            <w:tcW w:w="54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122,844</w:t>
            </w:r>
          </w:p>
        </w:tc>
      </w:tr>
      <w:tr>
        <w:trPr>
          <w:trHeight w:val="230"/>
        </w:trPr>
        <w:tc>
          <w:tcPr>
            <w:tcW w:w="7100" w:type="dxa"/>
            <w:vAlign w:val="bottom"/>
          </w:tcPr>
          <w:p>
            <w:pPr>
              <w:ind w:left="180"/>
              <w:spacing w:after="0"/>
              <w:rPr>
                <w:sz w:val="20"/>
                <w:szCs w:val="20"/>
                <w:color w:val="auto"/>
              </w:rPr>
            </w:pPr>
            <w:r>
              <w:rPr>
                <w:rFonts w:ascii="Arial" w:cs="Arial" w:eastAsia="Arial" w:hAnsi="Arial"/>
                <w:sz w:val="18"/>
                <w:szCs w:val="18"/>
                <w:color w:val="auto"/>
              </w:rPr>
              <w:t>Issuance of common stock in connection with acquisition of affiliate asset manager</w:t>
            </w: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25,560,000</w:t>
            </w: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2013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Principal</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4580" w:type="dxa"/>
            <w:vAlign w:val="bottom"/>
            <w:gridSpan w:val="3"/>
            <w:vMerge w:val="continue"/>
          </w:tcPr>
          <w:p>
            <w:pPr>
              <w:spacing w:after="0"/>
              <w:rPr>
                <w:sz w:val="14"/>
                <w:szCs w:val="14"/>
                <w:color w:val="auto"/>
              </w:rPr>
            </w:pPr>
          </w:p>
        </w:tc>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Interest Rate¹ / Maturity</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440" w:type="dxa"/>
            <w:vAlign w:val="bottom"/>
            <w:tcBorders>
              <w:top w:val="single" w:sz="8" w:color="auto"/>
            </w:tcBorders>
            <w:shd w:val="clear" w:color="auto" w:fill="CCFFCC"/>
          </w:tcPr>
          <w:p>
            <w:pPr>
              <w:spacing w:after="0" w:line="164" w:lineRule="exact"/>
              <w:rPr>
                <w:sz w:val="20"/>
                <w:szCs w:val="20"/>
                <w:color w:val="auto"/>
              </w:rPr>
            </w:pPr>
            <w:r>
              <w:rPr>
                <w:rFonts w:ascii="Arial" w:cs="Arial" w:eastAsia="Arial" w:hAnsi="Arial"/>
                <w:sz w:val="12"/>
                <w:szCs w:val="12"/>
                <w:color w:val="auto"/>
              </w:rPr>
              <w:t>Advanced Lighting Technologies, Inc.</w:t>
            </w:r>
            <w:r>
              <w:rPr>
                <w:rFonts w:ascii="Arial" w:cs="Arial" w:eastAsia="Arial" w:hAnsi="Arial"/>
                <w:sz w:val="18"/>
                <w:szCs w:val="18"/>
                <w:color w:val="auto"/>
                <w:vertAlign w:val="superscript"/>
              </w:rPr>
              <w:t>10</w:t>
            </w:r>
          </w:p>
        </w:tc>
        <w:tc>
          <w:tcPr>
            <w:tcW w:w="120" w:type="dxa"/>
            <w:vAlign w:val="bottom"/>
            <w:tcBorders>
              <w:top w:val="single" w:sz="8" w:color="CCFFCC"/>
            </w:tcBorders>
            <w:shd w:val="clear" w:color="auto" w:fill="CCFFCC"/>
          </w:tcPr>
          <w:p>
            <w:pPr>
              <w:spacing w:after="0"/>
              <w:rPr>
                <w:sz w:val="14"/>
                <w:szCs w:val="14"/>
                <w:color w:val="auto"/>
              </w:rPr>
            </w:pPr>
          </w:p>
        </w:tc>
        <w:tc>
          <w:tcPr>
            <w:tcW w:w="320" w:type="dxa"/>
            <w:vAlign w:val="bottom"/>
            <w:tcBorders>
              <w:top w:val="single" w:sz="8" w:color="auto"/>
            </w:tcBorders>
            <w:shd w:val="clear" w:color="auto" w:fill="CCFFCC"/>
          </w:tcPr>
          <w:p>
            <w:pPr>
              <w:spacing w:after="0"/>
              <w:rPr>
                <w:sz w:val="14"/>
                <w:szCs w:val="14"/>
                <w:color w:val="auto"/>
              </w:rPr>
            </w:pPr>
          </w:p>
        </w:tc>
        <w:tc>
          <w:tcPr>
            <w:tcW w:w="3460" w:type="dxa"/>
            <w:vAlign w:val="bottom"/>
            <w:tcBorders>
              <w:top w:val="single" w:sz="8" w:color="auto"/>
            </w:tcBorders>
            <w:shd w:val="clear" w:color="auto" w:fill="CCFFCC"/>
          </w:tcPr>
          <w:p>
            <w:pPr>
              <w:spacing w:after="0"/>
              <w:rPr>
                <w:sz w:val="14"/>
                <w:szCs w:val="14"/>
                <w:color w:val="auto"/>
              </w:rPr>
            </w:pPr>
          </w:p>
        </w:tc>
        <w:tc>
          <w:tcPr>
            <w:tcW w:w="120" w:type="dxa"/>
            <w:vAlign w:val="bottom"/>
            <w:tcBorders>
              <w:top w:val="single" w:sz="8" w:color="CCFFCC"/>
            </w:tcBorders>
            <w:shd w:val="clear" w:color="auto" w:fill="CCFFCC"/>
          </w:tcPr>
          <w:p>
            <w:pPr>
              <w:spacing w:after="0"/>
              <w:rPr>
                <w:sz w:val="14"/>
                <w:szCs w:val="14"/>
                <w:color w:val="auto"/>
              </w:rPr>
            </w:pPr>
          </w:p>
        </w:tc>
        <w:tc>
          <w:tcPr>
            <w:tcW w:w="120" w:type="dxa"/>
            <w:vAlign w:val="bottom"/>
            <w:tcBorders>
              <w:top w:val="single" w:sz="8" w:color="auto"/>
            </w:tcBorders>
            <w:shd w:val="clear" w:color="auto" w:fill="CCFFCC"/>
          </w:tcPr>
          <w:p>
            <w:pPr>
              <w:spacing w:after="0"/>
              <w:rPr>
                <w:sz w:val="14"/>
                <w:szCs w:val="14"/>
                <w:color w:val="auto"/>
              </w:rPr>
            </w:pPr>
          </w:p>
        </w:tc>
        <w:tc>
          <w:tcPr>
            <w:tcW w:w="800" w:type="dxa"/>
            <w:vAlign w:val="bottom"/>
            <w:tcBorders>
              <w:top w:val="single" w:sz="8" w:color="auto"/>
            </w:tcBorders>
            <w:shd w:val="clear" w:color="auto" w:fill="CCFFCC"/>
          </w:tcPr>
          <w:p>
            <w:pPr>
              <w:spacing w:after="0"/>
              <w:rPr>
                <w:sz w:val="14"/>
                <w:szCs w:val="14"/>
                <w:color w:val="auto"/>
              </w:rPr>
            </w:pPr>
          </w:p>
        </w:tc>
        <w:tc>
          <w:tcPr>
            <w:tcW w:w="40" w:type="dxa"/>
            <w:vAlign w:val="bottom"/>
            <w:tcBorders>
              <w:top w:val="single" w:sz="8" w:color="CCFFCC"/>
            </w:tcBorders>
            <w:shd w:val="clear" w:color="auto" w:fill="CCFFCC"/>
          </w:tcPr>
          <w:p>
            <w:pPr>
              <w:spacing w:after="0"/>
              <w:rPr>
                <w:sz w:val="14"/>
                <w:szCs w:val="14"/>
                <w:color w:val="auto"/>
              </w:rPr>
            </w:pPr>
          </w:p>
        </w:tc>
        <w:tc>
          <w:tcPr>
            <w:tcW w:w="60" w:type="dxa"/>
            <w:vAlign w:val="bottom"/>
            <w:tcBorders>
              <w:top w:val="single" w:sz="8" w:color="CCFFCC"/>
            </w:tcBorders>
            <w:shd w:val="clear" w:color="auto" w:fill="CCFFCC"/>
          </w:tcPr>
          <w:p>
            <w:pPr>
              <w:spacing w:after="0"/>
              <w:rPr>
                <w:sz w:val="14"/>
                <w:szCs w:val="14"/>
                <w:color w:val="auto"/>
              </w:rPr>
            </w:pPr>
          </w:p>
        </w:tc>
        <w:tc>
          <w:tcPr>
            <w:tcW w:w="200" w:type="dxa"/>
            <w:vAlign w:val="bottom"/>
            <w:tcBorders>
              <w:top w:val="single" w:sz="8" w:color="auto"/>
            </w:tcBorders>
            <w:shd w:val="clear" w:color="auto" w:fill="CCFFCC"/>
          </w:tcPr>
          <w:p>
            <w:pPr>
              <w:spacing w:after="0"/>
              <w:rPr>
                <w:sz w:val="14"/>
                <w:szCs w:val="14"/>
                <w:color w:val="auto"/>
              </w:rPr>
            </w:pPr>
          </w:p>
        </w:tc>
        <w:tc>
          <w:tcPr>
            <w:tcW w:w="700" w:type="dxa"/>
            <w:vAlign w:val="bottom"/>
            <w:tcBorders>
              <w:top w:val="single" w:sz="8" w:color="auto"/>
            </w:tcBorders>
            <w:shd w:val="clear" w:color="auto" w:fill="CCFFCC"/>
          </w:tcPr>
          <w:p>
            <w:pPr>
              <w:spacing w:after="0"/>
              <w:rPr>
                <w:sz w:val="14"/>
                <w:szCs w:val="14"/>
                <w:color w:val="auto"/>
              </w:rPr>
            </w:pPr>
          </w:p>
        </w:tc>
        <w:tc>
          <w:tcPr>
            <w:tcW w:w="120" w:type="dxa"/>
            <w:vAlign w:val="bottom"/>
            <w:tcBorders>
              <w:top w:val="single" w:sz="8" w:color="CCFFCC"/>
            </w:tcBorders>
            <w:shd w:val="clear" w:color="auto" w:fill="CCFFCC"/>
          </w:tcPr>
          <w:p>
            <w:pPr>
              <w:spacing w:after="0"/>
              <w:rPr>
                <w:sz w:val="14"/>
                <w:szCs w:val="14"/>
                <w:color w:val="auto"/>
              </w:rPr>
            </w:pPr>
          </w:p>
        </w:tc>
        <w:tc>
          <w:tcPr>
            <w:tcW w:w="160" w:type="dxa"/>
            <w:vAlign w:val="bottom"/>
            <w:tcBorders>
              <w:top w:val="single" w:sz="8" w:color="auto"/>
            </w:tcBorders>
            <w:shd w:val="clear" w:color="auto" w:fill="CCFFCC"/>
          </w:tcPr>
          <w:p>
            <w:pPr>
              <w:spacing w:after="0"/>
              <w:rPr>
                <w:sz w:val="14"/>
                <w:szCs w:val="14"/>
                <w:color w:val="auto"/>
              </w:rPr>
            </w:pPr>
          </w:p>
        </w:tc>
        <w:tc>
          <w:tcPr>
            <w:tcW w:w="740" w:type="dxa"/>
            <w:vAlign w:val="bottom"/>
            <w:tcBorders>
              <w:top w:val="single" w:sz="8" w:color="auto"/>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2"/>
            <w:shd w:val="clear" w:color="auto" w:fill="CCFFCC"/>
          </w:tcPr>
          <w:p>
            <w:pPr>
              <w:ind w:left="320"/>
              <w:spacing w:after="0" w:line="149" w:lineRule="exact"/>
              <w:rPr>
                <w:sz w:val="20"/>
                <w:szCs w:val="20"/>
                <w:color w:val="auto"/>
              </w:rPr>
            </w:pPr>
            <w:r>
              <w:rPr>
                <w:rFonts w:ascii="Arial" w:cs="Arial" w:eastAsia="Arial" w:hAnsi="Arial"/>
                <w:sz w:val="14"/>
                <w:szCs w:val="14"/>
                <w:i w:val="1"/>
                <w:iCs w:val="1"/>
                <w:color w:val="auto"/>
              </w:rPr>
              <w:t>Home and Office Furnishings, Housewares, and Durable Consumer</w:t>
            </w:r>
          </w:p>
        </w:tc>
        <w:tc>
          <w:tcPr>
            <w:tcW w:w="37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First Lien Bond — Bond</w:t>
            </w: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Products</w:t>
            </w:r>
          </w:p>
        </w:tc>
        <w:tc>
          <w:tcPr>
            <w:tcW w:w="37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10.5% Cash, Due 6/19</w:t>
            </w:r>
          </w:p>
        </w:tc>
        <w:tc>
          <w:tcPr>
            <w:tcW w:w="2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3,000,000</w:t>
            </w:r>
          </w:p>
        </w:tc>
        <w:tc>
          <w:tcPr>
            <w:tcW w:w="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2,930,343</w:t>
            </w:r>
          </w:p>
        </w:tc>
        <w:tc>
          <w:tcPr>
            <w:tcW w:w="2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3,000,000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8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 xml:space="preserve">Alaska Communications Systems Holdings, Inc. </w:t>
            </w:r>
            <w:r>
              <w:rPr>
                <w:rFonts w:ascii="Arial" w:cs="Arial" w:eastAsia="Arial" w:hAnsi="Arial"/>
                <w:sz w:val="19"/>
                <w:szCs w:val="19"/>
                <w:color w:val="auto"/>
                <w:vertAlign w:val="superscript"/>
              </w:rPr>
              <w:t>10</w:t>
            </w:r>
          </w:p>
        </w:tc>
        <w:tc>
          <w:tcPr>
            <w:tcW w:w="37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7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Telecommunications</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5.5%</w:t>
            </w:r>
          </w:p>
        </w:tc>
        <w:tc>
          <w:tcPr>
            <w:tcW w:w="3460" w:type="dxa"/>
            <w:vAlign w:val="bottom"/>
            <w:shd w:val="clear" w:color="auto" w:fill="CCFFCC"/>
          </w:tcPr>
          <w:p>
            <w:pPr>
              <w:ind w:left="20"/>
              <w:spacing w:after="0"/>
              <w:rPr>
                <w:sz w:val="20"/>
                <w:szCs w:val="20"/>
                <w:color w:val="auto"/>
              </w:rPr>
            </w:pPr>
            <w:r>
              <w:rPr>
                <w:rFonts w:ascii="Arial" w:cs="Arial" w:eastAsia="Arial" w:hAnsi="Arial"/>
                <w:sz w:val="14"/>
                <w:szCs w:val="14"/>
                <w:color w:val="auto"/>
              </w:rPr>
              <w:t>Cash, Due 10/16</w:t>
            </w: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2,927,557</w:t>
            </w:r>
          </w:p>
        </w:tc>
        <w:tc>
          <w:tcPr>
            <w:tcW w:w="6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2,939,341</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2,878,667</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8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56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Allison Transmission, Inc.</w:t>
            </w:r>
          </w:p>
        </w:tc>
        <w:tc>
          <w:tcPr>
            <w:tcW w:w="378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Senior Secured Loan — New Term B-2 Loan</w:t>
            </w: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Automobile</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3.2%</w:t>
            </w:r>
          </w:p>
        </w:tc>
        <w:tc>
          <w:tcPr>
            <w:tcW w:w="3460" w:type="dxa"/>
            <w:vAlign w:val="bottom"/>
            <w:shd w:val="clear" w:color="auto" w:fill="CCFFCC"/>
          </w:tcPr>
          <w:p>
            <w:pPr>
              <w:ind w:left="20"/>
              <w:spacing w:after="0"/>
              <w:rPr>
                <w:sz w:val="20"/>
                <w:szCs w:val="20"/>
                <w:color w:val="auto"/>
              </w:rPr>
            </w:pPr>
            <w:r>
              <w:rPr>
                <w:rFonts w:ascii="Arial" w:cs="Arial" w:eastAsia="Arial" w:hAnsi="Arial"/>
                <w:sz w:val="14"/>
                <w:szCs w:val="14"/>
                <w:color w:val="auto"/>
              </w:rPr>
              <w:t>Cash, Due 8/17</w:t>
            </w: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1,975,050</w:t>
            </w:r>
          </w:p>
        </w:tc>
        <w:tc>
          <w:tcPr>
            <w:tcW w:w="6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1,963,112</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1,996,381</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8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Aramark Corporation</w:t>
            </w:r>
            <w:r>
              <w:rPr>
                <w:rFonts w:ascii="Arial" w:cs="Arial" w:eastAsia="Arial" w:hAnsi="Arial"/>
                <w:sz w:val="19"/>
                <w:szCs w:val="19"/>
                <w:color w:val="auto"/>
                <w:vertAlign w:val="superscript"/>
              </w:rPr>
              <w:t>10</w:t>
            </w:r>
          </w:p>
        </w:tc>
        <w:tc>
          <w:tcPr>
            <w:tcW w:w="37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Senior Secured Loan — LC-3 Facility</w:t>
            </w: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7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Diversified/Conglomerate Service</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3.8%</w:t>
            </w:r>
          </w:p>
        </w:tc>
        <w:tc>
          <w:tcPr>
            <w:tcW w:w="3460" w:type="dxa"/>
            <w:vAlign w:val="bottom"/>
            <w:shd w:val="clear" w:color="auto" w:fill="CCFFCC"/>
          </w:tcPr>
          <w:p>
            <w:pPr>
              <w:ind w:left="20"/>
              <w:spacing w:after="0"/>
              <w:rPr>
                <w:sz w:val="20"/>
                <w:szCs w:val="20"/>
                <w:color w:val="auto"/>
              </w:rPr>
            </w:pPr>
            <w:r>
              <w:rPr>
                <w:rFonts w:ascii="Arial" w:cs="Arial" w:eastAsia="Arial" w:hAnsi="Arial"/>
                <w:sz w:val="14"/>
                <w:szCs w:val="14"/>
                <w:color w:val="auto"/>
              </w:rPr>
              <w:t>Cash, Due 7/16</w:t>
            </w: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61,707</w:t>
            </w:r>
          </w:p>
        </w:tc>
        <w:tc>
          <w:tcPr>
            <w:tcW w:w="6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61,588</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62,207</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8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Aramark Corporation</w:t>
            </w:r>
            <w:r>
              <w:rPr>
                <w:rFonts w:ascii="Arial" w:cs="Arial" w:eastAsia="Arial" w:hAnsi="Arial"/>
                <w:sz w:val="19"/>
                <w:szCs w:val="19"/>
                <w:color w:val="auto"/>
                <w:vertAlign w:val="superscript"/>
              </w:rPr>
              <w:t>10</w:t>
            </w:r>
          </w:p>
        </w:tc>
        <w:tc>
          <w:tcPr>
            <w:tcW w:w="37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Senior Secured Loan — U.S. Term C Loan</w:t>
            </w: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7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Diversified/Conglomerate Service</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3.8%</w:t>
            </w:r>
          </w:p>
        </w:tc>
        <w:tc>
          <w:tcPr>
            <w:tcW w:w="3460" w:type="dxa"/>
            <w:vAlign w:val="bottom"/>
            <w:shd w:val="clear" w:color="auto" w:fill="CCFFCC"/>
          </w:tcPr>
          <w:p>
            <w:pPr>
              <w:ind w:left="20"/>
              <w:spacing w:after="0"/>
              <w:rPr>
                <w:sz w:val="20"/>
                <w:szCs w:val="20"/>
                <w:color w:val="auto"/>
              </w:rPr>
            </w:pPr>
            <w:r>
              <w:rPr>
                <w:rFonts w:ascii="Arial" w:cs="Arial" w:eastAsia="Arial" w:hAnsi="Arial"/>
                <w:sz w:val="14"/>
                <w:szCs w:val="14"/>
                <w:color w:val="auto"/>
              </w:rPr>
              <w:t>Cash, Due 7/16</w:t>
            </w: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938,293</w:t>
            </w:r>
          </w:p>
        </w:tc>
        <w:tc>
          <w:tcPr>
            <w:tcW w:w="6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936,481</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945,893</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8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Asurion, LLC (fka Asurion Corporation)</w:t>
            </w:r>
            <w:r>
              <w:rPr>
                <w:rFonts w:ascii="Arial" w:cs="Arial" w:eastAsia="Arial" w:hAnsi="Arial"/>
                <w:sz w:val="19"/>
                <w:szCs w:val="19"/>
                <w:color w:val="auto"/>
                <w:vertAlign w:val="superscript"/>
              </w:rPr>
              <w:t>10</w:t>
            </w:r>
          </w:p>
        </w:tc>
        <w:tc>
          <w:tcPr>
            <w:tcW w:w="3780" w:type="dxa"/>
            <w:vAlign w:val="bottom"/>
            <w:gridSpan w:val="2"/>
            <w:shd w:val="clear" w:color="auto" w:fill="CCFFCC"/>
          </w:tcPr>
          <w:p>
            <w:pPr>
              <w:spacing w:after="0"/>
              <w:rPr>
                <w:sz w:val="20"/>
                <w:szCs w:val="20"/>
                <w:color w:val="auto"/>
              </w:rPr>
            </w:pPr>
            <w:r>
              <w:rPr>
                <w:rFonts w:ascii="Arial" w:cs="Arial" w:eastAsia="Arial" w:hAnsi="Arial"/>
                <w:sz w:val="14"/>
                <w:szCs w:val="14"/>
                <w:color w:val="auto"/>
                <w:w w:val="99"/>
              </w:rPr>
              <w:t>Senior Secured Loan — Incremental Tranche B-1 Term Loan</w:t>
            </w: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7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Insurance</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4.5%</w:t>
            </w:r>
          </w:p>
        </w:tc>
        <w:tc>
          <w:tcPr>
            <w:tcW w:w="3460" w:type="dxa"/>
            <w:vAlign w:val="bottom"/>
            <w:shd w:val="clear" w:color="auto" w:fill="CCFFCC"/>
          </w:tcPr>
          <w:p>
            <w:pPr>
              <w:ind w:left="20"/>
              <w:spacing w:after="0"/>
              <w:rPr>
                <w:sz w:val="20"/>
                <w:szCs w:val="20"/>
                <w:color w:val="auto"/>
              </w:rPr>
            </w:pPr>
            <w:r>
              <w:rPr>
                <w:rFonts w:ascii="Arial" w:cs="Arial" w:eastAsia="Arial" w:hAnsi="Arial"/>
                <w:sz w:val="14"/>
                <w:szCs w:val="14"/>
                <w:color w:val="auto"/>
              </w:rPr>
              <w:t>Cash, Due 5/19</w:t>
            </w: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1,995,000</w:t>
            </w:r>
          </w:p>
        </w:tc>
        <w:tc>
          <w:tcPr>
            <w:tcW w:w="6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2,017,060</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2,019,738</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8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56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Avis Budget Car Rental, LLC</w:t>
            </w:r>
          </w:p>
        </w:tc>
        <w:tc>
          <w:tcPr>
            <w:tcW w:w="378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Senior Secured Loan — New Tranche B Term Loan</w:t>
            </w: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Personal Transportation</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3.8%</w:t>
            </w:r>
          </w:p>
        </w:tc>
        <w:tc>
          <w:tcPr>
            <w:tcW w:w="3460" w:type="dxa"/>
            <w:vAlign w:val="bottom"/>
            <w:shd w:val="clear" w:color="auto" w:fill="CCFFCC"/>
          </w:tcPr>
          <w:p>
            <w:pPr>
              <w:ind w:left="20"/>
              <w:spacing w:after="0"/>
              <w:rPr>
                <w:sz w:val="20"/>
                <w:szCs w:val="20"/>
                <w:color w:val="auto"/>
              </w:rPr>
            </w:pPr>
            <w:r>
              <w:rPr>
                <w:rFonts w:ascii="Arial" w:cs="Arial" w:eastAsia="Arial" w:hAnsi="Arial"/>
                <w:sz w:val="14"/>
                <w:szCs w:val="14"/>
                <w:color w:val="auto"/>
              </w:rPr>
              <w:t>Cash, Due 3/19</w:t>
            </w: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1,985,007</w:t>
            </w:r>
          </w:p>
        </w:tc>
        <w:tc>
          <w:tcPr>
            <w:tcW w:w="6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2,015,824</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2,011,209</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8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Bankruptcy Management Solutions, Inc.</w:t>
            </w:r>
            <w:r>
              <w:rPr>
                <w:rFonts w:ascii="Arial" w:cs="Arial" w:eastAsia="Arial" w:hAnsi="Arial"/>
                <w:sz w:val="19"/>
                <w:szCs w:val="19"/>
                <w:color w:val="auto"/>
                <w:vertAlign w:val="superscript"/>
              </w:rPr>
              <w:t>10</w:t>
            </w:r>
          </w:p>
        </w:tc>
        <w:tc>
          <w:tcPr>
            <w:tcW w:w="37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Junior Secured Loan — Loan (Second Lien)</w:t>
            </w: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7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Diversified/Conglomerate Service</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1.2%</w:t>
            </w:r>
          </w:p>
        </w:tc>
        <w:tc>
          <w:tcPr>
            <w:tcW w:w="3460" w:type="dxa"/>
            <w:vAlign w:val="bottom"/>
            <w:shd w:val="clear" w:color="auto" w:fill="CCFFCC"/>
          </w:tcPr>
          <w:p>
            <w:pPr>
              <w:ind w:left="20"/>
              <w:spacing w:after="0"/>
              <w:rPr>
                <w:sz w:val="20"/>
                <w:szCs w:val="20"/>
                <w:color w:val="auto"/>
              </w:rPr>
            </w:pPr>
            <w:r>
              <w:rPr>
                <w:rFonts w:ascii="Arial" w:cs="Arial" w:eastAsia="Arial" w:hAnsi="Arial"/>
                <w:sz w:val="14"/>
                <w:szCs w:val="14"/>
                <w:color w:val="auto"/>
              </w:rPr>
              <w:t>Cash, 7.0% PIK, Due 8/15</w:t>
            </w: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1,430,488</w:t>
            </w:r>
          </w:p>
        </w:tc>
        <w:tc>
          <w:tcPr>
            <w:tcW w:w="6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1,225,488</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50,067</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8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Bankruptcy Management Solutions, Inc.</w:t>
            </w:r>
            <w:r>
              <w:rPr>
                <w:rFonts w:ascii="Arial" w:cs="Arial" w:eastAsia="Arial" w:hAnsi="Arial"/>
                <w:sz w:val="19"/>
                <w:szCs w:val="19"/>
                <w:color w:val="auto"/>
                <w:vertAlign w:val="superscript"/>
              </w:rPr>
              <w:t>10</w:t>
            </w:r>
          </w:p>
        </w:tc>
        <w:tc>
          <w:tcPr>
            <w:tcW w:w="37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Senior Secured Loan — Term Loan B</w:t>
            </w: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7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Diversified/Conglomerate Service</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6.5%</w:t>
            </w:r>
          </w:p>
        </w:tc>
        <w:tc>
          <w:tcPr>
            <w:tcW w:w="3460" w:type="dxa"/>
            <w:vAlign w:val="bottom"/>
            <w:shd w:val="clear" w:color="auto" w:fill="CCFFCC"/>
          </w:tcPr>
          <w:p>
            <w:pPr>
              <w:ind w:left="20"/>
              <w:spacing w:after="0"/>
              <w:rPr>
                <w:sz w:val="20"/>
                <w:szCs w:val="20"/>
                <w:color w:val="auto"/>
              </w:rPr>
            </w:pPr>
            <w:r>
              <w:rPr>
                <w:rFonts w:ascii="Arial" w:cs="Arial" w:eastAsia="Arial" w:hAnsi="Arial"/>
                <w:sz w:val="14"/>
                <w:szCs w:val="14"/>
                <w:color w:val="auto"/>
              </w:rPr>
              <w:t>Cash, 1.0% PIK, Due 8/14</w:t>
            </w: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1,439,045</w:t>
            </w:r>
          </w:p>
        </w:tc>
        <w:tc>
          <w:tcPr>
            <w:tcW w:w="6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1,401,761</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953,367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jc w:val="right"/>
              <w:ind w:right="18"/>
              <w:spacing w:after="0"/>
              <w:rPr>
                <w:sz w:val="20"/>
                <w:szCs w:val="20"/>
                <w:color w:val="auto"/>
              </w:rPr>
            </w:pPr>
            <w:r>
              <w:rPr>
                <w:rFonts w:ascii="Arial" w:cs="Arial" w:eastAsia="Arial" w:hAnsi="Arial"/>
                <w:sz w:val="10"/>
                <w:szCs w:val="10"/>
                <w:color w:val="auto"/>
                <w:w w:val="70"/>
              </w:rPr>
              <w:t>.</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BBB Industries, LLC</w:t>
            </w:r>
            <w:r>
              <w:rPr>
                <w:rFonts w:ascii="Arial" w:cs="Arial" w:eastAsia="Arial" w:hAnsi="Arial"/>
                <w:sz w:val="19"/>
                <w:szCs w:val="19"/>
                <w:color w:val="auto"/>
                <w:vertAlign w:val="superscript"/>
              </w:rPr>
              <w:t>10</w:t>
            </w:r>
          </w:p>
        </w:tc>
        <w:tc>
          <w:tcPr>
            <w:tcW w:w="37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Senior Secured Loan — Term Loan B</w:t>
            </w: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7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Automobile</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5.5%</w:t>
            </w:r>
          </w:p>
        </w:tc>
        <w:tc>
          <w:tcPr>
            <w:tcW w:w="3460" w:type="dxa"/>
            <w:vAlign w:val="bottom"/>
            <w:shd w:val="clear" w:color="auto" w:fill="CCFFCC"/>
          </w:tcPr>
          <w:p>
            <w:pPr>
              <w:ind w:left="20"/>
              <w:spacing w:after="0"/>
              <w:rPr>
                <w:sz w:val="20"/>
                <w:szCs w:val="20"/>
                <w:color w:val="auto"/>
              </w:rPr>
            </w:pPr>
            <w:r>
              <w:rPr>
                <w:rFonts w:ascii="Arial" w:cs="Arial" w:eastAsia="Arial" w:hAnsi="Arial"/>
                <w:sz w:val="14"/>
                <w:szCs w:val="14"/>
                <w:color w:val="auto"/>
              </w:rPr>
              <w:t>Cash, Due 3/19</w:t>
            </w: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3,000,000</w:t>
            </w:r>
          </w:p>
        </w:tc>
        <w:tc>
          <w:tcPr>
            <w:tcW w:w="6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2,985,000</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3,000,000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4"/>
                <w:szCs w:val="14"/>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4580" w:type="dxa"/>
            <w:vAlign w:val="bottom"/>
            <w:gridSpan w:val="3"/>
            <w:vMerge w:val="continue"/>
          </w:tcPr>
          <w:p>
            <w:pPr>
              <w:spacing w:after="0"/>
              <w:rPr>
                <w:sz w:val="14"/>
                <w:szCs w:val="14"/>
                <w:color w:val="auto"/>
              </w:rPr>
            </w:pPr>
          </w:p>
        </w:tc>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Interest Rate¹ / Maturity</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440" w:type="dxa"/>
            <w:vAlign w:val="bottom"/>
            <w:tcBorders>
              <w:top w:val="single" w:sz="8" w:color="auto"/>
            </w:tcBorders>
            <w:shd w:val="clear" w:color="auto" w:fill="CCFFCC"/>
          </w:tcPr>
          <w:p>
            <w:pPr>
              <w:spacing w:after="0" w:line="123" w:lineRule="exact"/>
              <w:rPr>
                <w:sz w:val="20"/>
                <w:szCs w:val="20"/>
                <w:color w:val="auto"/>
              </w:rPr>
            </w:pPr>
            <w:r>
              <w:rPr>
                <w:rFonts w:ascii="Arial" w:cs="Arial" w:eastAsia="Arial" w:hAnsi="Arial"/>
                <w:sz w:val="14"/>
                <w:szCs w:val="14"/>
                <w:color w:val="auto"/>
              </w:rPr>
              <w:t>Berry Plastics Corporation</w:t>
            </w:r>
          </w:p>
        </w:tc>
        <w:tc>
          <w:tcPr>
            <w:tcW w:w="120" w:type="dxa"/>
            <w:vAlign w:val="bottom"/>
            <w:tcBorders>
              <w:top w:val="single" w:sz="8" w:color="CCFFCC"/>
            </w:tcBorders>
            <w:shd w:val="clear" w:color="auto" w:fill="CCFFCC"/>
          </w:tcPr>
          <w:p>
            <w:pPr>
              <w:spacing w:after="0"/>
              <w:rPr>
                <w:sz w:val="10"/>
                <w:szCs w:val="10"/>
                <w:color w:val="auto"/>
              </w:rPr>
            </w:pPr>
          </w:p>
        </w:tc>
        <w:tc>
          <w:tcPr>
            <w:tcW w:w="3440" w:type="dxa"/>
            <w:vAlign w:val="bottom"/>
            <w:tcBorders>
              <w:top w:val="single" w:sz="8" w:color="auto"/>
            </w:tcBorders>
            <w:shd w:val="clear" w:color="auto" w:fill="CCFFCC"/>
          </w:tcPr>
          <w:p>
            <w:pPr>
              <w:spacing w:after="0" w:line="123" w:lineRule="exact"/>
              <w:rPr>
                <w:sz w:val="20"/>
                <w:szCs w:val="20"/>
                <w:color w:val="auto"/>
              </w:rPr>
            </w:pPr>
            <w:r>
              <w:rPr>
                <w:rFonts w:ascii="Arial" w:cs="Arial" w:eastAsia="Arial" w:hAnsi="Arial"/>
                <w:sz w:val="14"/>
                <w:szCs w:val="14"/>
                <w:color w:val="auto"/>
              </w:rPr>
              <w:t>Senior Secured Loan — Term C Loan</w:t>
            </w:r>
          </w:p>
        </w:tc>
        <w:tc>
          <w:tcPr>
            <w:tcW w:w="120" w:type="dxa"/>
            <w:vAlign w:val="bottom"/>
            <w:tcBorders>
              <w:top w:val="single" w:sz="8" w:color="CCFFCC"/>
            </w:tcBorders>
            <w:shd w:val="clear" w:color="auto" w:fill="CCFFCC"/>
          </w:tcPr>
          <w:p>
            <w:pPr>
              <w:spacing w:after="0"/>
              <w:rPr>
                <w:sz w:val="10"/>
                <w:szCs w:val="10"/>
                <w:color w:val="auto"/>
              </w:rPr>
            </w:pPr>
          </w:p>
        </w:tc>
        <w:tc>
          <w:tcPr>
            <w:tcW w:w="160" w:type="dxa"/>
            <w:vAlign w:val="bottom"/>
            <w:tcBorders>
              <w:top w:val="single" w:sz="8" w:color="auto"/>
            </w:tcBorders>
            <w:shd w:val="clear" w:color="auto" w:fill="CCFFCC"/>
          </w:tcPr>
          <w:p>
            <w:pPr>
              <w:spacing w:after="0"/>
              <w:rPr>
                <w:sz w:val="10"/>
                <w:szCs w:val="10"/>
                <w:color w:val="auto"/>
              </w:rPr>
            </w:pPr>
          </w:p>
        </w:tc>
        <w:tc>
          <w:tcPr>
            <w:tcW w:w="88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220" w:type="dxa"/>
            <w:vAlign w:val="bottom"/>
            <w:tcBorders>
              <w:top w:val="single" w:sz="8" w:color="auto"/>
            </w:tcBorders>
            <w:shd w:val="clear" w:color="auto" w:fill="CCFFCC"/>
          </w:tcPr>
          <w:p>
            <w:pPr>
              <w:spacing w:after="0"/>
              <w:rPr>
                <w:sz w:val="10"/>
                <w:szCs w:val="10"/>
                <w:color w:val="auto"/>
              </w:rPr>
            </w:pPr>
          </w:p>
        </w:tc>
        <w:tc>
          <w:tcPr>
            <w:tcW w:w="800" w:type="dxa"/>
            <w:vAlign w:val="bottom"/>
            <w:tcBorders>
              <w:top w:val="single" w:sz="8" w:color="auto"/>
            </w:tcBorders>
            <w:shd w:val="clear" w:color="auto" w:fill="CCFFCC"/>
          </w:tcPr>
          <w:p>
            <w:pPr>
              <w:spacing w:after="0"/>
              <w:rPr>
                <w:sz w:val="10"/>
                <w:szCs w:val="10"/>
                <w:color w:val="auto"/>
              </w:rPr>
            </w:pPr>
          </w:p>
        </w:tc>
        <w:tc>
          <w:tcPr>
            <w:tcW w:w="60" w:type="dxa"/>
            <w:vAlign w:val="bottom"/>
            <w:tcBorders>
              <w:top w:val="single" w:sz="8" w:color="CCFFCC"/>
            </w:tcBorders>
            <w:shd w:val="clear" w:color="auto" w:fill="CCFFCC"/>
          </w:tcPr>
          <w:p>
            <w:pPr>
              <w:spacing w:after="0"/>
              <w:rPr>
                <w:sz w:val="10"/>
                <w:szCs w:val="10"/>
                <w:color w:val="auto"/>
              </w:rPr>
            </w:pPr>
          </w:p>
        </w:tc>
        <w:tc>
          <w:tcPr>
            <w:tcW w:w="40" w:type="dxa"/>
            <w:vAlign w:val="bottom"/>
            <w:tcBorders>
              <w:top w:val="single" w:sz="8" w:color="CCFFCC"/>
            </w:tcBorders>
            <w:shd w:val="clear" w:color="auto" w:fill="CCFFCC"/>
          </w:tcPr>
          <w:p>
            <w:pPr>
              <w:spacing w:after="0"/>
              <w:rPr>
                <w:sz w:val="10"/>
                <w:szCs w:val="10"/>
                <w:color w:val="auto"/>
              </w:rPr>
            </w:pPr>
          </w:p>
        </w:tc>
        <w:tc>
          <w:tcPr>
            <w:tcW w:w="200" w:type="dxa"/>
            <w:vAlign w:val="bottom"/>
            <w:tcBorders>
              <w:top w:val="single" w:sz="8" w:color="auto"/>
            </w:tcBorders>
            <w:shd w:val="clear" w:color="auto" w:fill="CCFFCC"/>
          </w:tcPr>
          <w:p>
            <w:pPr>
              <w:spacing w:after="0"/>
              <w:rPr>
                <w:sz w:val="10"/>
                <w:szCs w:val="10"/>
                <w:color w:val="auto"/>
              </w:rPr>
            </w:pPr>
          </w:p>
        </w:tc>
        <w:tc>
          <w:tcPr>
            <w:tcW w:w="820" w:type="dxa"/>
            <w:vAlign w:val="bottom"/>
            <w:tcBorders>
              <w:top w:val="single" w:sz="8" w:color="auto"/>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Containers, Packaging and Glass</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2.2% Cash, Due 4/15</w:t>
            </w:r>
          </w:p>
        </w:tc>
        <w:tc>
          <w:tcPr>
            <w:tcW w:w="16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1,973,753</w:t>
            </w:r>
          </w:p>
        </w:tc>
        <w:tc>
          <w:tcPr>
            <w:tcW w:w="220" w:type="dxa"/>
            <w:vAlign w:val="bottom"/>
            <w:shd w:val="clear" w:color="auto" w:fill="CCFFCC"/>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1,947,316</w:t>
            </w:r>
          </w:p>
        </w:tc>
        <w:tc>
          <w:tcPr>
            <w:tcW w:w="60" w:type="dxa"/>
            <w:vAlign w:val="bottom"/>
            <w:shd w:val="clear" w:color="auto" w:fill="CCFFCC"/>
          </w:tcPr>
          <w:p>
            <w:pPr>
              <w:spacing w:after="0"/>
              <w:rPr>
                <w:sz w:val="14"/>
                <w:szCs w:val="14"/>
                <w:color w:val="auto"/>
              </w:rPr>
            </w:pPr>
          </w:p>
        </w:tc>
        <w:tc>
          <w:tcPr>
            <w:tcW w:w="2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1,984,609</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56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Burger King Corporation</w:t>
            </w:r>
          </w:p>
        </w:tc>
        <w:tc>
          <w:tcPr>
            <w:tcW w:w="356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Senior Secured Loan — Tranche B Term Loan (2012)</w:t>
            </w:r>
          </w:p>
        </w:tc>
        <w:tc>
          <w:tcPr>
            <w:tcW w:w="16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Personal, Food and Miscellaneous Services</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3.8% Cash, Due 9/19</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1,641,750</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1,637,926</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1,664,899</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Caribe Media Inc. (fka Caribe Information Investments Incorporated)</w:t>
            </w:r>
            <w:r>
              <w:rPr>
                <w:rFonts w:ascii="Arial" w:cs="Arial" w:eastAsia="Arial" w:hAnsi="Arial"/>
                <w:sz w:val="19"/>
                <w:szCs w:val="19"/>
                <w:color w:val="auto"/>
                <w:vertAlign w:val="superscript"/>
              </w:rPr>
              <w:t>10</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Senior Secured Loan — Loan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Printing and Publishing</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10.0% Cash, Due 11/14</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590,817</w:t>
            </w:r>
          </w:p>
        </w:tc>
        <w:tc>
          <w:tcPr>
            <w:tcW w:w="22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590,817</w:t>
            </w: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578,706</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Catalina Marketing Corporation</w:t>
            </w:r>
            <w:r>
              <w:rPr>
                <w:rFonts w:ascii="Arial" w:cs="Arial" w:eastAsia="Arial" w:hAnsi="Arial"/>
                <w:sz w:val="19"/>
                <w:szCs w:val="19"/>
                <w:color w:val="auto"/>
                <w:vertAlign w:val="superscript"/>
              </w:rPr>
              <w:t>10</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Senior Secured Loan — 2017 Term Loan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Diversified/Conglomerate Service</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5.7% Cash, Due 9/17</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1,704,212</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1,673,889</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1,716,142</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Chrysler Group LLC</w:t>
            </w:r>
            <w:r>
              <w:rPr>
                <w:rFonts w:ascii="Arial" w:cs="Arial" w:eastAsia="Arial" w:hAnsi="Arial"/>
                <w:sz w:val="19"/>
                <w:szCs w:val="19"/>
                <w:color w:val="auto"/>
                <w:vertAlign w:val="superscript"/>
              </w:rPr>
              <w:t>10</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Senior Secured Loan — Tranche B Term Loan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Automobile</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6.0% Cash, Due 5/17</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1,974,874</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1,974,874</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2,014,569</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Clover Technologies Group, LLC (Clover Holdings Inc.)</w:t>
            </w:r>
            <w:r>
              <w:rPr>
                <w:rFonts w:ascii="Arial" w:cs="Arial" w:eastAsia="Arial" w:hAnsi="Arial"/>
                <w:sz w:val="19"/>
                <w:szCs w:val="19"/>
                <w:color w:val="auto"/>
                <w:vertAlign w:val="superscript"/>
              </w:rPr>
              <w:t>10</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Senior Secured Loan — Term Loan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Personal and Non Durable Consumer Products (Mfg. Only)</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6.8% Cash, Due 5/18</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3,000,000</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3,043,808</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3,000,000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CoActive Technologies LLC (fka CoActive Technologies, Inc.)</w:t>
            </w:r>
            <w:r>
              <w:rPr>
                <w:rFonts w:ascii="Arial" w:cs="Arial" w:eastAsia="Arial" w:hAnsi="Arial"/>
                <w:sz w:val="19"/>
                <w:szCs w:val="19"/>
                <w:color w:val="auto"/>
                <w:vertAlign w:val="superscript"/>
              </w:rPr>
              <w:t>8, 10</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Junior Secured Loan — Term Loan (Second Lien) 7.1%</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Machinery (Non-Agriculture, Non-Construction, Non-Electronic)</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PIK, Due 1/15</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2,063,007</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1,987,358</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1,403,876</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Del Monte Foods Company</w:t>
            </w:r>
            <w:r>
              <w:rPr>
                <w:rFonts w:ascii="Arial" w:cs="Arial" w:eastAsia="Arial" w:hAnsi="Arial"/>
                <w:sz w:val="19"/>
                <w:szCs w:val="19"/>
                <w:color w:val="auto"/>
                <w:vertAlign w:val="superscript"/>
              </w:rPr>
              <w:t>10</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Senior Secured Loan — Initial Term Loan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Beverage, Food and Tobacco</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4.0% Cash, Due 3/18</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946,751</w:t>
            </w:r>
          </w:p>
        </w:tc>
        <w:tc>
          <w:tcPr>
            <w:tcW w:w="22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948,443</w:t>
            </w: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956,881</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Del Monte Foods Company</w:t>
            </w:r>
            <w:r>
              <w:rPr>
                <w:rFonts w:ascii="Arial" w:cs="Arial" w:eastAsia="Arial" w:hAnsi="Arial"/>
                <w:sz w:val="19"/>
                <w:szCs w:val="19"/>
                <w:color w:val="auto"/>
                <w:vertAlign w:val="superscript"/>
              </w:rPr>
              <w:t>10</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Senior Secured Loan — Initial Term Loan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Beverage, Food and Tobacco</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4.0% Cash, Due 3/18</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1,922,336</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1,903,389</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1,942,905</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eInstruction Corporation</w:t>
            </w:r>
            <w:r>
              <w:rPr>
                <w:rFonts w:ascii="Arial" w:cs="Arial" w:eastAsia="Arial" w:hAnsi="Arial"/>
                <w:sz w:val="19"/>
                <w:szCs w:val="19"/>
                <w:color w:val="auto"/>
                <w:vertAlign w:val="superscript"/>
              </w:rPr>
              <w:t>8, 10</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Junior Secured Loan — Term Loan (Second Lien)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Healthcare, Education and Childcare</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11.5% Cash, Due 7/14</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10,000,000</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10,000,000</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ELO Touch Solutions, Inc.</w:t>
            </w:r>
            <w:r>
              <w:rPr>
                <w:rFonts w:ascii="Arial" w:cs="Arial" w:eastAsia="Arial" w:hAnsi="Arial"/>
                <w:sz w:val="19"/>
                <w:szCs w:val="19"/>
                <w:color w:val="auto"/>
                <w:vertAlign w:val="superscript"/>
              </w:rPr>
              <w:t>10</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Senior Secured Loan — Term Loan (First Lien)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Electronics</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8.0% Cash, Due 6/18</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1,985,000</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1,914,025</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1,976,266</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First American Payment Systems, L.P.</w:t>
            </w:r>
            <w:r>
              <w:rPr>
                <w:rFonts w:ascii="Arial" w:cs="Arial" w:eastAsia="Arial" w:hAnsi="Arial"/>
                <w:sz w:val="19"/>
                <w:szCs w:val="19"/>
                <w:color w:val="auto"/>
                <w:vertAlign w:val="superscript"/>
              </w:rPr>
              <w:t>10</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Junior Secured Loan — Term Loan (Second Lien)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Finance</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10.8% Cash, Due 4/19</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3,000,000</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2,944,206</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3,002,400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4"/>
                <w:szCs w:val="14"/>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4580" w:type="dxa"/>
            <w:vAlign w:val="bottom"/>
            <w:gridSpan w:val="3"/>
            <w:vMerge w:val="continue"/>
          </w:tcPr>
          <w:p>
            <w:pPr>
              <w:spacing w:after="0"/>
              <w:rPr>
                <w:sz w:val="14"/>
                <w:szCs w:val="14"/>
                <w:color w:val="auto"/>
              </w:rPr>
            </w:pPr>
          </w:p>
        </w:tc>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Interest Rate¹ / Maturity</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440" w:type="dxa"/>
            <w:vAlign w:val="bottom"/>
            <w:tcBorders>
              <w:top w:val="single" w:sz="8" w:color="auto"/>
            </w:tcBorders>
            <w:shd w:val="clear" w:color="auto" w:fill="CCFFCC"/>
          </w:tcPr>
          <w:p>
            <w:pPr>
              <w:spacing w:after="0" w:line="164" w:lineRule="exact"/>
              <w:rPr>
                <w:sz w:val="20"/>
                <w:szCs w:val="20"/>
                <w:color w:val="auto"/>
              </w:rPr>
            </w:pPr>
            <w:r>
              <w:rPr>
                <w:rFonts w:ascii="Arial" w:cs="Arial" w:eastAsia="Arial" w:hAnsi="Arial"/>
                <w:sz w:val="12"/>
                <w:szCs w:val="12"/>
                <w:color w:val="auto"/>
              </w:rPr>
              <w:t>First Data Corporation</w:t>
            </w:r>
            <w:r>
              <w:rPr>
                <w:rFonts w:ascii="Arial" w:cs="Arial" w:eastAsia="Arial" w:hAnsi="Arial"/>
                <w:sz w:val="18"/>
                <w:szCs w:val="18"/>
                <w:color w:val="auto"/>
                <w:vertAlign w:val="superscript"/>
              </w:rPr>
              <w:t>10</w:t>
            </w:r>
          </w:p>
        </w:tc>
        <w:tc>
          <w:tcPr>
            <w:tcW w:w="120" w:type="dxa"/>
            <w:vAlign w:val="bottom"/>
            <w:tcBorders>
              <w:top w:val="single" w:sz="8" w:color="CCFFCC"/>
            </w:tcBorders>
            <w:shd w:val="clear" w:color="auto" w:fill="CCFFCC"/>
          </w:tcPr>
          <w:p>
            <w:pPr>
              <w:spacing w:after="0"/>
              <w:rPr>
                <w:sz w:val="14"/>
                <w:szCs w:val="14"/>
                <w:color w:val="auto"/>
              </w:rPr>
            </w:pPr>
          </w:p>
        </w:tc>
        <w:tc>
          <w:tcPr>
            <w:tcW w:w="3440" w:type="dxa"/>
            <w:vAlign w:val="bottom"/>
            <w:tcBorders>
              <w:top w:val="single" w:sz="8" w:color="auto"/>
            </w:tcBorders>
            <w:gridSpan w:val="2"/>
            <w:shd w:val="clear" w:color="auto" w:fill="CCFFCC"/>
          </w:tcPr>
          <w:p>
            <w:pPr>
              <w:spacing w:after="0"/>
              <w:rPr>
                <w:sz w:val="20"/>
                <w:szCs w:val="20"/>
                <w:color w:val="auto"/>
              </w:rPr>
            </w:pPr>
            <w:r>
              <w:rPr>
                <w:rFonts w:ascii="Arial" w:cs="Arial" w:eastAsia="Arial" w:hAnsi="Arial"/>
                <w:sz w:val="14"/>
                <w:szCs w:val="14"/>
                <w:color w:val="auto"/>
              </w:rPr>
              <w:t>Senior Secured Loan — 2018 Dollar Term Loan</w:t>
            </w:r>
          </w:p>
        </w:tc>
        <w:tc>
          <w:tcPr>
            <w:tcW w:w="120" w:type="dxa"/>
            <w:vAlign w:val="bottom"/>
            <w:tcBorders>
              <w:top w:val="single" w:sz="8" w:color="CCFFCC"/>
            </w:tcBorders>
            <w:shd w:val="clear" w:color="auto" w:fill="CCFFCC"/>
          </w:tcPr>
          <w:p>
            <w:pPr>
              <w:spacing w:after="0"/>
              <w:rPr>
                <w:sz w:val="14"/>
                <w:szCs w:val="14"/>
                <w:color w:val="auto"/>
              </w:rPr>
            </w:pPr>
          </w:p>
        </w:tc>
        <w:tc>
          <w:tcPr>
            <w:tcW w:w="160" w:type="dxa"/>
            <w:vAlign w:val="bottom"/>
            <w:tcBorders>
              <w:top w:val="single" w:sz="8" w:color="auto"/>
            </w:tcBorders>
            <w:shd w:val="clear" w:color="auto" w:fill="CCFFCC"/>
          </w:tcPr>
          <w:p>
            <w:pPr>
              <w:spacing w:after="0"/>
              <w:rPr>
                <w:sz w:val="14"/>
                <w:szCs w:val="14"/>
                <w:color w:val="auto"/>
              </w:rPr>
            </w:pPr>
          </w:p>
        </w:tc>
        <w:tc>
          <w:tcPr>
            <w:tcW w:w="880" w:type="dxa"/>
            <w:vAlign w:val="bottom"/>
            <w:tcBorders>
              <w:top w:val="single" w:sz="8" w:color="auto"/>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220" w:type="dxa"/>
            <w:vAlign w:val="bottom"/>
            <w:tcBorders>
              <w:top w:val="single" w:sz="8" w:color="auto"/>
            </w:tcBorders>
            <w:shd w:val="clear" w:color="auto" w:fill="CCFFCC"/>
          </w:tcPr>
          <w:p>
            <w:pPr>
              <w:spacing w:after="0"/>
              <w:rPr>
                <w:sz w:val="14"/>
                <w:szCs w:val="14"/>
                <w:color w:val="auto"/>
              </w:rPr>
            </w:pPr>
          </w:p>
        </w:tc>
        <w:tc>
          <w:tcPr>
            <w:tcW w:w="800" w:type="dxa"/>
            <w:vAlign w:val="bottom"/>
            <w:tcBorders>
              <w:top w:val="single" w:sz="8" w:color="auto"/>
            </w:tcBorders>
            <w:shd w:val="clear" w:color="auto" w:fill="CCFFCC"/>
          </w:tcPr>
          <w:p>
            <w:pPr>
              <w:spacing w:after="0"/>
              <w:rPr>
                <w:sz w:val="14"/>
                <w:szCs w:val="14"/>
                <w:color w:val="auto"/>
              </w:rPr>
            </w:pPr>
          </w:p>
        </w:tc>
        <w:tc>
          <w:tcPr>
            <w:tcW w:w="60" w:type="dxa"/>
            <w:vAlign w:val="bottom"/>
            <w:tcBorders>
              <w:top w:val="single" w:sz="8" w:color="CCFFCC"/>
            </w:tcBorders>
            <w:shd w:val="clear" w:color="auto" w:fill="CCFFCC"/>
          </w:tcPr>
          <w:p>
            <w:pPr>
              <w:spacing w:after="0"/>
              <w:rPr>
                <w:sz w:val="14"/>
                <w:szCs w:val="14"/>
                <w:color w:val="auto"/>
              </w:rPr>
            </w:pPr>
          </w:p>
        </w:tc>
        <w:tc>
          <w:tcPr>
            <w:tcW w:w="40" w:type="dxa"/>
            <w:vAlign w:val="bottom"/>
            <w:tcBorders>
              <w:top w:val="single" w:sz="8" w:color="CCFFCC"/>
            </w:tcBorders>
            <w:shd w:val="clear" w:color="auto" w:fill="CCFFCC"/>
          </w:tcPr>
          <w:p>
            <w:pPr>
              <w:spacing w:after="0"/>
              <w:rPr>
                <w:sz w:val="14"/>
                <w:szCs w:val="14"/>
                <w:color w:val="auto"/>
              </w:rPr>
            </w:pPr>
          </w:p>
        </w:tc>
        <w:tc>
          <w:tcPr>
            <w:tcW w:w="200" w:type="dxa"/>
            <w:vAlign w:val="bottom"/>
            <w:tcBorders>
              <w:top w:val="single" w:sz="8" w:color="auto"/>
            </w:tcBorders>
            <w:shd w:val="clear" w:color="auto" w:fill="CCFFCC"/>
          </w:tcPr>
          <w:p>
            <w:pPr>
              <w:spacing w:after="0"/>
              <w:rPr>
                <w:sz w:val="14"/>
                <w:szCs w:val="14"/>
                <w:color w:val="auto"/>
              </w:rPr>
            </w:pPr>
          </w:p>
        </w:tc>
        <w:tc>
          <w:tcPr>
            <w:tcW w:w="820" w:type="dxa"/>
            <w:vAlign w:val="bottom"/>
            <w:tcBorders>
              <w:top w:val="single" w:sz="8" w:color="auto"/>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Finance</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4.2%</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3/18</w:t>
            </w:r>
          </w:p>
        </w:tc>
        <w:tc>
          <w:tcPr>
            <w:tcW w:w="16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2,000,000</w:t>
            </w:r>
          </w:p>
        </w:tc>
        <w:tc>
          <w:tcPr>
            <w:tcW w:w="220" w:type="dxa"/>
            <w:vAlign w:val="bottom"/>
            <w:shd w:val="clear" w:color="auto" w:fill="CCFFCC"/>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1,815,958</w:t>
            </w:r>
          </w:p>
        </w:tc>
        <w:tc>
          <w:tcPr>
            <w:tcW w:w="60" w:type="dxa"/>
            <w:vAlign w:val="bottom"/>
            <w:shd w:val="clear" w:color="auto" w:fill="CCFFCC"/>
          </w:tcPr>
          <w:p>
            <w:pPr>
              <w:spacing w:after="0"/>
              <w:rPr>
                <w:sz w:val="14"/>
                <w:szCs w:val="14"/>
                <w:color w:val="auto"/>
              </w:rPr>
            </w:pPr>
          </w:p>
        </w:tc>
        <w:tc>
          <w:tcPr>
            <w:tcW w:w="2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1,996,600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Flexera Software LLC (fka Flexera Software, Inc.)</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Term Loan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Electronics</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6.0%</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3/19</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1,750,000</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1,741,306</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1,766,625</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Fram Group Holdings Inc./Prestone Holdings Inc.</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Term Loan (First Lien)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Automobile</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6.5%</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7/17</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966,900</w:t>
            </w:r>
          </w:p>
        </w:tc>
        <w:tc>
          <w:tcPr>
            <w:tcW w:w="22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972,915</w:t>
            </w: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981,791</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56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Freescale Semiconductor, Inc.</w:t>
            </w:r>
          </w:p>
        </w:tc>
        <w:tc>
          <w:tcPr>
            <w:tcW w:w="3560" w:type="dxa"/>
            <w:vAlign w:val="bottom"/>
            <w:gridSpan w:val="3"/>
            <w:shd w:val="clear" w:color="auto" w:fill="CCFFCC"/>
          </w:tcPr>
          <w:p>
            <w:pPr>
              <w:spacing w:after="0" w:line="130" w:lineRule="exact"/>
              <w:rPr>
                <w:sz w:val="20"/>
                <w:szCs w:val="20"/>
                <w:color w:val="auto"/>
              </w:rPr>
            </w:pPr>
            <w:r>
              <w:rPr>
                <w:rFonts w:ascii="Arial" w:cs="Arial" w:eastAsia="Arial" w:hAnsi="Arial"/>
                <w:sz w:val="14"/>
                <w:szCs w:val="14"/>
                <w:color w:val="auto"/>
              </w:rPr>
              <w:t>Senior Subordinated Bond — Bond</w:t>
            </w:r>
          </w:p>
        </w:tc>
        <w:tc>
          <w:tcPr>
            <w:tcW w:w="16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Electronics</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10.3% Cash, Due 12/16</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1,036,000</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1,037,854</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1,060,657</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Getty Images, Inc.</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Initial Term Loan (New)</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Printing and Publishing</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4.8%</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10/19</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1,995,000</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1,976,309</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2,025,125</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gridSpan w:val="2"/>
            <w:shd w:val="clear" w:color="auto" w:fill="CCFFCC"/>
          </w:tcPr>
          <w:p>
            <w:pPr>
              <w:spacing w:after="0" w:line="202" w:lineRule="exact"/>
              <w:rPr>
                <w:sz w:val="20"/>
                <w:szCs w:val="20"/>
                <w:color w:val="auto"/>
              </w:rPr>
            </w:pPr>
            <w:r>
              <w:rPr>
                <w:rFonts w:ascii="Arial" w:cs="Arial" w:eastAsia="Arial" w:hAnsi="Arial"/>
                <w:sz w:val="14"/>
                <w:szCs w:val="14"/>
                <w:color w:val="auto"/>
              </w:rPr>
              <w:t>Ginn LA Conduit Lender, Inc.</w:t>
            </w:r>
            <w:r>
              <w:rPr>
                <w:rFonts w:ascii="Arial" w:cs="Arial" w:eastAsia="Arial" w:hAnsi="Arial"/>
                <w:sz w:val="23"/>
                <w:szCs w:val="23"/>
                <w:color w:val="auto"/>
                <w:vertAlign w:val="superscript"/>
              </w:rPr>
              <w:t>8, 10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Junior Secured Loan — Loan (Second Lien)</w:t>
            </w:r>
          </w:p>
        </w:tc>
        <w:tc>
          <w:tcPr>
            <w:tcW w:w="16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60" w:type="dxa"/>
            <w:vAlign w:val="bottom"/>
            <w:gridSpan w:val="2"/>
            <w:shd w:val="clear" w:color="auto" w:fill="CCFFCC"/>
          </w:tcPr>
          <w:p>
            <w:pPr>
              <w:ind w:left="320"/>
              <w:spacing w:after="0" w:line="176" w:lineRule="exact"/>
              <w:rPr>
                <w:sz w:val="20"/>
                <w:szCs w:val="20"/>
                <w:color w:val="auto"/>
              </w:rPr>
            </w:pPr>
            <w:r>
              <w:rPr>
                <w:rFonts w:ascii="Arial" w:cs="Arial" w:eastAsia="Arial" w:hAnsi="Arial"/>
                <w:sz w:val="13"/>
                <w:szCs w:val="13"/>
                <w:i w:val="1"/>
                <w:iCs w:val="1"/>
                <w:color w:val="auto"/>
              </w:rPr>
              <w:t>Buildings and Real Estate</w:t>
            </w:r>
            <w:r>
              <w:rPr>
                <w:rFonts w:ascii="Arial" w:cs="Arial" w:eastAsia="Arial" w:hAnsi="Arial"/>
                <w:sz w:val="20"/>
                <w:szCs w:val="20"/>
                <w:color w:val="auto"/>
                <w:vertAlign w:val="superscript"/>
              </w:rPr>
              <w:t>4</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7.8%</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6/12</w:t>
            </w:r>
          </w:p>
        </w:tc>
        <w:tc>
          <w:tcPr>
            <w:tcW w:w="160" w:type="dxa"/>
            <w:vAlign w:val="bottom"/>
            <w:shd w:val="clear" w:color="auto" w:fill="CCFFCC"/>
          </w:tcPr>
          <w:p>
            <w:pPr>
              <w:spacing w:after="0"/>
              <w:rPr>
                <w:sz w:val="15"/>
                <w:szCs w:val="15"/>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3,000,000</w:t>
            </w:r>
          </w:p>
        </w:tc>
        <w:tc>
          <w:tcPr>
            <w:tcW w:w="220" w:type="dxa"/>
            <w:vAlign w:val="bottom"/>
            <w:shd w:val="clear" w:color="auto" w:fill="CCFFCC"/>
          </w:tcPr>
          <w:p>
            <w:pPr>
              <w:spacing w:after="0"/>
              <w:rPr>
                <w:sz w:val="15"/>
                <w:szCs w:val="15"/>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2,715,997</w:t>
            </w:r>
          </w:p>
        </w:tc>
        <w:tc>
          <w:tcPr>
            <w:tcW w:w="60" w:type="dxa"/>
            <w:vAlign w:val="bottom"/>
            <w:shd w:val="clear" w:color="auto" w:fill="CCFFCC"/>
          </w:tcPr>
          <w:p>
            <w:pPr>
              <w:spacing w:after="0"/>
              <w:rPr>
                <w:sz w:val="15"/>
                <w:szCs w:val="15"/>
                <w:color w:val="auto"/>
              </w:rPr>
            </w:pPr>
          </w:p>
        </w:tc>
        <w:tc>
          <w:tcPr>
            <w:tcW w:w="4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30,000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gridSpan w:val="2"/>
            <w:shd w:val="clear" w:color="auto" w:fill="CCFFCC"/>
          </w:tcPr>
          <w:p>
            <w:pPr>
              <w:spacing w:after="0" w:line="202" w:lineRule="exact"/>
              <w:rPr>
                <w:sz w:val="20"/>
                <w:szCs w:val="20"/>
                <w:color w:val="auto"/>
              </w:rPr>
            </w:pPr>
            <w:r>
              <w:rPr>
                <w:rFonts w:ascii="Arial" w:cs="Arial" w:eastAsia="Arial" w:hAnsi="Arial"/>
                <w:sz w:val="14"/>
                <w:szCs w:val="14"/>
                <w:color w:val="auto"/>
              </w:rPr>
              <w:t>Ginn LA Conduit Lender, Inc.</w:t>
            </w:r>
            <w:r>
              <w:rPr>
                <w:rFonts w:ascii="Arial" w:cs="Arial" w:eastAsia="Arial" w:hAnsi="Arial"/>
                <w:sz w:val="23"/>
                <w:szCs w:val="23"/>
                <w:color w:val="auto"/>
                <w:vertAlign w:val="superscript"/>
              </w:rPr>
              <w:t>8, 10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First Lien Tranche B Term Loan</w:t>
            </w:r>
          </w:p>
        </w:tc>
        <w:tc>
          <w:tcPr>
            <w:tcW w:w="16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60" w:type="dxa"/>
            <w:vAlign w:val="bottom"/>
            <w:gridSpan w:val="2"/>
            <w:shd w:val="clear" w:color="auto" w:fill="CCFFCC"/>
          </w:tcPr>
          <w:p>
            <w:pPr>
              <w:ind w:left="320"/>
              <w:spacing w:after="0" w:line="176" w:lineRule="exact"/>
              <w:rPr>
                <w:sz w:val="20"/>
                <w:szCs w:val="20"/>
                <w:color w:val="auto"/>
              </w:rPr>
            </w:pPr>
            <w:r>
              <w:rPr>
                <w:rFonts w:ascii="Arial" w:cs="Arial" w:eastAsia="Arial" w:hAnsi="Arial"/>
                <w:sz w:val="13"/>
                <w:szCs w:val="13"/>
                <w:i w:val="1"/>
                <w:iCs w:val="1"/>
                <w:color w:val="auto"/>
              </w:rPr>
              <w:t>Buildings and Real Estate</w:t>
            </w:r>
            <w:r>
              <w:rPr>
                <w:rFonts w:ascii="Arial" w:cs="Arial" w:eastAsia="Arial" w:hAnsi="Arial"/>
                <w:sz w:val="20"/>
                <w:szCs w:val="20"/>
                <w:color w:val="auto"/>
                <w:vertAlign w:val="superscript"/>
              </w:rPr>
              <w:t>4</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11.8% Cash, Due 6/11</w:t>
            </w:r>
          </w:p>
        </w:tc>
        <w:tc>
          <w:tcPr>
            <w:tcW w:w="160" w:type="dxa"/>
            <w:vAlign w:val="bottom"/>
            <w:shd w:val="clear" w:color="auto" w:fill="CCFFCC"/>
          </w:tcPr>
          <w:p>
            <w:pPr>
              <w:spacing w:after="0"/>
              <w:rPr>
                <w:sz w:val="15"/>
                <w:szCs w:val="15"/>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2,694,857</w:t>
            </w:r>
          </w:p>
        </w:tc>
        <w:tc>
          <w:tcPr>
            <w:tcW w:w="220" w:type="dxa"/>
            <w:vAlign w:val="bottom"/>
            <w:shd w:val="clear" w:color="auto" w:fill="CCFFCC"/>
          </w:tcPr>
          <w:p>
            <w:pPr>
              <w:spacing w:after="0"/>
              <w:rPr>
                <w:sz w:val="15"/>
                <w:szCs w:val="15"/>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2,624,028</w:t>
            </w:r>
          </w:p>
        </w:tc>
        <w:tc>
          <w:tcPr>
            <w:tcW w:w="60" w:type="dxa"/>
            <w:vAlign w:val="bottom"/>
            <w:shd w:val="clear" w:color="auto" w:fill="CCFFCC"/>
          </w:tcPr>
          <w:p>
            <w:pPr>
              <w:spacing w:after="0"/>
              <w:rPr>
                <w:sz w:val="15"/>
                <w:szCs w:val="15"/>
                <w:color w:val="auto"/>
              </w:rPr>
            </w:pPr>
          </w:p>
        </w:tc>
        <w:tc>
          <w:tcPr>
            <w:tcW w:w="4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94,320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560" w:type="dxa"/>
            <w:vAlign w:val="bottom"/>
            <w:gridSpan w:val="2"/>
            <w:vMerge w:val="restart"/>
            <w:shd w:val="clear" w:color="auto" w:fill="CCFFCC"/>
          </w:tcPr>
          <w:p>
            <w:pPr>
              <w:spacing w:after="0"/>
              <w:rPr>
                <w:sz w:val="20"/>
                <w:szCs w:val="20"/>
                <w:color w:val="auto"/>
              </w:rPr>
            </w:pPr>
            <w:r>
              <w:rPr>
                <w:rFonts w:ascii="Arial" w:cs="Arial" w:eastAsia="Arial" w:hAnsi="Arial"/>
                <w:sz w:val="14"/>
                <w:szCs w:val="14"/>
                <w:color w:val="auto"/>
              </w:rPr>
              <w:t>Ginn LA Conduit Lender, Inc.</w:t>
            </w:r>
            <w:r>
              <w:rPr>
                <w:rFonts w:ascii="Arial" w:cs="Arial" w:eastAsia="Arial" w:hAnsi="Arial"/>
                <w:sz w:val="23"/>
                <w:szCs w:val="23"/>
                <w:color w:val="auto"/>
                <w:vertAlign w:val="superscript"/>
              </w:rPr>
              <w:t>8, 10</w:t>
            </w:r>
          </w:p>
        </w:tc>
        <w:tc>
          <w:tcPr>
            <w:tcW w:w="3560" w:type="dxa"/>
            <w:vAlign w:val="bottom"/>
            <w:gridSpan w:val="3"/>
            <w:shd w:val="clear" w:color="auto" w:fill="CCFFCC"/>
          </w:tcPr>
          <w:p>
            <w:pPr>
              <w:spacing w:after="0" w:line="130" w:lineRule="exact"/>
              <w:rPr>
                <w:sz w:val="20"/>
                <w:szCs w:val="20"/>
                <w:color w:val="auto"/>
              </w:rPr>
            </w:pPr>
            <w:r>
              <w:rPr>
                <w:rFonts w:ascii="Arial" w:cs="Arial" w:eastAsia="Arial" w:hAnsi="Arial"/>
                <w:sz w:val="14"/>
                <w:szCs w:val="14"/>
                <w:color w:val="auto"/>
              </w:rPr>
              <w:t>Senior Secured Loan — First Lien Tranche A Credit-</w:t>
            </w:r>
          </w:p>
        </w:tc>
        <w:tc>
          <w:tcPr>
            <w:tcW w:w="16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560" w:type="dxa"/>
            <w:vAlign w:val="bottom"/>
            <w:gridSpan w:val="2"/>
            <w:vMerge w:val="continue"/>
            <w:shd w:val="clear" w:color="auto" w:fill="CCFFCC"/>
          </w:tcPr>
          <w:p>
            <w:pPr>
              <w:spacing w:after="0"/>
              <w:rPr>
                <w:sz w:val="12"/>
                <w:szCs w:val="12"/>
                <w:color w:val="auto"/>
              </w:rPr>
            </w:pPr>
          </w:p>
        </w:tc>
        <w:tc>
          <w:tcPr>
            <w:tcW w:w="3560" w:type="dxa"/>
            <w:vAlign w:val="bottom"/>
            <w:gridSpan w:val="3"/>
            <w:shd w:val="clear" w:color="auto" w:fill="CCFFCC"/>
          </w:tcPr>
          <w:p>
            <w:pPr>
              <w:spacing w:after="0" w:line="141" w:lineRule="exact"/>
              <w:rPr>
                <w:sz w:val="20"/>
                <w:szCs w:val="20"/>
                <w:color w:val="auto"/>
              </w:rPr>
            </w:pPr>
            <w:r>
              <w:rPr>
                <w:rFonts w:ascii="Arial" w:cs="Arial" w:eastAsia="Arial" w:hAnsi="Arial"/>
                <w:sz w:val="14"/>
                <w:szCs w:val="14"/>
                <w:color w:val="auto"/>
              </w:rPr>
              <w:t>Linked Deposit</w:t>
            </w:r>
          </w:p>
        </w:tc>
        <w:tc>
          <w:tcPr>
            <w:tcW w:w="1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60" w:type="dxa"/>
            <w:vAlign w:val="bottom"/>
            <w:gridSpan w:val="2"/>
            <w:shd w:val="clear" w:color="auto" w:fill="CCFFCC"/>
          </w:tcPr>
          <w:p>
            <w:pPr>
              <w:ind w:left="320"/>
              <w:spacing w:after="0" w:line="176" w:lineRule="exact"/>
              <w:rPr>
                <w:sz w:val="20"/>
                <w:szCs w:val="20"/>
                <w:color w:val="auto"/>
              </w:rPr>
            </w:pPr>
            <w:r>
              <w:rPr>
                <w:rFonts w:ascii="Arial" w:cs="Arial" w:eastAsia="Arial" w:hAnsi="Arial"/>
                <w:sz w:val="13"/>
                <w:szCs w:val="13"/>
                <w:i w:val="1"/>
                <w:iCs w:val="1"/>
                <w:color w:val="auto"/>
              </w:rPr>
              <w:t>Buildings and Real Estate</w:t>
            </w:r>
            <w:r>
              <w:rPr>
                <w:rFonts w:ascii="Arial" w:cs="Arial" w:eastAsia="Arial" w:hAnsi="Arial"/>
                <w:sz w:val="20"/>
                <w:szCs w:val="20"/>
                <w:color w:val="auto"/>
                <w:vertAlign w:val="superscript"/>
              </w:rPr>
              <w:t>4</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7.8%</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6/11</w:t>
            </w:r>
          </w:p>
        </w:tc>
        <w:tc>
          <w:tcPr>
            <w:tcW w:w="160" w:type="dxa"/>
            <w:vAlign w:val="bottom"/>
            <w:shd w:val="clear" w:color="auto" w:fill="CCFFCC"/>
          </w:tcPr>
          <w:p>
            <w:pPr>
              <w:spacing w:after="0"/>
              <w:rPr>
                <w:sz w:val="15"/>
                <w:szCs w:val="15"/>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1,257,143</w:t>
            </w:r>
          </w:p>
        </w:tc>
        <w:tc>
          <w:tcPr>
            <w:tcW w:w="220" w:type="dxa"/>
            <w:vAlign w:val="bottom"/>
            <w:shd w:val="clear" w:color="auto" w:fill="CCFFCC"/>
          </w:tcPr>
          <w:p>
            <w:pPr>
              <w:spacing w:after="0"/>
              <w:rPr>
                <w:sz w:val="15"/>
                <w:szCs w:val="15"/>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1,224,101</w:t>
            </w:r>
          </w:p>
        </w:tc>
        <w:tc>
          <w:tcPr>
            <w:tcW w:w="60" w:type="dxa"/>
            <w:vAlign w:val="bottom"/>
            <w:shd w:val="clear" w:color="auto" w:fill="CCFFCC"/>
          </w:tcPr>
          <w:p>
            <w:pPr>
              <w:spacing w:after="0"/>
              <w:rPr>
                <w:sz w:val="15"/>
                <w:szCs w:val="15"/>
                <w:color w:val="auto"/>
              </w:rPr>
            </w:pPr>
          </w:p>
        </w:tc>
        <w:tc>
          <w:tcPr>
            <w:tcW w:w="4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44,000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Grupo HIMA San Pablo, Inc.</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Term B Loan (First Lien)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Healthcare, Education and Childcare</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8.5%</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1/18</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3,000,000</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2,941,940</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2,940,000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Grupo HIMA San Pablo, Inc.</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Junior Secured Loan — Term Loan (Second Lien)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Healthcare, Education and Childcare</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13.8% Cash, Due 7/18</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5,000,000</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4,757,353</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4,750,000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Gymboree Corporation., The</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Term Loan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Retail Stores</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5.0%</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2/18</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1,421,105</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1,359,024</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1,380,746</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HMSC Corporation (aka Swett and Crawford)</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Junior Secured Loan — Loan (Second Lien)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Insurance</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5.7%</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10/14</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5,000,000</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4,956,001</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5,000,000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8"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4"/>
                <w:szCs w:val="14"/>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4580" w:type="dxa"/>
            <w:vAlign w:val="bottom"/>
            <w:gridSpan w:val="3"/>
            <w:vMerge w:val="continue"/>
          </w:tcPr>
          <w:p>
            <w:pPr>
              <w:spacing w:after="0"/>
              <w:rPr>
                <w:sz w:val="14"/>
                <w:szCs w:val="14"/>
                <w:color w:val="auto"/>
              </w:rPr>
            </w:pPr>
          </w:p>
        </w:tc>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Interest Rate¹ / Maturity</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440" w:type="dxa"/>
            <w:vAlign w:val="bottom"/>
            <w:tcBorders>
              <w:top w:val="single" w:sz="8" w:color="auto"/>
            </w:tcBorders>
            <w:shd w:val="clear" w:color="auto" w:fill="CCFFCC"/>
          </w:tcPr>
          <w:p>
            <w:pPr>
              <w:spacing w:after="0" w:line="164" w:lineRule="exact"/>
              <w:rPr>
                <w:sz w:val="20"/>
                <w:szCs w:val="20"/>
                <w:color w:val="auto"/>
              </w:rPr>
            </w:pPr>
            <w:r>
              <w:rPr>
                <w:rFonts w:ascii="Arial" w:cs="Arial" w:eastAsia="Arial" w:hAnsi="Arial"/>
                <w:sz w:val="12"/>
                <w:szCs w:val="12"/>
                <w:color w:val="auto"/>
              </w:rPr>
              <w:t>Hunter Defense Technologies, Inc.</w:t>
            </w:r>
            <w:r>
              <w:rPr>
                <w:rFonts w:ascii="Arial" w:cs="Arial" w:eastAsia="Arial" w:hAnsi="Arial"/>
                <w:sz w:val="18"/>
                <w:szCs w:val="18"/>
                <w:color w:val="auto"/>
                <w:vertAlign w:val="superscript"/>
              </w:rPr>
              <w:t>10</w:t>
            </w:r>
          </w:p>
        </w:tc>
        <w:tc>
          <w:tcPr>
            <w:tcW w:w="120" w:type="dxa"/>
            <w:vAlign w:val="bottom"/>
            <w:tcBorders>
              <w:top w:val="single" w:sz="8" w:color="CCFFCC"/>
            </w:tcBorders>
            <w:shd w:val="clear" w:color="auto" w:fill="CCFFCC"/>
          </w:tcPr>
          <w:p>
            <w:pPr>
              <w:spacing w:after="0"/>
              <w:rPr>
                <w:sz w:val="14"/>
                <w:szCs w:val="14"/>
                <w:color w:val="auto"/>
              </w:rPr>
            </w:pPr>
          </w:p>
        </w:tc>
        <w:tc>
          <w:tcPr>
            <w:tcW w:w="3440" w:type="dxa"/>
            <w:vAlign w:val="bottom"/>
            <w:tcBorders>
              <w:top w:val="single" w:sz="8" w:color="auto"/>
            </w:tcBorders>
            <w:gridSpan w:val="2"/>
            <w:shd w:val="clear" w:color="auto" w:fill="CCFFCC"/>
          </w:tcPr>
          <w:p>
            <w:pPr>
              <w:spacing w:after="0"/>
              <w:rPr>
                <w:sz w:val="20"/>
                <w:szCs w:val="20"/>
                <w:color w:val="auto"/>
              </w:rPr>
            </w:pPr>
            <w:r>
              <w:rPr>
                <w:rFonts w:ascii="Arial" w:cs="Arial" w:eastAsia="Arial" w:hAnsi="Arial"/>
                <w:sz w:val="14"/>
                <w:szCs w:val="14"/>
                <w:color w:val="auto"/>
              </w:rPr>
              <w:t>Junior Secured Loan — Term Loan (Second Lien)</w:t>
            </w:r>
          </w:p>
        </w:tc>
        <w:tc>
          <w:tcPr>
            <w:tcW w:w="120" w:type="dxa"/>
            <w:vAlign w:val="bottom"/>
            <w:tcBorders>
              <w:top w:val="single" w:sz="8" w:color="CCFFCC"/>
            </w:tcBorders>
            <w:shd w:val="clear" w:color="auto" w:fill="CCFFCC"/>
          </w:tcPr>
          <w:p>
            <w:pPr>
              <w:spacing w:after="0"/>
              <w:rPr>
                <w:sz w:val="14"/>
                <w:szCs w:val="14"/>
                <w:color w:val="auto"/>
              </w:rPr>
            </w:pPr>
          </w:p>
        </w:tc>
        <w:tc>
          <w:tcPr>
            <w:tcW w:w="160" w:type="dxa"/>
            <w:vAlign w:val="bottom"/>
            <w:tcBorders>
              <w:top w:val="single" w:sz="8" w:color="auto"/>
            </w:tcBorders>
            <w:shd w:val="clear" w:color="auto" w:fill="CCFFCC"/>
          </w:tcPr>
          <w:p>
            <w:pPr>
              <w:spacing w:after="0"/>
              <w:rPr>
                <w:sz w:val="14"/>
                <w:szCs w:val="14"/>
                <w:color w:val="auto"/>
              </w:rPr>
            </w:pPr>
          </w:p>
        </w:tc>
        <w:tc>
          <w:tcPr>
            <w:tcW w:w="880" w:type="dxa"/>
            <w:vAlign w:val="bottom"/>
            <w:tcBorders>
              <w:top w:val="single" w:sz="8" w:color="auto"/>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220" w:type="dxa"/>
            <w:vAlign w:val="bottom"/>
            <w:tcBorders>
              <w:top w:val="single" w:sz="8" w:color="auto"/>
            </w:tcBorders>
            <w:shd w:val="clear" w:color="auto" w:fill="CCFFCC"/>
          </w:tcPr>
          <w:p>
            <w:pPr>
              <w:spacing w:after="0"/>
              <w:rPr>
                <w:sz w:val="14"/>
                <w:szCs w:val="14"/>
                <w:color w:val="auto"/>
              </w:rPr>
            </w:pPr>
          </w:p>
        </w:tc>
        <w:tc>
          <w:tcPr>
            <w:tcW w:w="800" w:type="dxa"/>
            <w:vAlign w:val="bottom"/>
            <w:tcBorders>
              <w:top w:val="single" w:sz="8" w:color="auto"/>
            </w:tcBorders>
            <w:shd w:val="clear" w:color="auto" w:fill="CCFFCC"/>
          </w:tcPr>
          <w:p>
            <w:pPr>
              <w:spacing w:after="0"/>
              <w:rPr>
                <w:sz w:val="14"/>
                <w:szCs w:val="14"/>
                <w:color w:val="auto"/>
              </w:rPr>
            </w:pPr>
          </w:p>
        </w:tc>
        <w:tc>
          <w:tcPr>
            <w:tcW w:w="60" w:type="dxa"/>
            <w:vAlign w:val="bottom"/>
            <w:tcBorders>
              <w:top w:val="single" w:sz="8" w:color="CCFFCC"/>
            </w:tcBorders>
            <w:shd w:val="clear" w:color="auto" w:fill="CCFFCC"/>
          </w:tcPr>
          <w:p>
            <w:pPr>
              <w:spacing w:after="0"/>
              <w:rPr>
                <w:sz w:val="14"/>
                <w:szCs w:val="14"/>
                <w:color w:val="auto"/>
              </w:rPr>
            </w:pPr>
          </w:p>
        </w:tc>
        <w:tc>
          <w:tcPr>
            <w:tcW w:w="40" w:type="dxa"/>
            <w:vAlign w:val="bottom"/>
            <w:tcBorders>
              <w:top w:val="single" w:sz="8" w:color="CCFFCC"/>
            </w:tcBorders>
            <w:shd w:val="clear" w:color="auto" w:fill="CCFFCC"/>
          </w:tcPr>
          <w:p>
            <w:pPr>
              <w:spacing w:after="0"/>
              <w:rPr>
                <w:sz w:val="14"/>
                <w:szCs w:val="14"/>
                <w:color w:val="auto"/>
              </w:rPr>
            </w:pPr>
          </w:p>
        </w:tc>
        <w:tc>
          <w:tcPr>
            <w:tcW w:w="200" w:type="dxa"/>
            <w:vAlign w:val="bottom"/>
            <w:tcBorders>
              <w:top w:val="single" w:sz="8" w:color="auto"/>
            </w:tcBorders>
            <w:shd w:val="clear" w:color="auto" w:fill="CCFFCC"/>
          </w:tcPr>
          <w:p>
            <w:pPr>
              <w:spacing w:after="0"/>
              <w:rPr>
                <w:sz w:val="14"/>
                <w:szCs w:val="14"/>
                <w:color w:val="auto"/>
              </w:rPr>
            </w:pPr>
          </w:p>
        </w:tc>
        <w:tc>
          <w:tcPr>
            <w:tcW w:w="820" w:type="dxa"/>
            <w:vAlign w:val="bottom"/>
            <w:tcBorders>
              <w:top w:val="single" w:sz="8" w:color="auto"/>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Aerospace and Defense</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7.0%</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2/15</w:t>
            </w:r>
          </w:p>
        </w:tc>
        <w:tc>
          <w:tcPr>
            <w:tcW w:w="16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4,074,074</w:t>
            </w:r>
          </w:p>
        </w:tc>
        <w:tc>
          <w:tcPr>
            <w:tcW w:w="220" w:type="dxa"/>
            <w:vAlign w:val="bottom"/>
            <w:shd w:val="clear" w:color="auto" w:fill="CCFFCC"/>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4,033,245</w:t>
            </w:r>
          </w:p>
        </w:tc>
        <w:tc>
          <w:tcPr>
            <w:tcW w:w="60" w:type="dxa"/>
            <w:vAlign w:val="bottom"/>
            <w:shd w:val="clear" w:color="auto" w:fill="CCFFCC"/>
          </w:tcPr>
          <w:p>
            <w:pPr>
              <w:spacing w:after="0"/>
              <w:rPr>
                <w:sz w:val="14"/>
                <w:szCs w:val="14"/>
                <w:color w:val="auto"/>
              </w:rPr>
            </w:pPr>
          </w:p>
        </w:tc>
        <w:tc>
          <w:tcPr>
            <w:tcW w:w="2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3,829,630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Iasis Healthcare LLC</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Unsecured Bond — Bond</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Healthcare, Education and Childcare</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8.4%</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5/19</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3,000,000</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2,881,315</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3,168,900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International Architectural Products, Inc.</w:t>
            </w:r>
            <w:r>
              <w:rPr>
                <w:rFonts w:ascii="Arial" w:cs="Arial" w:eastAsia="Arial" w:hAnsi="Arial"/>
                <w:sz w:val="19"/>
                <w:szCs w:val="19"/>
                <w:color w:val="auto"/>
                <w:vertAlign w:val="superscript"/>
              </w:rPr>
              <w:t>8, 10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Term Loan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Mining, Steel, Iron and Non-Precious Metals</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12.0% Cash, Due 5/15</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507,431</w:t>
            </w:r>
          </w:p>
        </w:tc>
        <w:tc>
          <w:tcPr>
            <w:tcW w:w="22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480,867</w:t>
            </w: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263,862</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Jones Stephens Corp.</w:t>
            </w:r>
            <w:r>
              <w:rPr>
                <w:rFonts w:ascii="Arial" w:cs="Arial" w:eastAsia="Arial" w:hAnsi="Arial"/>
                <w:sz w:val="19"/>
                <w:szCs w:val="19"/>
                <w:color w:val="auto"/>
                <w:vertAlign w:val="superscript"/>
              </w:rPr>
              <w:t>10</w:t>
            </w:r>
          </w:p>
        </w:tc>
        <w:tc>
          <w:tcPr>
            <w:tcW w:w="320" w:type="dxa"/>
            <w:vAlign w:val="bottom"/>
            <w:shd w:val="clear" w:color="auto" w:fill="CCFFCC"/>
          </w:tcPr>
          <w:p>
            <w:pPr>
              <w:spacing w:after="0"/>
              <w:rPr>
                <w:sz w:val="14"/>
                <w:szCs w:val="14"/>
                <w:color w:val="auto"/>
              </w:rPr>
            </w:pPr>
          </w:p>
        </w:tc>
        <w:tc>
          <w:tcPr>
            <w:tcW w:w="3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2"/>
            <w:shd w:val="clear" w:color="auto" w:fill="CCFFCC"/>
          </w:tcPr>
          <w:p>
            <w:pPr>
              <w:ind w:left="320"/>
              <w:spacing w:after="0" w:line="149" w:lineRule="exact"/>
              <w:rPr>
                <w:sz w:val="20"/>
                <w:szCs w:val="20"/>
                <w:color w:val="auto"/>
              </w:rPr>
            </w:pPr>
            <w:r>
              <w:rPr>
                <w:rFonts w:ascii="Arial" w:cs="Arial" w:eastAsia="Arial" w:hAnsi="Arial"/>
                <w:sz w:val="14"/>
                <w:szCs w:val="14"/>
                <w:i w:val="1"/>
                <w:iCs w:val="1"/>
                <w:color w:val="auto"/>
              </w:rPr>
              <w:t>Home and Office Furnishings, Housewares, and Durable Consumer</w:t>
            </w:r>
          </w:p>
        </w:tc>
        <w:tc>
          <w:tcPr>
            <w:tcW w:w="3560" w:type="dxa"/>
            <w:vAlign w:val="bottom"/>
            <w:gridSpan w:val="3"/>
            <w:shd w:val="clear" w:color="auto" w:fill="CCFFCC"/>
          </w:tcPr>
          <w:p>
            <w:pPr>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Products</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7.0%</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9/15</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4,245,064</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4,245,064</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4,245,064</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KIK Custom Products Inc.</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Junior Secured Loan — Loan (Second Lien)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Personal and Non Durable Consumer Products (Mfg. Only)</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5.2%</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12/14</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5,000,000</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5,000,000</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4,416,500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gridSpan w:val="2"/>
            <w:shd w:val="clear" w:color="auto" w:fill="CCFFCC"/>
          </w:tcPr>
          <w:p>
            <w:pPr>
              <w:spacing w:after="0" w:line="202" w:lineRule="exact"/>
              <w:rPr>
                <w:sz w:val="20"/>
                <w:szCs w:val="20"/>
                <w:color w:val="auto"/>
              </w:rPr>
            </w:pPr>
            <w:r>
              <w:rPr>
                <w:rFonts w:ascii="Arial" w:cs="Arial" w:eastAsia="Arial" w:hAnsi="Arial"/>
                <w:sz w:val="14"/>
                <w:szCs w:val="14"/>
                <w:color w:val="auto"/>
              </w:rPr>
              <w:t>LBREP/L-Suncal Master I LLC</w:t>
            </w:r>
            <w:r>
              <w:rPr>
                <w:rFonts w:ascii="Arial" w:cs="Arial" w:eastAsia="Arial" w:hAnsi="Arial"/>
                <w:sz w:val="23"/>
                <w:szCs w:val="23"/>
                <w:color w:val="auto"/>
                <w:vertAlign w:val="superscript"/>
              </w:rPr>
              <w:t>8, 10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Term Loan (First Lien)</w:t>
            </w:r>
          </w:p>
        </w:tc>
        <w:tc>
          <w:tcPr>
            <w:tcW w:w="16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60" w:type="dxa"/>
            <w:vAlign w:val="bottom"/>
            <w:gridSpan w:val="2"/>
            <w:shd w:val="clear" w:color="auto" w:fill="CCFFCC"/>
          </w:tcPr>
          <w:p>
            <w:pPr>
              <w:ind w:left="320"/>
              <w:spacing w:after="0" w:line="176" w:lineRule="exact"/>
              <w:rPr>
                <w:sz w:val="20"/>
                <w:szCs w:val="20"/>
                <w:color w:val="auto"/>
              </w:rPr>
            </w:pPr>
            <w:r>
              <w:rPr>
                <w:rFonts w:ascii="Arial" w:cs="Arial" w:eastAsia="Arial" w:hAnsi="Arial"/>
                <w:sz w:val="13"/>
                <w:szCs w:val="13"/>
                <w:i w:val="1"/>
                <w:iCs w:val="1"/>
                <w:color w:val="auto"/>
              </w:rPr>
              <w:t>Buildings and Real Estate</w:t>
            </w:r>
            <w:r>
              <w:rPr>
                <w:rFonts w:ascii="Arial" w:cs="Arial" w:eastAsia="Arial" w:hAnsi="Arial"/>
                <w:sz w:val="20"/>
                <w:szCs w:val="20"/>
                <w:color w:val="auto"/>
                <w:vertAlign w:val="superscript"/>
              </w:rPr>
              <w:t>4</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7.5%</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1/10</w:t>
            </w:r>
          </w:p>
        </w:tc>
        <w:tc>
          <w:tcPr>
            <w:tcW w:w="160" w:type="dxa"/>
            <w:vAlign w:val="bottom"/>
            <w:shd w:val="clear" w:color="auto" w:fill="CCFFCC"/>
          </w:tcPr>
          <w:p>
            <w:pPr>
              <w:spacing w:after="0"/>
              <w:rPr>
                <w:sz w:val="15"/>
                <w:szCs w:val="15"/>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3,345,759</w:t>
            </w:r>
          </w:p>
        </w:tc>
        <w:tc>
          <w:tcPr>
            <w:tcW w:w="220" w:type="dxa"/>
            <w:vAlign w:val="bottom"/>
            <w:shd w:val="clear" w:color="auto" w:fill="CCFFCC"/>
          </w:tcPr>
          <w:p>
            <w:pPr>
              <w:spacing w:after="0"/>
              <w:rPr>
                <w:sz w:val="15"/>
                <w:szCs w:val="15"/>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3,345,759</w:t>
            </w:r>
          </w:p>
        </w:tc>
        <w:tc>
          <w:tcPr>
            <w:tcW w:w="60" w:type="dxa"/>
            <w:vAlign w:val="bottom"/>
            <w:shd w:val="clear" w:color="auto" w:fill="CCFFCC"/>
          </w:tcPr>
          <w:p>
            <w:pPr>
              <w:spacing w:after="0"/>
              <w:rPr>
                <w:sz w:val="15"/>
                <w:szCs w:val="15"/>
                <w:color w:val="auto"/>
              </w:rPr>
            </w:pPr>
          </w:p>
        </w:tc>
        <w:tc>
          <w:tcPr>
            <w:tcW w:w="4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303,460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Lord &amp; Taylor Holdings LLC (LT Propco LLC)</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Term Loan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Retail Stores</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5.8%</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1/19</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430,951</w:t>
            </w:r>
          </w:p>
        </w:tc>
        <w:tc>
          <w:tcPr>
            <w:tcW w:w="22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439,798</w:t>
            </w: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435,950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Michael Foods Group, Inc. (f/k/a M-Foods Holdings, Inc.)</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Term B Facility</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Beverage, Food and Tobacco</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4.3%</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2/18</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1,801,784</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1,804,568</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1,831,153</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Neiman Marcus Group Inc., The</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Term Loan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Retail Stores</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4.0%</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5/18</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2,000,000</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1,986,541</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2,021,000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62" w:lineRule="exact"/>
              <w:rPr>
                <w:sz w:val="20"/>
                <w:szCs w:val="20"/>
                <w:color w:val="auto"/>
              </w:rPr>
            </w:pPr>
            <w:r>
              <w:rPr>
                <w:rFonts w:ascii="Arial" w:cs="Arial" w:eastAsia="Arial" w:hAnsi="Arial"/>
                <w:sz w:val="12"/>
                <w:szCs w:val="12"/>
                <w:color w:val="auto"/>
              </w:rPr>
              <w:t>Pegasus Solutions, Inc.</w:t>
            </w:r>
            <w:r>
              <w:rPr>
                <w:rFonts w:ascii="Arial" w:cs="Arial" w:eastAsia="Arial" w:hAnsi="Arial"/>
                <w:sz w:val="18"/>
                <w:szCs w:val="18"/>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w w:val="96"/>
              </w:rPr>
              <w:t>Senior Subordinated Bond — Senior Subordinated Second</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2"/>
            <w:shd w:val="clear" w:color="auto" w:fill="CCFFCC"/>
          </w:tcPr>
          <w:p>
            <w:pPr>
              <w:ind w:left="320"/>
              <w:spacing w:after="0" w:line="149" w:lineRule="exact"/>
              <w:rPr>
                <w:sz w:val="20"/>
                <w:szCs w:val="20"/>
                <w:color w:val="auto"/>
              </w:rPr>
            </w:pPr>
            <w:r>
              <w:rPr>
                <w:rFonts w:ascii="Arial" w:cs="Arial" w:eastAsia="Arial" w:hAnsi="Arial"/>
                <w:sz w:val="14"/>
                <w:szCs w:val="14"/>
                <w:i w:val="1"/>
                <w:iCs w:val="1"/>
                <w:color w:val="auto"/>
              </w:rPr>
              <w:t>Leisure, Amusement, Motion Pictures, Entertainment</w:t>
            </w:r>
          </w:p>
        </w:tc>
        <w:tc>
          <w:tcPr>
            <w:tcW w:w="3560" w:type="dxa"/>
            <w:vAlign w:val="bottom"/>
            <w:gridSpan w:val="3"/>
            <w:shd w:val="clear" w:color="auto" w:fill="CCFFCC"/>
          </w:tcPr>
          <w:p>
            <w:pPr>
              <w:spacing w:after="0" w:line="149" w:lineRule="exact"/>
              <w:rPr>
                <w:sz w:val="20"/>
                <w:szCs w:val="20"/>
                <w:color w:val="auto"/>
              </w:rPr>
            </w:pPr>
            <w:r>
              <w:rPr>
                <w:rFonts w:ascii="Arial" w:cs="Arial" w:eastAsia="Arial" w:hAnsi="Arial"/>
                <w:sz w:val="14"/>
                <w:szCs w:val="14"/>
                <w:color w:val="auto"/>
              </w:rPr>
              <w:t>Lien PIK Notes</w:t>
            </w:r>
          </w:p>
        </w:tc>
        <w:tc>
          <w:tcPr>
            <w:tcW w:w="160" w:type="dxa"/>
            <w:vAlign w:val="bottom"/>
            <w:shd w:val="clear" w:color="auto" w:fill="CCFFCC"/>
          </w:tcPr>
          <w:p>
            <w:pPr>
              <w:spacing w:after="0"/>
              <w:rPr>
                <w:sz w:val="12"/>
                <w:szCs w:val="12"/>
                <w:color w:val="auto"/>
              </w:rPr>
            </w:pPr>
          </w:p>
        </w:tc>
        <w:tc>
          <w:tcPr>
            <w:tcW w:w="980" w:type="dxa"/>
            <w:vAlign w:val="bottom"/>
            <w:gridSpan w:val="2"/>
            <w:vMerge w:val="restart"/>
            <w:shd w:val="clear" w:color="auto" w:fill="CCFFCC"/>
          </w:tcPr>
          <w:p>
            <w:pPr>
              <w:jc w:val="right"/>
              <w:ind w:right="100"/>
              <w:spacing w:after="0"/>
              <w:rPr>
                <w:sz w:val="20"/>
                <w:szCs w:val="20"/>
                <w:color w:val="auto"/>
              </w:rPr>
            </w:pPr>
            <w:r>
              <w:rPr>
                <w:rFonts w:ascii="Arial" w:cs="Arial" w:eastAsia="Arial" w:hAnsi="Arial"/>
                <w:sz w:val="14"/>
                <w:szCs w:val="14"/>
                <w:color w:val="auto"/>
              </w:rPr>
              <w:t>1,691,007</w:t>
            </w:r>
          </w:p>
        </w:tc>
        <w:tc>
          <w:tcPr>
            <w:tcW w:w="220" w:type="dxa"/>
            <w:vAlign w:val="bottom"/>
            <w:shd w:val="clear" w:color="auto" w:fill="CCFFCC"/>
          </w:tcPr>
          <w:p>
            <w:pPr>
              <w:spacing w:after="0"/>
              <w:rPr>
                <w:sz w:val="12"/>
                <w:szCs w:val="12"/>
                <w:color w:val="auto"/>
              </w:rPr>
            </w:pPr>
          </w:p>
        </w:tc>
        <w:tc>
          <w:tcPr>
            <w:tcW w:w="800" w:type="dxa"/>
            <w:vAlign w:val="bottom"/>
            <w:vMerge w:val="restart"/>
            <w:shd w:val="clear" w:color="auto" w:fill="CCFFCC"/>
          </w:tcPr>
          <w:p>
            <w:pPr>
              <w:jc w:val="right"/>
              <w:spacing w:after="0"/>
              <w:rPr>
                <w:sz w:val="20"/>
                <w:szCs w:val="20"/>
                <w:color w:val="auto"/>
              </w:rPr>
            </w:pPr>
            <w:r>
              <w:rPr>
                <w:rFonts w:ascii="Arial" w:cs="Arial" w:eastAsia="Arial" w:hAnsi="Arial"/>
                <w:sz w:val="14"/>
                <w:szCs w:val="14"/>
                <w:color w:val="auto"/>
              </w:rPr>
              <w:t>1,691,007</w:t>
            </w:r>
          </w:p>
        </w:tc>
        <w:tc>
          <w:tcPr>
            <w:tcW w:w="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20" w:type="dxa"/>
            <w:vAlign w:val="bottom"/>
            <w:vMerge w:val="restart"/>
            <w:shd w:val="clear" w:color="auto" w:fill="CCFFCC"/>
          </w:tcPr>
          <w:p>
            <w:pPr>
              <w:jc w:val="right"/>
              <w:spacing w:after="0"/>
              <w:rPr>
                <w:sz w:val="20"/>
                <w:szCs w:val="20"/>
                <w:color w:val="auto"/>
              </w:rPr>
            </w:pPr>
            <w:r>
              <w:rPr>
                <w:rFonts w:ascii="Arial" w:cs="Arial" w:eastAsia="Arial" w:hAnsi="Arial"/>
                <w:sz w:val="14"/>
                <w:szCs w:val="14"/>
                <w:color w:val="auto"/>
              </w:rPr>
              <w:t>1,688,977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3560" w:type="dxa"/>
            <w:vAlign w:val="bottom"/>
            <w:gridSpan w:val="3"/>
            <w:shd w:val="clear" w:color="auto" w:fill="CCFFCC"/>
          </w:tcPr>
          <w:p>
            <w:pPr>
              <w:spacing w:after="0" w:line="135" w:lineRule="exact"/>
              <w:rPr>
                <w:sz w:val="20"/>
                <w:szCs w:val="20"/>
                <w:color w:val="auto"/>
              </w:rPr>
            </w:pPr>
            <w:r>
              <w:rPr>
                <w:rFonts w:ascii="Arial" w:cs="Arial" w:eastAsia="Arial" w:hAnsi="Arial"/>
                <w:sz w:val="14"/>
                <w:szCs w:val="14"/>
                <w:color w:val="auto"/>
              </w:rPr>
              <w:t>13.0% PIK, Due 4/14</w:t>
            </w:r>
          </w:p>
        </w:tc>
        <w:tc>
          <w:tcPr>
            <w:tcW w:w="160" w:type="dxa"/>
            <w:vAlign w:val="bottom"/>
            <w:shd w:val="clear" w:color="auto" w:fill="CCFFCC"/>
          </w:tcPr>
          <w:p>
            <w:pPr>
              <w:spacing w:after="0"/>
              <w:rPr>
                <w:sz w:val="11"/>
                <w:szCs w:val="11"/>
                <w:color w:val="auto"/>
              </w:rPr>
            </w:pPr>
          </w:p>
        </w:tc>
        <w:tc>
          <w:tcPr>
            <w:tcW w:w="980" w:type="dxa"/>
            <w:vAlign w:val="bottom"/>
            <w:gridSpan w:val="2"/>
            <w:vMerge w:val="continue"/>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00" w:type="dxa"/>
            <w:vAlign w:val="bottom"/>
            <w:vMerge w:val="continue"/>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20" w:type="dxa"/>
            <w:vAlign w:val="bottom"/>
            <w:vMerge w:val="continue"/>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Perseus Holding Corp.</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Preferred Stock — Preferred Stock</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Leisure, Amusement, Motion Pictures, Entertainment</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14.0% PIK, Due 4/14</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400,000</w:t>
            </w:r>
          </w:p>
        </w:tc>
        <w:tc>
          <w:tcPr>
            <w:tcW w:w="22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400,000</w:t>
            </w: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373,880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PetCo Animal Supplies, Inc.</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New Loans</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Retail Stores</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4.0%</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11/17</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1,994,898</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1,994,898</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2,025,220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4"/>
                <w:szCs w:val="14"/>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4580" w:type="dxa"/>
            <w:vAlign w:val="bottom"/>
            <w:gridSpan w:val="3"/>
            <w:vMerge w:val="continue"/>
          </w:tcPr>
          <w:p>
            <w:pPr>
              <w:spacing w:after="0"/>
              <w:rPr>
                <w:sz w:val="14"/>
                <w:szCs w:val="14"/>
                <w:color w:val="auto"/>
              </w:rPr>
            </w:pPr>
          </w:p>
        </w:tc>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Interest Rate¹ / Maturity</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440" w:type="dxa"/>
            <w:vAlign w:val="bottom"/>
            <w:tcBorders>
              <w:top w:val="single" w:sz="8" w:color="auto"/>
            </w:tcBorders>
            <w:shd w:val="clear" w:color="auto" w:fill="CCFFCC"/>
          </w:tcPr>
          <w:p>
            <w:pPr>
              <w:spacing w:after="0" w:line="123" w:lineRule="exact"/>
              <w:rPr>
                <w:sz w:val="20"/>
                <w:szCs w:val="20"/>
                <w:color w:val="auto"/>
              </w:rPr>
            </w:pPr>
            <w:r>
              <w:rPr>
                <w:rFonts w:ascii="Arial" w:cs="Arial" w:eastAsia="Arial" w:hAnsi="Arial"/>
                <w:sz w:val="14"/>
                <w:szCs w:val="14"/>
                <w:color w:val="auto"/>
              </w:rPr>
              <w:t>Pinnacle Foods Finance LLC</w:t>
            </w:r>
          </w:p>
        </w:tc>
        <w:tc>
          <w:tcPr>
            <w:tcW w:w="120" w:type="dxa"/>
            <w:vAlign w:val="bottom"/>
            <w:tcBorders>
              <w:top w:val="single" w:sz="8" w:color="CCFFCC"/>
            </w:tcBorders>
            <w:shd w:val="clear" w:color="auto" w:fill="CCFFCC"/>
          </w:tcPr>
          <w:p>
            <w:pPr>
              <w:spacing w:after="0"/>
              <w:rPr>
                <w:sz w:val="10"/>
                <w:szCs w:val="10"/>
                <w:color w:val="auto"/>
              </w:rPr>
            </w:pPr>
          </w:p>
        </w:tc>
        <w:tc>
          <w:tcPr>
            <w:tcW w:w="3440" w:type="dxa"/>
            <w:vAlign w:val="bottom"/>
            <w:tcBorders>
              <w:top w:val="single" w:sz="8" w:color="auto"/>
            </w:tcBorders>
            <w:gridSpan w:val="2"/>
            <w:shd w:val="clear" w:color="auto" w:fill="CCFFCC"/>
          </w:tcPr>
          <w:p>
            <w:pPr>
              <w:spacing w:after="0" w:line="123" w:lineRule="exact"/>
              <w:rPr>
                <w:sz w:val="20"/>
                <w:szCs w:val="20"/>
                <w:color w:val="auto"/>
              </w:rPr>
            </w:pPr>
            <w:r>
              <w:rPr>
                <w:rFonts w:ascii="Arial" w:cs="Arial" w:eastAsia="Arial" w:hAnsi="Arial"/>
                <w:sz w:val="14"/>
                <w:szCs w:val="14"/>
                <w:color w:val="auto"/>
              </w:rPr>
              <w:t>Senior Secured Loan — Extended Initial Term Loan</w:t>
            </w:r>
          </w:p>
        </w:tc>
        <w:tc>
          <w:tcPr>
            <w:tcW w:w="120" w:type="dxa"/>
            <w:vAlign w:val="bottom"/>
            <w:tcBorders>
              <w:top w:val="single" w:sz="8" w:color="CCFFCC"/>
            </w:tcBorders>
            <w:shd w:val="clear" w:color="auto" w:fill="CCFFCC"/>
          </w:tcPr>
          <w:p>
            <w:pPr>
              <w:spacing w:after="0"/>
              <w:rPr>
                <w:sz w:val="10"/>
                <w:szCs w:val="10"/>
                <w:color w:val="auto"/>
              </w:rPr>
            </w:pPr>
          </w:p>
        </w:tc>
        <w:tc>
          <w:tcPr>
            <w:tcW w:w="160" w:type="dxa"/>
            <w:vAlign w:val="bottom"/>
            <w:tcBorders>
              <w:top w:val="single" w:sz="8" w:color="auto"/>
            </w:tcBorders>
            <w:shd w:val="clear" w:color="auto" w:fill="CCFFCC"/>
          </w:tcPr>
          <w:p>
            <w:pPr>
              <w:spacing w:after="0"/>
              <w:rPr>
                <w:sz w:val="10"/>
                <w:szCs w:val="10"/>
                <w:color w:val="auto"/>
              </w:rPr>
            </w:pPr>
          </w:p>
        </w:tc>
        <w:tc>
          <w:tcPr>
            <w:tcW w:w="88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220" w:type="dxa"/>
            <w:vAlign w:val="bottom"/>
            <w:tcBorders>
              <w:top w:val="single" w:sz="8" w:color="auto"/>
            </w:tcBorders>
            <w:shd w:val="clear" w:color="auto" w:fill="CCFFCC"/>
          </w:tcPr>
          <w:p>
            <w:pPr>
              <w:spacing w:after="0"/>
              <w:rPr>
                <w:sz w:val="10"/>
                <w:szCs w:val="10"/>
                <w:color w:val="auto"/>
              </w:rPr>
            </w:pPr>
          </w:p>
        </w:tc>
        <w:tc>
          <w:tcPr>
            <w:tcW w:w="800" w:type="dxa"/>
            <w:vAlign w:val="bottom"/>
            <w:tcBorders>
              <w:top w:val="single" w:sz="8" w:color="auto"/>
            </w:tcBorders>
            <w:shd w:val="clear" w:color="auto" w:fill="CCFFCC"/>
          </w:tcPr>
          <w:p>
            <w:pPr>
              <w:spacing w:after="0"/>
              <w:rPr>
                <w:sz w:val="10"/>
                <w:szCs w:val="10"/>
                <w:color w:val="auto"/>
              </w:rPr>
            </w:pPr>
          </w:p>
        </w:tc>
        <w:tc>
          <w:tcPr>
            <w:tcW w:w="60" w:type="dxa"/>
            <w:vAlign w:val="bottom"/>
            <w:tcBorders>
              <w:top w:val="single" w:sz="8" w:color="CCFFCC"/>
            </w:tcBorders>
            <w:shd w:val="clear" w:color="auto" w:fill="CCFFCC"/>
          </w:tcPr>
          <w:p>
            <w:pPr>
              <w:spacing w:after="0"/>
              <w:rPr>
                <w:sz w:val="10"/>
                <w:szCs w:val="10"/>
                <w:color w:val="auto"/>
              </w:rPr>
            </w:pPr>
          </w:p>
        </w:tc>
        <w:tc>
          <w:tcPr>
            <w:tcW w:w="40" w:type="dxa"/>
            <w:vAlign w:val="bottom"/>
            <w:tcBorders>
              <w:top w:val="single" w:sz="8" w:color="CCFFCC"/>
            </w:tcBorders>
            <w:shd w:val="clear" w:color="auto" w:fill="CCFFCC"/>
          </w:tcPr>
          <w:p>
            <w:pPr>
              <w:spacing w:after="0"/>
              <w:rPr>
                <w:sz w:val="10"/>
                <w:szCs w:val="10"/>
                <w:color w:val="auto"/>
              </w:rPr>
            </w:pPr>
          </w:p>
        </w:tc>
        <w:tc>
          <w:tcPr>
            <w:tcW w:w="200" w:type="dxa"/>
            <w:vAlign w:val="bottom"/>
            <w:tcBorders>
              <w:top w:val="single" w:sz="8" w:color="auto"/>
            </w:tcBorders>
            <w:shd w:val="clear" w:color="auto" w:fill="CCFFCC"/>
          </w:tcPr>
          <w:p>
            <w:pPr>
              <w:spacing w:after="0"/>
              <w:rPr>
                <w:sz w:val="10"/>
                <w:szCs w:val="10"/>
                <w:color w:val="auto"/>
              </w:rPr>
            </w:pPr>
          </w:p>
        </w:tc>
        <w:tc>
          <w:tcPr>
            <w:tcW w:w="820" w:type="dxa"/>
            <w:vAlign w:val="bottom"/>
            <w:tcBorders>
              <w:top w:val="single" w:sz="8" w:color="auto"/>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Beverage, Food and Tobacco</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3.7%</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10/16</w:t>
            </w:r>
          </w:p>
        </w:tc>
        <w:tc>
          <w:tcPr>
            <w:tcW w:w="16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292,276</w:t>
            </w:r>
          </w:p>
        </w:tc>
        <w:tc>
          <w:tcPr>
            <w:tcW w:w="220" w:type="dxa"/>
            <w:vAlign w:val="bottom"/>
            <w:shd w:val="clear" w:color="auto" w:fill="CCFFCC"/>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292,276</w:t>
            </w:r>
          </w:p>
        </w:tc>
        <w:tc>
          <w:tcPr>
            <w:tcW w:w="2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295,199</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56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Pinnacle Foods Finance LLC</w:t>
            </w:r>
          </w:p>
        </w:tc>
        <w:tc>
          <w:tcPr>
            <w:tcW w:w="3560" w:type="dxa"/>
            <w:vAlign w:val="bottom"/>
            <w:gridSpan w:val="3"/>
            <w:shd w:val="clear" w:color="auto" w:fill="CCFFCC"/>
          </w:tcPr>
          <w:p>
            <w:pPr>
              <w:spacing w:after="0" w:line="130" w:lineRule="exact"/>
              <w:rPr>
                <w:sz w:val="20"/>
                <w:szCs w:val="20"/>
                <w:color w:val="auto"/>
              </w:rPr>
            </w:pPr>
            <w:r>
              <w:rPr>
                <w:rFonts w:ascii="Arial" w:cs="Arial" w:eastAsia="Arial" w:hAnsi="Arial"/>
                <w:sz w:val="14"/>
                <w:szCs w:val="14"/>
                <w:color w:val="auto"/>
              </w:rPr>
              <w:t>Senior Secured Loan — Extended Initial Term Loan</w:t>
            </w:r>
          </w:p>
        </w:tc>
        <w:tc>
          <w:tcPr>
            <w:tcW w:w="16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Beverage, Food and Tobacco</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3.7%</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10/16</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1,984,962</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1,983,733</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2,004,812</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SGF Produce Holding Corp.(Frozsun, Inc.)</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Term Loan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Beverage, Food and Tobacco</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6.0%</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 Due 3/19</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5,000,000</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4,950,251</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4,950,000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TPF Generation Holdings, LLC</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w w:val="99"/>
              </w:rPr>
              <w:t>Senior Secured Loan — Synthetic LC Deposit (First Lien)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Utilities</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2.3%</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12/13</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169,532</w:t>
            </w:r>
          </w:p>
        </w:tc>
        <w:tc>
          <w:tcPr>
            <w:tcW w:w="22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169,345</w:t>
            </w: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169,532</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Trimaran Advisors, L.L.C.</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Unsecured Loan — Revolving Credit Facility</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Finance</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9.0%</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11/17</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20,000,000</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20,000,000</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20,000,000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TriZetto Group, Inc. (TZ Merger Sub, Inc.)</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Term Loan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Electronics</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4.8%</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5/18</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1,954,886</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1,946,534</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1,968,570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TRSO I, Inc.</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Junior Secured Loan — Term Loan (Second Lien)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Oil and Gas</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11.0% Cash, Due 12/17</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10,400,000</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10,203,182</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10,400,000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TUI University, LLC</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Term Loan (First Lien)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Healthcare, Education and Childcare</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7.3%</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10/14</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2,051,442</w:t>
            </w:r>
          </w:p>
        </w:tc>
        <w:tc>
          <w:tcPr>
            <w:tcW w:w="22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2,028,110</w:t>
            </w: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1,796,858</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TWCC Holding Corp.</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Term Loan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Broadcasting and Entertainment</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3.5%</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2/17</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1,966,350</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1,980,643</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1,996,239</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Univar Inc.</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Term B Loan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Chemicals, Plastics and Rubber</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5.0%</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6/17</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2,947,249</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2,947,249</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2,981,437</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US Foods, Inc. (aka U.S. Foodservice, Inc.)</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Extended Term Loan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Personal, Food and Miscellaneous Services</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5.8%</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3/17</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1,972,275</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1,929,303</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2,000,281</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Vertafore, Inc.</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Term Loan (First Lien)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Electronics</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5.3%</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7/16</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1,234,227</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1,230,137</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1,249,655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372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Principal</w:t>
            </w:r>
          </w:p>
        </w:tc>
        <w:tc>
          <w:tcPr>
            <w:tcW w:w="180" w:type="dxa"/>
            <w:vAlign w:val="bottom"/>
          </w:tcPr>
          <w:p>
            <w:pPr>
              <w:spacing w:after="0"/>
              <w:rPr>
                <w:sz w:val="14"/>
                <w:szCs w:val="14"/>
                <w:color w:val="auto"/>
              </w:rPr>
            </w:pPr>
          </w:p>
        </w:tc>
        <w:tc>
          <w:tcPr>
            <w:tcW w:w="8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4580" w:type="dxa"/>
            <w:vAlign w:val="bottom"/>
            <w:gridSpan w:val="3"/>
            <w:vMerge w:val="continue"/>
          </w:tcPr>
          <w:p>
            <w:pPr>
              <w:spacing w:after="0"/>
              <w:rPr>
                <w:sz w:val="14"/>
                <w:szCs w:val="14"/>
                <w:color w:val="auto"/>
              </w:rPr>
            </w:pPr>
          </w:p>
        </w:tc>
        <w:tc>
          <w:tcPr>
            <w:tcW w:w="3720" w:type="dxa"/>
            <w:vAlign w:val="bottom"/>
            <w:gridSpan w:val="3"/>
          </w:tcPr>
          <w:p>
            <w:pPr>
              <w:spacing w:after="0"/>
              <w:rPr>
                <w:sz w:val="20"/>
                <w:szCs w:val="20"/>
                <w:color w:val="auto"/>
              </w:rPr>
            </w:pPr>
            <w:r>
              <w:rPr>
                <w:rFonts w:ascii="Arial" w:cs="Arial" w:eastAsia="Arial" w:hAnsi="Arial"/>
                <w:sz w:val="14"/>
                <w:szCs w:val="14"/>
                <w:b w:val="1"/>
                <w:bCs w:val="1"/>
                <w:color w:val="auto"/>
              </w:rPr>
              <w:t>Interest Rate¹ / Maturity</w:t>
            </w:r>
          </w:p>
        </w:tc>
        <w:tc>
          <w:tcPr>
            <w:tcW w:w="9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440" w:type="dxa"/>
            <w:vAlign w:val="bottom"/>
            <w:tcBorders>
              <w:top w:val="single" w:sz="8" w:color="auto"/>
            </w:tcBorders>
            <w:shd w:val="clear" w:color="auto" w:fill="CCFFCC"/>
          </w:tcPr>
          <w:p>
            <w:pPr>
              <w:spacing w:after="0" w:line="164" w:lineRule="exact"/>
              <w:rPr>
                <w:sz w:val="20"/>
                <w:szCs w:val="20"/>
                <w:color w:val="auto"/>
              </w:rPr>
            </w:pPr>
            <w:r>
              <w:rPr>
                <w:rFonts w:ascii="Arial" w:cs="Arial" w:eastAsia="Arial" w:hAnsi="Arial"/>
                <w:sz w:val="12"/>
                <w:szCs w:val="12"/>
                <w:color w:val="auto"/>
              </w:rPr>
              <w:t>Vestcom International, Inc. (fka Vector Investment Holdings, Inc.)</w:t>
            </w:r>
            <w:r>
              <w:rPr>
                <w:rFonts w:ascii="Arial" w:cs="Arial" w:eastAsia="Arial" w:hAnsi="Arial"/>
                <w:sz w:val="18"/>
                <w:szCs w:val="18"/>
                <w:color w:val="auto"/>
                <w:vertAlign w:val="superscript"/>
              </w:rPr>
              <w:t>10</w:t>
            </w:r>
          </w:p>
        </w:tc>
        <w:tc>
          <w:tcPr>
            <w:tcW w:w="120" w:type="dxa"/>
            <w:vAlign w:val="bottom"/>
            <w:tcBorders>
              <w:top w:val="single" w:sz="8" w:color="CCFFCC"/>
            </w:tcBorders>
            <w:shd w:val="clear" w:color="auto" w:fill="CCFFCC"/>
          </w:tcPr>
          <w:p>
            <w:pPr>
              <w:spacing w:after="0"/>
              <w:rPr>
                <w:sz w:val="14"/>
                <w:szCs w:val="14"/>
                <w:color w:val="auto"/>
              </w:rPr>
            </w:pPr>
          </w:p>
        </w:tc>
        <w:tc>
          <w:tcPr>
            <w:tcW w:w="34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Borders>
              <w:top w:val="single" w:sz="8" w:color="CCFFCC"/>
            </w:tcBorders>
            <w:shd w:val="clear" w:color="auto" w:fill="CCFFCC"/>
          </w:tcPr>
          <w:p>
            <w:pPr>
              <w:spacing w:after="0"/>
              <w:rPr>
                <w:sz w:val="14"/>
                <w:szCs w:val="14"/>
                <w:color w:val="auto"/>
              </w:rPr>
            </w:pPr>
          </w:p>
        </w:tc>
        <w:tc>
          <w:tcPr>
            <w:tcW w:w="160" w:type="dxa"/>
            <w:vAlign w:val="bottom"/>
            <w:tcBorders>
              <w:top w:val="single" w:sz="8" w:color="auto"/>
            </w:tcBorders>
            <w:shd w:val="clear" w:color="auto" w:fill="CCFFCC"/>
          </w:tcPr>
          <w:p>
            <w:pPr>
              <w:spacing w:after="0"/>
              <w:rPr>
                <w:sz w:val="14"/>
                <w:szCs w:val="14"/>
                <w:color w:val="auto"/>
              </w:rPr>
            </w:pPr>
          </w:p>
        </w:tc>
        <w:tc>
          <w:tcPr>
            <w:tcW w:w="880" w:type="dxa"/>
            <w:vAlign w:val="bottom"/>
            <w:tcBorders>
              <w:top w:val="single" w:sz="8" w:color="auto"/>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180" w:type="dxa"/>
            <w:vAlign w:val="bottom"/>
            <w:tcBorders>
              <w:top w:val="single" w:sz="8" w:color="auto"/>
            </w:tcBorders>
            <w:shd w:val="clear" w:color="auto" w:fill="CCFFCC"/>
          </w:tcPr>
          <w:p>
            <w:pPr>
              <w:spacing w:after="0"/>
              <w:rPr>
                <w:sz w:val="14"/>
                <w:szCs w:val="14"/>
                <w:color w:val="auto"/>
              </w:rPr>
            </w:pPr>
          </w:p>
        </w:tc>
        <w:tc>
          <w:tcPr>
            <w:tcW w:w="840" w:type="dxa"/>
            <w:vAlign w:val="bottom"/>
            <w:tcBorders>
              <w:top w:val="single" w:sz="8" w:color="auto"/>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180" w:type="dxa"/>
            <w:vAlign w:val="bottom"/>
            <w:tcBorders>
              <w:top w:val="single" w:sz="8" w:color="auto"/>
            </w:tcBorders>
            <w:shd w:val="clear" w:color="auto" w:fill="CCFFCC"/>
          </w:tcPr>
          <w:p>
            <w:pPr>
              <w:spacing w:after="0"/>
              <w:rPr>
                <w:sz w:val="14"/>
                <w:szCs w:val="14"/>
                <w:color w:val="auto"/>
              </w:rPr>
            </w:pPr>
          </w:p>
        </w:tc>
        <w:tc>
          <w:tcPr>
            <w:tcW w:w="840" w:type="dxa"/>
            <w:vAlign w:val="bottom"/>
            <w:tcBorders>
              <w:top w:val="single" w:sz="8" w:color="auto"/>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Printing and Publishing</w:t>
            </w:r>
          </w:p>
        </w:tc>
        <w:tc>
          <w:tcPr>
            <w:tcW w:w="372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7.0% Cash, Due 12/18</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3,000,000</w:t>
            </w:r>
          </w:p>
        </w:tc>
        <w:tc>
          <w:tcPr>
            <w:tcW w:w="180" w:type="dxa"/>
            <w:vAlign w:val="bottom"/>
            <w:shd w:val="clear" w:color="auto" w:fill="CCFFCC"/>
          </w:tcPr>
          <w:p>
            <w:pPr>
              <w:spacing w:after="0"/>
              <w:rPr>
                <w:sz w:val="14"/>
                <w:szCs w:val="14"/>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2,941,643</w:t>
            </w:r>
          </w:p>
        </w:tc>
        <w:tc>
          <w:tcPr>
            <w:tcW w:w="1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3,001,800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Wholesome Sweeteners, Inc.</w:t>
            </w:r>
            <w:r>
              <w:rPr>
                <w:rFonts w:ascii="Arial" w:cs="Arial" w:eastAsia="Arial" w:hAnsi="Arial"/>
                <w:sz w:val="19"/>
                <w:szCs w:val="19"/>
                <w:color w:val="auto"/>
                <w:vertAlign w:val="superscript"/>
              </w:rPr>
              <w:t>10</w:t>
            </w:r>
          </w:p>
        </w:tc>
        <w:tc>
          <w:tcPr>
            <w:tcW w:w="372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Junior Secured Loan — Subordinated Note (Second Lien)</w:t>
            </w: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Beverage, Food and Tobacco</w:t>
            </w:r>
          </w:p>
        </w:tc>
        <w:tc>
          <w:tcPr>
            <w:tcW w:w="372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14.0% Cash, Due 10/17</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6,648,596</w:t>
            </w:r>
          </w:p>
        </w:tc>
        <w:tc>
          <w:tcPr>
            <w:tcW w:w="180" w:type="dxa"/>
            <w:vAlign w:val="bottom"/>
            <w:shd w:val="clear" w:color="auto" w:fill="CCFFCC"/>
          </w:tcPr>
          <w:p>
            <w:pPr>
              <w:spacing w:after="0"/>
              <w:rPr>
                <w:sz w:val="14"/>
                <w:szCs w:val="14"/>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6,608,069</w:t>
            </w:r>
          </w:p>
        </w:tc>
        <w:tc>
          <w:tcPr>
            <w:tcW w:w="1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6,648,596</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 xml:space="preserve">WireCo WorldGroup Inc. </w:t>
            </w:r>
            <w:r>
              <w:rPr>
                <w:rFonts w:ascii="Arial" w:cs="Arial" w:eastAsia="Arial" w:hAnsi="Arial"/>
                <w:sz w:val="19"/>
                <w:szCs w:val="19"/>
                <w:color w:val="auto"/>
                <w:vertAlign w:val="superscript"/>
              </w:rPr>
              <w:t>10</w:t>
            </w:r>
          </w:p>
        </w:tc>
        <w:tc>
          <w:tcPr>
            <w:tcW w:w="372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Unsecured Bond — Bond</w:t>
            </w: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Machinery (Non-Agriculture, Non-Construction, Non-Electronic)</w:t>
            </w:r>
          </w:p>
        </w:tc>
        <w:tc>
          <w:tcPr>
            <w:tcW w:w="372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11.8% Cash, Due 5/17</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8,000,000</w:t>
            </w:r>
          </w:p>
        </w:tc>
        <w:tc>
          <w:tcPr>
            <w:tcW w:w="180" w:type="dxa"/>
            <w:vAlign w:val="bottom"/>
            <w:shd w:val="clear" w:color="auto" w:fill="CCFFCC"/>
          </w:tcPr>
          <w:p>
            <w:pPr>
              <w:spacing w:after="0"/>
              <w:rPr>
                <w:sz w:val="14"/>
                <w:szCs w:val="14"/>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7,924,193</w:t>
            </w:r>
          </w:p>
        </w:tc>
        <w:tc>
          <w:tcPr>
            <w:tcW w:w="1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8,253,600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4560" w:type="dxa"/>
            <w:vAlign w:val="bottom"/>
            <w:gridSpan w:val="2"/>
            <w:shd w:val="clear" w:color="auto" w:fill="CCFFCC"/>
          </w:tcPr>
          <w:p>
            <w:pPr>
              <w:spacing w:after="0" w:line="126" w:lineRule="exact"/>
              <w:rPr>
                <w:sz w:val="20"/>
                <w:szCs w:val="20"/>
                <w:color w:val="auto"/>
              </w:rPr>
            </w:pPr>
            <w:r>
              <w:rPr>
                <w:rFonts w:ascii="Arial" w:cs="Arial" w:eastAsia="Arial" w:hAnsi="Arial"/>
                <w:sz w:val="14"/>
                <w:szCs w:val="14"/>
                <w:b w:val="1"/>
                <w:bCs w:val="1"/>
                <w:color w:val="auto"/>
              </w:rPr>
              <w:t>Total Investment in Debt Securities</w:t>
            </w:r>
          </w:p>
        </w:tc>
        <w:tc>
          <w:tcPr>
            <w:tcW w:w="34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b w:val="1"/>
                <w:bCs w:val="1"/>
                <w:color w:val="auto"/>
              </w:rPr>
              <w:t>(57% of net asset value at fair value)</w:t>
            </w:r>
          </w:p>
        </w:tc>
        <w:tc>
          <w:tcPr>
            <w:tcW w:w="3720" w:type="dxa"/>
            <w:vAlign w:val="bottom"/>
            <w:gridSpan w:val="3"/>
            <w:shd w:val="clear" w:color="auto" w:fill="CCFFCC"/>
          </w:tcPr>
          <w:p>
            <w:pPr>
              <w:ind w:left="35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174,788,415</w:t>
            </w:r>
          </w:p>
        </w:tc>
        <w:tc>
          <w:tcPr>
            <w:tcW w:w="1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172,602,565</w:t>
            </w:r>
          </w:p>
        </w:tc>
        <w:tc>
          <w:tcPr>
            <w:tcW w:w="2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151,549,821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Securities Portfolio</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Percentage</w:t>
            </w:r>
          </w:p>
        </w:tc>
        <w:tc>
          <w:tcPr>
            <w:tcW w:w="220" w:type="dxa"/>
            <w:vAlign w:val="bottom"/>
          </w:tcPr>
          <w:p>
            <w:pPr>
              <w:spacing w:after="0"/>
              <w:rPr>
                <w:sz w:val="14"/>
                <w:szCs w:val="14"/>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4580" w:type="dxa"/>
            <w:vAlign w:val="bottom"/>
            <w:gridSpan w:val="3"/>
            <w:vMerge w:val="continue"/>
          </w:tcPr>
          <w:p>
            <w:pPr>
              <w:spacing w:after="0"/>
              <w:rPr>
                <w:sz w:val="14"/>
                <w:szCs w:val="14"/>
                <w:color w:val="auto"/>
              </w:rPr>
            </w:pPr>
          </w:p>
        </w:tc>
        <w:tc>
          <w:tcPr>
            <w:tcW w:w="3560" w:type="dxa"/>
            <w:vAlign w:val="bottom"/>
            <w:gridSpan w:val="2"/>
            <w:vMerge w:val="continue"/>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Interest/Shares</w:t>
            </w:r>
          </w:p>
        </w:tc>
        <w:tc>
          <w:tcPr>
            <w:tcW w:w="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440" w:type="dxa"/>
            <w:vAlign w:val="bottom"/>
            <w:tcBorders>
              <w:top w:val="single" w:sz="8" w:color="auto"/>
            </w:tcBorders>
            <w:shd w:val="clear" w:color="auto" w:fill="CCFFCC"/>
          </w:tcPr>
          <w:p>
            <w:pPr>
              <w:spacing w:after="0" w:line="164" w:lineRule="exact"/>
              <w:rPr>
                <w:sz w:val="20"/>
                <w:szCs w:val="20"/>
                <w:color w:val="auto"/>
              </w:rPr>
            </w:pPr>
            <w:r>
              <w:rPr>
                <w:rFonts w:ascii="Arial" w:cs="Arial" w:eastAsia="Arial" w:hAnsi="Arial"/>
                <w:sz w:val="12"/>
                <w:szCs w:val="12"/>
                <w:color w:val="auto"/>
              </w:rPr>
              <w:t>Aerostructures Holdings L.P.</w:t>
            </w:r>
            <w:r>
              <w:rPr>
                <w:rFonts w:ascii="Arial" w:cs="Arial" w:eastAsia="Arial" w:hAnsi="Arial"/>
                <w:sz w:val="18"/>
                <w:szCs w:val="18"/>
                <w:color w:val="auto"/>
                <w:vertAlign w:val="superscript"/>
              </w:rPr>
              <w:t>6, 10</w:t>
            </w:r>
          </w:p>
        </w:tc>
        <w:tc>
          <w:tcPr>
            <w:tcW w:w="120" w:type="dxa"/>
            <w:vAlign w:val="bottom"/>
            <w:tcBorders>
              <w:top w:val="single" w:sz="8" w:color="CCFFCC"/>
            </w:tcBorders>
            <w:shd w:val="clear" w:color="auto" w:fill="CCFFCC"/>
          </w:tcPr>
          <w:p>
            <w:pPr>
              <w:spacing w:after="0"/>
              <w:rPr>
                <w:sz w:val="14"/>
                <w:szCs w:val="14"/>
                <w:color w:val="auto"/>
              </w:rPr>
            </w:pPr>
          </w:p>
        </w:tc>
        <w:tc>
          <w:tcPr>
            <w:tcW w:w="3440" w:type="dxa"/>
            <w:vAlign w:val="bottom"/>
            <w:tcBorders>
              <w:top w:val="single" w:sz="8" w:color="auto"/>
            </w:tcBorders>
            <w:shd w:val="clear" w:color="auto" w:fill="CCFFCC"/>
          </w:tcPr>
          <w:p>
            <w:pPr>
              <w:spacing w:after="0"/>
              <w:rPr>
                <w:sz w:val="14"/>
                <w:szCs w:val="14"/>
                <w:color w:val="auto"/>
              </w:rPr>
            </w:pPr>
          </w:p>
        </w:tc>
        <w:tc>
          <w:tcPr>
            <w:tcW w:w="120" w:type="dxa"/>
            <w:vAlign w:val="bottom"/>
            <w:tcBorders>
              <w:top w:val="single" w:sz="8" w:color="CCFFCC"/>
            </w:tcBorders>
            <w:shd w:val="clear" w:color="auto" w:fill="CCFFCC"/>
          </w:tcPr>
          <w:p>
            <w:pPr>
              <w:spacing w:after="0"/>
              <w:rPr>
                <w:sz w:val="14"/>
                <w:szCs w:val="14"/>
                <w:color w:val="auto"/>
              </w:rPr>
            </w:pPr>
          </w:p>
        </w:tc>
        <w:tc>
          <w:tcPr>
            <w:tcW w:w="1040" w:type="dxa"/>
            <w:vAlign w:val="bottom"/>
            <w:tcBorders>
              <w:top w:val="single" w:sz="8" w:color="auto"/>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220" w:type="dxa"/>
            <w:vAlign w:val="bottom"/>
            <w:tcBorders>
              <w:top w:val="single" w:sz="8" w:color="auto"/>
            </w:tcBorders>
            <w:shd w:val="clear" w:color="auto" w:fill="CCFFCC"/>
          </w:tcPr>
          <w:p>
            <w:pPr>
              <w:spacing w:after="0"/>
              <w:rPr>
                <w:sz w:val="14"/>
                <w:szCs w:val="14"/>
                <w:color w:val="auto"/>
              </w:rPr>
            </w:pPr>
          </w:p>
        </w:tc>
        <w:tc>
          <w:tcPr>
            <w:tcW w:w="800" w:type="dxa"/>
            <w:vAlign w:val="bottom"/>
            <w:tcBorders>
              <w:top w:val="single" w:sz="8" w:color="auto"/>
            </w:tcBorders>
            <w:shd w:val="clear" w:color="auto" w:fill="CCFFCC"/>
          </w:tcPr>
          <w:p>
            <w:pPr>
              <w:spacing w:after="0"/>
              <w:rPr>
                <w:sz w:val="14"/>
                <w:szCs w:val="14"/>
                <w:color w:val="auto"/>
              </w:rPr>
            </w:pPr>
          </w:p>
        </w:tc>
        <w:tc>
          <w:tcPr>
            <w:tcW w:w="60" w:type="dxa"/>
            <w:vAlign w:val="bottom"/>
            <w:tcBorders>
              <w:top w:val="single" w:sz="8" w:color="CCFFCC"/>
            </w:tcBorders>
            <w:shd w:val="clear" w:color="auto" w:fill="CCFFCC"/>
          </w:tcPr>
          <w:p>
            <w:pPr>
              <w:spacing w:after="0"/>
              <w:rPr>
                <w:sz w:val="14"/>
                <w:szCs w:val="14"/>
                <w:color w:val="auto"/>
              </w:rPr>
            </w:pPr>
          </w:p>
        </w:tc>
        <w:tc>
          <w:tcPr>
            <w:tcW w:w="40" w:type="dxa"/>
            <w:vAlign w:val="bottom"/>
            <w:tcBorders>
              <w:top w:val="single" w:sz="8" w:color="CCFFCC"/>
            </w:tcBorders>
            <w:shd w:val="clear" w:color="auto" w:fill="CCFFCC"/>
          </w:tcPr>
          <w:p>
            <w:pPr>
              <w:spacing w:after="0"/>
              <w:rPr>
                <w:sz w:val="14"/>
                <w:szCs w:val="14"/>
                <w:color w:val="auto"/>
              </w:rPr>
            </w:pPr>
          </w:p>
        </w:tc>
        <w:tc>
          <w:tcPr>
            <w:tcW w:w="200" w:type="dxa"/>
            <w:vAlign w:val="bottom"/>
            <w:tcBorders>
              <w:top w:val="single" w:sz="8" w:color="auto"/>
            </w:tcBorders>
            <w:shd w:val="clear" w:color="auto" w:fill="CCFFCC"/>
          </w:tcPr>
          <w:p>
            <w:pPr>
              <w:spacing w:after="0"/>
              <w:rPr>
                <w:sz w:val="14"/>
                <w:szCs w:val="14"/>
                <w:color w:val="auto"/>
              </w:rPr>
            </w:pPr>
          </w:p>
        </w:tc>
        <w:tc>
          <w:tcPr>
            <w:tcW w:w="820" w:type="dxa"/>
            <w:vAlign w:val="bottom"/>
            <w:tcBorders>
              <w:top w:val="single" w:sz="8" w:color="auto"/>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Aerospace and Defense</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Partnership Interests</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1.2%</w:t>
            </w:r>
          </w:p>
        </w:tc>
        <w:tc>
          <w:tcPr>
            <w:tcW w:w="220" w:type="dxa"/>
            <w:vAlign w:val="bottom"/>
            <w:shd w:val="clear" w:color="auto" w:fill="CCFFCC"/>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1,000,000</w:t>
            </w:r>
          </w:p>
        </w:tc>
        <w:tc>
          <w:tcPr>
            <w:tcW w:w="60" w:type="dxa"/>
            <w:vAlign w:val="bottom"/>
            <w:shd w:val="clear" w:color="auto" w:fill="CCFFCC"/>
          </w:tcPr>
          <w:p>
            <w:pPr>
              <w:spacing w:after="0"/>
              <w:rPr>
                <w:sz w:val="14"/>
                <w:szCs w:val="14"/>
                <w:color w:val="auto"/>
              </w:rPr>
            </w:pPr>
          </w:p>
        </w:tc>
        <w:tc>
          <w:tcPr>
            <w:tcW w:w="2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Aerostructures Holdings L.P.</w:t>
            </w:r>
            <w:r>
              <w:rPr>
                <w:rFonts w:ascii="Arial" w:cs="Arial" w:eastAsia="Arial" w:hAnsi="Arial"/>
                <w:sz w:val="19"/>
                <w:szCs w:val="19"/>
                <w:color w:val="auto"/>
                <w:vertAlign w:val="superscript"/>
              </w:rPr>
              <w:t>6, 10</w:t>
            </w:r>
          </w:p>
        </w:tc>
        <w:tc>
          <w:tcPr>
            <w:tcW w:w="34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Aerospace and Defense</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Series A Preferred Interests</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1.2%</w:t>
            </w:r>
          </w:p>
        </w:tc>
        <w:tc>
          <w:tcPr>
            <w:tcW w:w="22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250,961</w:t>
            </w: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50,511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Bankruptcy Management Solutions, Inc.</w:t>
            </w:r>
            <w:r>
              <w:rPr>
                <w:rFonts w:ascii="Arial" w:cs="Arial" w:eastAsia="Arial" w:hAnsi="Arial"/>
                <w:sz w:val="19"/>
                <w:szCs w:val="19"/>
                <w:color w:val="auto"/>
                <w:vertAlign w:val="superscript"/>
              </w:rPr>
              <w:t>6, 10</w:t>
            </w:r>
          </w:p>
        </w:tc>
        <w:tc>
          <w:tcPr>
            <w:tcW w:w="34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Diversified/Conglomerate Service</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Common Stock</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1.2%</w:t>
            </w:r>
          </w:p>
        </w:tc>
        <w:tc>
          <w:tcPr>
            <w:tcW w:w="22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218,592</w:t>
            </w: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Bankruptcy Management Solutions, Inc.</w:t>
            </w:r>
            <w:r>
              <w:rPr>
                <w:rFonts w:ascii="Arial" w:cs="Arial" w:eastAsia="Arial" w:hAnsi="Arial"/>
                <w:sz w:val="19"/>
                <w:szCs w:val="19"/>
                <w:color w:val="auto"/>
                <w:vertAlign w:val="superscript"/>
              </w:rPr>
              <w:t>6, 10</w:t>
            </w:r>
          </w:p>
        </w:tc>
        <w:tc>
          <w:tcPr>
            <w:tcW w:w="34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Diversified/Conglomerate Service</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Warrants</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0.1%</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560" w:type="dxa"/>
            <w:vAlign w:val="bottom"/>
            <w:gridSpan w:val="2"/>
            <w:shd w:val="clear" w:color="auto" w:fill="CCFFCC"/>
          </w:tcPr>
          <w:p>
            <w:pPr>
              <w:spacing w:after="0" w:line="181" w:lineRule="exact"/>
              <w:rPr>
                <w:sz w:val="20"/>
                <w:szCs w:val="20"/>
                <w:color w:val="auto"/>
              </w:rPr>
            </w:pPr>
            <w:r>
              <w:rPr>
                <w:rFonts w:ascii="Arial" w:cs="Arial" w:eastAsia="Arial" w:hAnsi="Arial"/>
                <w:sz w:val="13"/>
                <w:szCs w:val="13"/>
                <w:color w:val="auto"/>
              </w:rPr>
              <w:t>Coastal Concrete Holding II, LLC</w:t>
            </w:r>
            <w:r>
              <w:rPr>
                <w:rFonts w:ascii="Arial" w:cs="Arial" w:eastAsia="Arial" w:hAnsi="Arial"/>
                <w:sz w:val="20"/>
                <w:szCs w:val="20"/>
                <w:color w:val="auto"/>
                <w:vertAlign w:val="superscript"/>
              </w:rPr>
              <w:t>6, 10</w:t>
            </w:r>
          </w:p>
        </w:tc>
        <w:tc>
          <w:tcPr>
            <w:tcW w:w="34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04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80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4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gridSpan w:val="2"/>
            <w:shd w:val="clear" w:color="auto" w:fill="CCFFCC"/>
          </w:tcPr>
          <w:p>
            <w:pPr>
              <w:ind w:left="320"/>
              <w:spacing w:after="0" w:line="198" w:lineRule="exact"/>
              <w:rPr>
                <w:sz w:val="20"/>
                <w:szCs w:val="20"/>
                <w:color w:val="auto"/>
              </w:rPr>
            </w:pPr>
            <w:r>
              <w:rPr>
                <w:rFonts w:ascii="Arial" w:cs="Arial" w:eastAsia="Arial" w:hAnsi="Arial"/>
                <w:sz w:val="14"/>
                <w:szCs w:val="14"/>
                <w:i w:val="1"/>
                <w:iCs w:val="1"/>
                <w:color w:val="auto"/>
              </w:rPr>
              <w:t>Buildings and Real Estate</w:t>
            </w:r>
            <w:r>
              <w:rPr>
                <w:rFonts w:ascii="Arial" w:cs="Arial" w:eastAsia="Arial" w:hAnsi="Arial"/>
                <w:sz w:val="22"/>
                <w:szCs w:val="22"/>
                <w:color w:val="auto"/>
                <w:vertAlign w:val="superscript"/>
              </w:rPr>
              <w:t>4</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Class A Units</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10.8%</w:t>
            </w:r>
          </w:p>
        </w:tc>
        <w:tc>
          <w:tcPr>
            <w:tcW w:w="220" w:type="dxa"/>
            <w:vAlign w:val="bottom"/>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8,625,626</w:t>
            </w:r>
          </w:p>
        </w:tc>
        <w:tc>
          <w:tcPr>
            <w:tcW w:w="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eInstruction Acquisition, LLC</w:t>
            </w:r>
            <w:r>
              <w:rPr>
                <w:rFonts w:ascii="Arial" w:cs="Arial" w:eastAsia="Arial" w:hAnsi="Arial"/>
                <w:sz w:val="19"/>
                <w:szCs w:val="19"/>
                <w:color w:val="auto"/>
                <w:vertAlign w:val="superscript"/>
              </w:rPr>
              <w:t>6, 10</w:t>
            </w:r>
          </w:p>
        </w:tc>
        <w:tc>
          <w:tcPr>
            <w:tcW w:w="34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Healthcare, Education and Childcare</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Membership Units</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1.1%</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1,079,617</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FP WRCA Coinvestment Fund VII, Ltd.</w:t>
            </w:r>
            <w:r>
              <w:rPr>
                <w:rFonts w:ascii="Arial" w:cs="Arial" w:eastAsia="Arial" w:hAnsi="Arial"/>
                <w:sz w:val="19"/>
                <w:szCs w:val="19"/>
                <w:color w:val="auto"/>
                <w:vertAlign w:val="superscript"/>
              </w:rPr>
              <w:t>3, 6,</w:t>
            </w:r>
          </w:p>
        </w:tc>
        <w:tc>
          <w:tcPr>
            <w:tcW w:w="34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Machinery (Non-Agriculture, Non-Construction, Non-Electronic)</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Class A Shares</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1,500</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1,500,000</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1,725,702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8"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Percentage</w:t>
            </w:r>
          </w:p>
        </w:tc>
        <w:tc>
          <w:tcPr>
            <w:tcW w:w="220" w:type="dxa"/>
            <w:vAlign w:val="bottom"/>
          </w:tcPr>
          <w:p>
            <w:pPr>
              <w:spacing w:after="0"/>
              <w:rPr>
                <w:sz w:val="14"/>
                <w:szCs w:val="14"/>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4580" w:type="dxa"/>
            <w:vAlign w:val="bottom"/>
            <w:gridSpan w:val="3"/>
            <w:vMerge w:val="continue"/>
          </w:tcPr>
          <w:p>
            <w:pPr>
              <w:spacing w:after="0"/>
              <w:rPr>
                <w:sz w:val="14"/>
                <w:szCs w:val="14"/>
                <w:color w:val="auto"/>
              </w:rPr>
            </w:pPr>
          </w:p>
        </w:tc>
        <w:tc>
          <w:tcPr>
            <w:tcW w:w="3560" w:type="dxa"/>
            <w:vAlign w:val="bottom"/>
            <w:gridSpan w:val="2"/>
            <w:vMerge w:val="continue"/>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Interest/Shares</w:t>
            </w:r>
          </w:p>
        </w:tc>
        <w:tc>
          <w:tcPr>
            <w:tcW w:w="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440" w:type="dxa"/>
            <w:vAlign w:val="bottom"/>
            <w:tcBorders>
              <w:top w:val="single" w:sz="8" w:color="auto"/>
            </w:tcBorders>
            <w:shd w:val="clear" w:color="auto" w:fill="CCFFCC"/>
          </w:tcPr>
          <w:p>
            <w:pPr>
              <w:spacing w:after="0" w:line="164" w:lineRule="exact"/>
              <w:rPr>
                <w:sz w:val="20"/>
                <w:szCs w:val="20"/>
                <w:color w:val="auto"/>
              </w:rPr>
            </w:pPr>
            <w:r>
              <w:rPr>
                <w:rFonts w:ascii="Arial" w:cs="Arial" w:eastAsia="Arial" w:hAnsi="Arial"/>
                <w:sz w:val="12"/>
                <w:szCs w:val="12"/>
                <w:color w:val="auto"/>
              </w:rPr>
              <w:t>International Architectural Products, Inc.</w:t>
            </w:r>
            <w:r>
              <w:rPr>
                <w:rFonts w:ascii="Arial" w:cs="Arial" w:eastAsia="Arial" w:hAnsi="Arial"/>
                <w:sz w:val="18"/>
                <w:szCs w:val="18"/>
                <w:color w:val="auto"/>
                <w:vertAlign w:val="superscript"/>
              </w:rPr>
              <w:t>6, 10</w:t>
            </w:r>
          </w:p>
        </w:tc>
        <w:tc>
          <w:tcPr>
            <w:tcW w:w="120" w:type="dxa"/>
            <w:vAlign w:val="bottom"/>
            <w:tcBorders>
              <w:top w:val="single" w:sz="8" w:color="CCFFCC"/>
            </w:tcBorders>
            <w:shd w:val="clear" w:color="auto" w:fill="CCFFCC"/>
          </w:tcPr>
          <w:p>
            <w:pPr>
              <w:spacing w:after="0"/>
              <w:rPr>
                <w:sz w:val="14"/>
                <w:szCs w:val="14"/>
                <w:color w:val="auto"/>
              </w:rPr>
            </w:pPr>
          </w:p>
        </w:tc>
        <w:tc>
          <w:tcPr>
            <w:tcW w:w="3440" w:type="dxa"/>
            <w:vAlign w:val="bottom"/>
            <w:tcBorders>
              <w:top w:val="single" w:sz="8" w:color="auto"/>
            </w:tcBorders>
            <w:shd w:val="clear" w:color="auto" w:fill="CCFFCC"/>
          </w:tcPr>
          <w:p>
            <w:pPr>
              <w:spacing w:after="0"/>
              <w:rPr>
                <w:sz w:val="14"/>
                <w:szCs w:val="14"/>
                <w:color w:val="auto"/>
              </w:rPr>
            </w:pPr>
          </w:p>
        </w:tc>
        <w:tc>
          <w:tcPr>
            <w:tcW w:w="120" w:type="dxa"/>
            <w:vAlign w:val="bottom"/>
            <w:tcBorders>
              <w:top w:val="single" w:sz="8" w:color="CCFFCC"/>
            </w:tcBorders>
            <w:shd w:val="clear" w:color="auto" w:fill="CCFFCC"/>
          </w:tcPr>
          <w:p>
            <w:pPr>
              <w:spacing w:after="0"/>
              <w:rPr>
                <w:sz w:val="14"/>
                <w:szCs w:val="14"/>
                <w:color w:val="auto"/>
              </w:rPr>
            </w:pPr>
          </w:p>
        </w:tc>
        <w:tc>
          <w:tcPr>
            <w:tcW w:w="1040" w:type="dxa"/>
            <w:vAlign w:val="bottom"/>
            <w:tcBorders>
              <w:top w:val="single" w:sz="8" w:color="auto"/>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220" w:type="dxa"/>
            <w:vAlign w:val="bottom"/>
            <w:tcBorders>
              <w:top w:val="single" w:sz="8" w:color="auto"/>
            </w:tcBorders>
            <w:shd w:val="clear" w:color="auto" w:fill="CCFFCC"/>
          </w:tcPr>
          <w:p>
            <w:pPr>
              <w:spacing w:after="0"/>
              <w:rPr>
                <w:sz w:val="14"/>
                <w:szCs w:val="14"/>
                <w:color w:val="auto"/>
              </w:rPr>
            </w:pPr>
          </w:p>
        </w:tc>
        <w:tc>
          <w:tcPr>
            <w:tcW w:w="800" w:type="dxa"/>
            <w:vAlign w:val="bottom"/>
            <w:tcBorders>
              <w:top w:val="single" w:sz="8" w:color="auto"/>
            </w:tcBorders>
            <w:shd w:val="clear" w:color="auto" w:fill="CCFFCC"/>
          </w:tcPr>
          <w:p>
            <w:pPr>
              <w:spacing w:after="0"/>
              <w:rPr>
                <w:sz w:val="14"/>
                <w:szCs w:val="14"/>
                <w:color w:val="auto"/>
              </w:rPr>
            </w:pPr>
          </w:p>
        </w:tc>
        <w:tc>
          <w:tcPr>
            <w:tcW w:w="60" w:type="dxa"/>
            <w:vAlign w:val="bottom"/>
            <w:tcBorders>
              <w:top w:val="single" w:sz="8" w:color="CCFFCC"/>
            </w:tcBorders>
            <w:shd w:val="clear" w:color="auto" w:fill="CCFFCC"/>
          </w:tcPr>
          <w:p>
            <w:pPr>
              <w:spacing w:after="0"/>
              <w:rPr>
                <w:sz w:val="14"/>
                <w:szCs w:val="14"/>
                <w:color w:val="auto"/>
              </w:rPr>
            </w:pPr>
          </w:p>
        </w:tc>
        <w:tc>
          <w:tcPr>
            <w:tcW w:w="40" w:type="dxa"/>
            <w:vAlign w:val="bottom"/>
            <w:tcBorders>
              <w:top w:val="single" w:sz="8" w:color="CCFFCC"/>
            </w:tcBorders>
            <w:shd w:val="clear" w:color="auto" w:fill="CCFFCC"/>
          </w:tcPr>
          <w:p>
            <w:pPr>
              <w:spacing w:after="0"/>
              <w:rPr>
                <w:sz w:val="14"/>
                <w:szCs w:val="14"/>
                <w:color w:val="auto"/>
              </w:rPr>
            </w:pPr>
          </w:p>
        </w:tc>
        <w:tc>
          <w:tcPr>
            <w:tcW w:w="200" w:type="dxa"/>
            <w:vAlign w:val="bottom"/>
            <w:tcBorders>
              <w:top w:val="single" w:sz="8" w:color="auto"/>
            </w:tcBorders>
            <w:shd w:val="clear" w:color="auto" w:fill="CCFFCC"/>
          </w:tcPr>
          <w:p>
            <w:pPr>
              <w:spacing w:after="0"/>
              <w:rPr>
                <w:sz w:val="14"/>
                <w:szCs w:val="14"/>
                <w:color w:val="auto"/>
              </w:rPr>
            </w:pPr>
          </w:p>
        </w:tc>
        <w:tc>
          <w:tcPr>
            <w:tcW w:w="820" w:type="dxa"/>
            <w:vAlign w:val="bottom"/>
            <w:tcBorders>
              <w:top w:val="single" w:sz="8" w:color="auto"/>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Mining, Steel, Iron and Non-Precious Metals</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Common Stock</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2.5%</w:t>
            </w:r>
          </w:p>
        </w:tc>
        <w:tc>
          <w:tcPr>
            <w:tcW w:w="22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292,851</w:t>
            </w: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Perseus Holding Corp.</w:t>
            </w:r>
            <w:r>
              <w:rPr>
                <w:rFonts w:ascii="Arial" w:cs="Arial" w:eastAsia="Arial" w:hAnsi="Arial"/>
                <w:sz w:val="19"/>
                <w:szCs w:val="19"/>
                <w:color w:val="auto"/>
                <w:vertAlign w:val="superscript"/>
              </w:rPr>
              <w:t>3, 6, 10</w:t>
            </w:r>
          </w:p>
        </w:tc>
        <w:tc>
          <w:tcPr>
            <w:tcW w:w="34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Leisure, Amusement, Motion Pictures, Entertainment</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Common Stock</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0.2%</w:t>
            </w:r>
          </w:p>
        </w:tc>
        <w:tc>
          <w:tcPr>
            <w:tcW w:w="22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400,000</w:t>
            </w: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13,961</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Plumbing Holdings Corporation</w:t>
            </w:r>
            <w:r>
              <w:rPr>
                <w:rFonts w:ascii="Arial" w:cs="Arial" w:eastAsia="Arial" w:hAnsi="Arial"/>
                <w:sz w:val="19"/>
                <w:szCs w:val="19"/>
                <w:color w:val="auto"/>
                <w:vertAlign w:val="superscript"/>
              </w:rPr>
              <w:t>6, 10</w:t>
            </w:r>
          </w:p>
        </w:tc>
        <w:tc>
          <w:tcPr>
            <w:tcW w:w="34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2"/>
            <w:shd w:val="clear" w:color="auto" w:fill="CCFFCC"/>
          </w:tcPr>
          <w:p>
            <w:pPr>
              <w:ind w:left="320"/>
              <w:spacing w:after="0" w:line="149" w:lineRule="exact"/>
              <w:rPr>
                <w:sz w:val="20"/>
                <w:szCs w:val="20"/>
                <w:color w:val="auto"/>
              </w:rPr>
            </w:pPr>
            <w:r>
              <w:rPr>
                <w:rFonts w:ascii="Arial" w:cs="Arial" w:eastAsia="Arial" w:hAnsi="Arial"/>
                <w:sz w:val="14"/>
                <w:szCs w:val="14"/>
                <w:i w:val="1"/>
                <w:iCs w:val="1"/>
                <w:color w:val="auto"/>
              </w:rPr>
              <w:t>Home and Office Furnishings, Housewares, and Durable Consumer</w:t>
            </w:r>
          </w:p>
        </w:tc>
        <w:tc>
          <w:tcPr>
            <w:tcW w:w="34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Products</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Common Stock</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7.8%</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532,191</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Plumbing Holdings Corporation</w:t>
            </w:r>
            <w:r>
              <w:rPr>
                <w:rFonts w:ascii="Arial" w:cs="Arial" w:eastAsia="Arial" w:hAnsi="Arial"/>
                <w:sz w:val="19"/>
                <w:szCs w:val="19"/>
                <w:color w:val="auto"/>
                <w:vertAlign w:val="superscript"/>
              </w:rPr>
              <w:t>6, 10</w:t>
            </w:r>
          </w:p>
        </w:tc>
        <w:tc>
          <w:tcPr>
            <w:tcW w:w="34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2"/>
            <w:shd w:val="clear" w:color="auto" w:fill="CCFFCC"/>
          </w:tcPr>
          <w:p>
            <w:pPr>
              <w:ind w:left="320"/>
              <w:spacing w:after="0" w:line="149" w:lineRule="exact"/>
              <w:rPr>
                <w:sz w:val="20"/>
                <w:szCs w:val="20"/>
                <w:color w:val="auto"/>
              </w:rPr>
            </w:pPr>
            <w:r>
              <w:rPr>
                <w:rFonts w:ascii="Arial" w:cs="Arial" w:eastAsia="Arial" w:hAnsi="Arial"/>
                <w:sz w:val="14"/>
                <w:szCs w:val="14"/>
                <w:i w:val="1"/>
                <w:iCs w:val="1"/>
                <w:color w:val="auto"/>
              </w:rPr>
              <w:t>Home and Office Furnishings, Housewares, and Durable Consumer</w:t>
            </w:r>
          </w:p>
        </w:tc>
        <w:tc>
          <w:tcPr>
            <w:tcW w:w="34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Products</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Preferred Stock</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15.5%</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3,032,596</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3,311,853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Caribe Media Inc. (fka Caribe Information Investments Incorporated)</w:t>
            </w:r>
            <w:r>
              <w:rPr>
                <w:rFonts w:ascii="Arial" w:cs="Arial" w:eastAsia="Arial" w:hAnsi="Arial"/>
                <w:sz w:val="19"/>
                <w:szCs w:val="19"/>
                <w:color w:val="auto"/>
                <w:vertAlign w:val="superscript"/>
              </w:rPr>
              <w:t>6, 10</w:t>
            </w:r>
          </w:p>
        </w:tc>
        <w:tc>
          <w:tcPr>
            <w:tcW w:w="34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Printing and Publishing</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Common Stock</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1.3%</w:t>
            </w:r>
          </w:p>
        </w:tc>
        <w:tc>
          <w:tcPr>
            <w:tcW w:w="220" w:type="dxa"/>
            <w:vAlign w:val="bottom"/>
            <w:shd w:val="clear" w:color="auto" w:fill="CCFFCC"/>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359,765</w:t>
            </w:r>
          </w:p>
        </w:tc>
        <w:tc>
          <w:tcPr>
            <w:tcW w:w="24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635,199</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TRSO II, Inc.</w:t>
            </w:r>
            <w:r>
              <w:rPr>
                <w:rFonts w:ascii="Arial" w:cs="Arial" w:eastAsia="Arial" w:hAnsi="Arial"/>
                <w:sz w:val="19"/>
                <w:szCs w:val="19"/>
                <w:color w:val="auto"/>
                <w:vertAlign w:val="superscript"/>
              </w:rPr>
              <w:t>6, 10</w:t>
            </w:r>
          </w:p>
        </w:tc>
        <w:tc>
          <w:tcPr>
            <w:tcW w:w="34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Oil and Gas</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Common Stock</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5.4%</w:t>
            </w:r>
          </w:p>
        </w:tc>
        <w:tc>
          <w:tcPr>
            <w:tcW w:w="220" w:type="dxa"/>
            <w:vAlign w:val="bottom"/>
            <w:tcBorders>
              <w:bottom w:val="single" w:sz="8" w:color="auto"/>
            </w:tcBorders>
            <w:shd w:val="clear" w:color="auto" w:fill="CCFFCC"/>
          </w:tcPr>
          <w:p>
            <w:pPr>
              <w:spacing w:after="0"/>
              <w:rPr>
                <w:sz w:val="14"/>
                <w:szCs w:val="14"/>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1,500,000</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tcBorders>
              <w:bottom w:val="single" w:sz="8" w:color="auto"/>
            </w:tcBorders>
            <w:shd w:val="clear" w:color="auto" w:fill="CCFFCC"/>
          </w:tcPr>
          <w:p>
            <w:pPr>
              <w:spacing w:after="0"/>
              <w:rPr>
                <w:sz w:val="14"/>
                <w:szCs w:val="14"/>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1,565,282</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4560" w:type="dxa"/>
            <w:vAlign w:val="bottom"/>
            <w:gridSpan w:val="2"/>
            <w:shd w:val="clear" w:color="auto" w:fill="CCFFCC"/>
          </w:tcPr>
          <w:p>
            <w:pPr>
              <w:spacing w:after="0" w:line="126" w:lineRule="exact"/>
              <w:rPr>
                <w:sz w:val="20"/>
                <w:szCs w:val="20"/>
                <w:color w:val="auto"/>
              </w:rPr>
            </w:pPr>
            <w:r>
              <w:rPr>
                <w:rFonts w:ascii="Arial" w:cs="Arial" w:eastAsia="Arial" w:hAnsi="Arial"/>
                <w:sz w:val="14"/>
                <w:szCs w:val="14"/>
                <w:b w:val="1"/>
                <w:bCs w:val="1"/>
                <w:color w:val="auto"/>
              </w:rPr>
              <w:t>Total Investment in Equity Securities</w:t>
            </w:r>
          </w:p>
        </w:tc>
        <w:tc>
          <w:tcPr>
            <w:tcW w:w="34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b w:val="1"/>
                <w:bCs w:val="1"/>
                <w:color w:val="auto"/>
              </w:rPr>
              <w:t>(3% of net asset value at fair value)</w:t>
            </w:r>
          </w:p>
        </w:tc>
        <w:tc>
          <w:tcPr>
            <w:tcW w:w="34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tcBorders>
              <w:bottom w:val="single" w:sz="8" w:color="auto"/>
            </w:tcBorders>
            <w:shd w:val="clear" w:color="auto" w:fill="CCFFCC"/>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18,260,008</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7,839,699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CLO Fund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 Equity Investments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Percentage</w:t>
            </w:r>
          </w:p>
        </w:tc>
        <w:tc>
          <w:tcPr>
            <w:tcW w:w="220" w:type="dxa"/>
            <w:vAlign w:val="bottom"/>
          </w:tcPr>
          <w:p>
            <w:pPr>
              <w:spacing w:after="0"/>
              <w:rPr>
                <w:sz w:val="14"/>
                <w:szCs w:val="14"/>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4580" w:type="dxa"/>
            <w:vAlign w:val="bottom"/>
            <w:gridSpan w:val="3"/>
            <w:vMerge w:val="continue"/>
          </w:tcPr>
          <w:p>
            <w:pPr>
              <w:spacing w:after="0"/>
              <w:rPr>
                <w:sz w:val="14"/>
                <w:szCs w:val="14"/>
                <w:color w:val="auto"/>
              </w:rPr>
            </w:pPr>
          </w:p>
        </w:tc>
        <w:tc>
          <w:tcPr>
            <w:tcW w:w="3560" w:type="dxa"/>
            <w:vAlign w:val="bottom"/>
            <w:gridSpan w:val="2"/>
            <w:vMerge w:val="continue"/>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Interest</w:t>
            </w:r>
          </w:p>
        </w:tc>
        <w:tc>
          <w:tcPr>
            <w:tcW w:w="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40" w:type="dxa"/>
            <w:vAlign w:val="bottom"/>
            <w:tcBorders>
              <w:top w:val="single" w:sz="8" w:color="auto"/>
            </w:tcBorders>
            <w:shd w:val="clear" w:color="auto" w:fill="CCFFCC"/>
          </w:tcPr>
          <w:p>
            <w:pPr>
              <w:spacing w:after="0" w:line="183" w:lineRule="exact"/>
              <w:rPr>
                <w:sz w:val="20"/>
                <w:szCs w:val="20"/>
                <w:color w:val="auto"/>
              </w:rPr>
            </w:pPr>
            <w:r>
              <w:rPr>
                <w:rFonts w:ascii="Arial" w:cs="Arial" w:eastAsia="Arial" w:hAnsi="Arial"/>
                <w:sz w:val="13"/>
                <w:szCs w:val="13"/>
                <w:color w:val="auto"/>
              </w:rPr>
              <w:t>Grant Grove CLO, Ltd.</w:t>
            </w:r>
            <w:r>
              <w:rPr>
                <w:rFonts w:ascii="Arial" w:cs="Arial" w:eastAsia="Arial" w:hAnsi="Arial"/>
                <w:sz w:val="21"/>
                <w:szCs w:val="21"/>
                <w:color w:val="auto"/>
                <w:vertAlign w:val="superscript"/>
              </w:rPr>
              <w:t>3</w:t>
            </w:r>
          </w:p>
        </w:tc>
        <w:tc>
          <w:tcPr>
            <w:tcW w:w="120" w:type="dxa"/>
            <w:vAlign w:val="bottom"/>
            <w:tcBorders>
              <w:top w:val="single" w:sz="8" w:color="CCFFCC"/>
            </w:tcBorders>
            <w:shd w:val="clear" w:color="auto" w:fill="CCFFCC"/>
          </w:tcPr>
          <w:p>
            <w:pPr>
              <w:spacing w:after="0"/>
              <w:rPr>
                <w:sz w:val="15"/>
                <w:szCs w:val="15"/>
                <w:color w:val="auto"/>
              </w:rPr>
            </w:pPr>
          </w:p>
        </w:tc>
        <w:tc>
          <w:tcPr>
            <w:tcW w:w="34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4"/>
                <w:szCs w:val="14"/>
                <w:color w:val="auto"/>
              </w:rPr>
              <w:t>Subordinated Securities</w:t>
            </w:r>
          </w:p>
        </w:tc>
        <w:tc>
          <w:tcPr>
            <w:tcW w:w="120" w:type="dxa"/>
            <w:vAlign w:val="bottom"/>
            <w:tcBorders>
              <w:top w:val="single" w:sz="8" w:color="CCFFCC"/>
            </w:tcBorders>
            <w:shd w:val="clear" w:color="auto" w:fill="CCFFCC"/>
          </w:tcPr>
          <w:p>
            <w:pPr>
              <w:spacing w:after="0"/>
              <w:rPr>
                <w:sz w:val="15"/>
                <w:szCs w:val="15"/>
                <w:color w:val="auto"/>
              </w:rPr>
            </w:pP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Borders>
              <w:top w:val="single" w:sz="8" w:color="CCFFCC"/>
            </w:tcBorders>
            <w:shd w:val="clear" w:color="auto" w:fill="CCFFCC"/>
          </w:tcPr>
          <w:p>
            <w:pPr>
              <w:spacing w:after="0"/>
              <w:rPr>
                <w:sz w:val="15"/>
                <w:szCs w:val="15"/>
                <w:color w:val="auto"/>
              </w:rPr>
            </w:pPr>
          </w:p>
        </w:tc>
        <w:tc>
          <w:tcPr>
            <w:tcW w:w="220" w:type="dxa"/>
            <w:vAlign w:val="bottom"/>
            <w:tcBorders>
              <w:top w:val="single" w:sz="8" w:color="auto"/>
            </w:tcBorders>
            <w:shd w:val="clear" w:color="auto" w:fill="CCFFCC"/>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4,898,554</w:t>
            </w:r>
          </w:p>
        </w:tc>
        <w:tc>
          <w:tcPr>
            <w:tcW w:w="60" w:type="dxa"/>
            <w:vAlign w:val="bottom"/>
            <w:tcBorders>
              <w:top w:val="single" w:sz="8" w:color="CCFFCC"/>
            </w:tcBorders>
            <w:shd w:val="clear" w:color="auto" w:fill="CCFFCC"/>
          </w:tcPr>
          <w:p>
            <w:pPr>
              <w:spacing w:after="0"/>
              <w:rPr>
                <w:sz w:val="15"/>
                <w:szCs w:val="15"/>
                <w:color w:val="auto"/>
              </w:rPr>
            </w:pPr>
          </w:p>
        </w:tc>
        <w:tc>
          <w:tcPr>
            <w:tcW w:w="40" w:type="dxa"/>
            <w:vAlign w:val="bottom"/>
            <w:tcBorders>
              <w:top w:val="single" w:sz="8" w:color="CCFFCC"/>
            </w:tcBorders>
            <w:shd w:val="clear" w:color="auto" w:fill="CCFFCC"/>
          </w:tcPr>
          <w:p>
            <w:pPr>
              <w:spacing w:after="0"/>
              <w:rPr>
                <w:sz w:val="15"/>
                <w:szCs w:val="15"/>
                <w:color w:val="auto"/>
              </w:rPr>
            </w:pPr>
          </w:p>
        </w:tc>
        <w:tc>
          <w:tcPr>
            <w:tcW w:w="200" w:type="dxa"/>
            <w:vAlign w:val="bottom"/>
            <w:tcBorders>
              <w:top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2,742,376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gridSpan w:val="2"/>
          </w:tcPr>
          <w:p>
            <w:pPr>
              <w:spacing w:after="0" w:line="189" w:lineRule="exact"/>
              <w:rPr>
                <w:sz w:val="20"/>
                <w:szCs w:val="20"/>
                <w:color w:val="auto"/>
              </w:rPr>
            </w:pPr>
            <w:r>
              <w:rPr>
                <w:rFonts w:ascii="Arial" w:cs="Arial" w:eastAsia="Arial" w:hAnsi="Arial"/>
                <w:sz w:val="13"/>
                <w:szCs w:val="13"/>
                <w:color w:val="auto"/>
              </w:rPr>
              <w:t>Katonah III, Ltd.</w:t>
            </w:r>
            <w:r>
              <w:rPr>
                <w:rFonts w:ascii="Arial" w:cs="Arial" w:eastAsia="Arial" w:hAnsi="Arial"/>
                <w:sz w:val="21"/>
                <w:szCs w:val="21"/>
                <w:color w:val="auto"/>
                <w:vertAlign w:val="superscript"/>
              </w:rPr>
              <w:t>3, 11</w:t>
            </w:r>
          </w:p>
        </w:tc>
        <w:tc>
          <w:tcPr>
            <w:tcW w:w="3560" w:type="dxa"/>
            <w:vAlign w:val="bottom"/>
            <w:gridSpan w:val="2"/>
          </w:tcPr>
          <w:p>
            <w:pPr>
              <w:spacing w:after="0"/>
              <w:rPr>
                <w:sz w:val="20"/>
                <w:szCs w:val="20"/>
                <w:color w:val="auto"/>
              </w:rPr>
            </w:pPr>
            <w:r>
              <w:rPr>
                <w:rFonts w:ascii="Arial" w:cs="Arial" w:eastAsia="Arial" w:hAnsi="Arial"/>
                <w:sz w:val="14"/>
                <w:szCs w:val="14"/>
                <w:color w:val="auto"/>
              </w:rPr>
              <w:t>Preferred Shares</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23.1%</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2,103,330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450,000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gridSpan w:val="2"/>
            <w:shd w:val="clear" w:color="auto" w:fill="CCFFCC"/>
          </w:tcPr>
          <w:p>
            <w:pPr>
              <w:spacing w:after="0" w:line="189" w:lineRule="exact"/>
              <w:rPr>
                <w:sz w:val="20"/>
                <w:szCs w:val="20"/>
                <w:color w:val="auto"/>
              </w:rPr>
            </w:pPr>
            <w:r>
              <w:rPr>
                <w:rFonts w:ascii="Arial" w:cs="Arial" w:eastAsia="Arial" w:hAnsi="Arial"/>
                <w:sz w:val="13"/>
                <w:szCs w:val="13"/>
                <w:color w:val="auto"/>
              </w:rPr>
              <w:t>Katonah V, Ltd.</w:t>
            </w:r>
            <w:r>
              <w:rPr>
                <w:rFonts w:ascii="Arial" w:cs="Arial" w:eastAsia="Arial" w:hAnsi="Arial"/>
                <w:sz w:val="21"/>
                <w:szCs w:val="21"/>
                <w:color w:val="auto"/>
                <w:vertAlign w:val="superscript"/>
              </w:rPr>
              <w:t>3, 11</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Preferred Shares</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16.4%</w:t>
            </w:r>
          </w:p>
        </w:tc>
        <w:tc>
          <w:tcPr>
            <w:tcW w:w="220" w:type="dxa"/>
            <w:vAlign w:val="bottom"/>
            <w:shd w:val="clear" w:color="auto" w:fill="CCFFCC"/>
          </w:tcPr>
          <w:p>
            <w:pPr>
              <w:spacing w:after="0"/>
              <w:rPr>
                <w:sz w:val="16"/>
                <w:szCs w:val="16"/>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3,320,000</w:t>
            </w:r>
          </w:p>
        </w:tc>
        <w:tc>
          <w:tcPr>
            <w:tcW w:w="60" w:type="dxa"/>
            <w:vAlign w:val="bottom"/>
            <w:shd w:val="clear" w:color="auto" w:fill="CCFFCC"/>
          </w:tcPr>
          <w:p>
            <w:pPr>
              <w:spacing w:after="0"/>
              <w:rPr>
                <w:sz w:val="16"/>
                <w:szCs w:val="16"/>
                <w:color w:val="auto"/>
              </w:rPr>
            </w:pPr>
          </w:p>
        </w:tc>
        <w:tc>
          <w:tcPr>
            <w:tcW w:w="4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gridSpan w:val="2"/>
          </w:tcPr>
          <w:p>
            <w:pPr>
              <w:spacing w:after="0" w:line="189" w:lineRule="exact"/>
              <w:rPr>
                <w:sz w:val="20"/>
                <w:szCs w:val="20"/>
                <w:color w:val="auto"/>
              </w:rPr>
            </w:pPr>
            <w:r>
              <w:rPr>
                <w:rFonts w:ascii="Arial" w:cs="Arial" w:eastAsia="Arial" w:hAnsi="Arial"/>
                <w:sz w:val="13"/>
                <w:szCs w:val="13"/>
                <w:color w:val="auto"/>
              </w:rPr>
              <w:t>Katonah VII CLO Ltd.</w:t>
            </w:r>
            <w:r>
              <w:rPr>
                <w:rFonts w:ascii="Arial" w:cs="Arial" w:eastAsia="Arial" w:hAnsi="Arial"/>
                <w:sz w:val="21"/>
                <w:szCs w:val="21"/>
                <w:color w:val="auto"/>
                <w:vertAlign w:val="superscript"/>
              </w:rPr>
              <w:t>3, 7</w:t>
            </w:r>
          </w:p>
        </w:tc>
        <w:tc>
          <w:tcPr>
            <w:tcW w:w="3560" w:type="dxa"/>
            <w:vAlign w:val="bottom"/>
            <w:gridSpan w:val="2"/>
          </w:tcPr>
          <w:p>
            <w:pPr>
              <w:spacing w:after="0"/>
              <w:rPr>
                <w:sz w:val="20"/>
                <w:szCs w:val="20"/>
                <w:color w:val="auto"/>
              </w:rPr>
            </w:pPr>
            <w:r>
              <w:rPr>
                <w:rFonts w:ascii="Arial" w:cs="Arial" w:eastAsia="Arial" w:hAnsi="Arial"/>
                <w:sz w:val="14"/>
                <w:szCs w:val="14"/>
                <w:color w:val="auto"/>
              </w:rPr>
              <w:t>Subordinated Securities</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10.3%</w:t>
            </w:r>
          </w:p>
        </w:tc>
        <w:tc>
          <w:tcPr>
            <w:tcW w:w="22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4,542,611</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2,090,033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gridSpan w:val="2"/>
            <w:shd w:val="clear" w:color="auto" w:fill="CCFFCC"/>
          </w:tcPr>
          <w:p>
            <w:pPr>
              <w:spacing w:after="0" w:line="189" w:lineRule="exact"/>
              <w:rPr>
                <w:sz w:val="20"/>
                <w:szCs w:val="20"/>
                <w:color w:val="auto"/>
              </w:rPr>
            </w:pPr>
            <w:r>
              <w:rPr>
                <w:rFonts w:ascii="Arial" w:cs="Arial" w:eastAsia="Arial" w:hAnsi="Arial"/>
                <w:sz w:val="13"/>
                <w:szCs w:val="13"/>
                <w:color w:val="auto"/>
              </w:rPr>
              <w:t>Katonah VIII CLO Ltd</w:t>
            </w:r>
            <w:r>
              <w:rPr>
                <w:rFonts w:ascii="Arial" w:cs="Arial" w:eastAsia="Arial" w:hAnsi="Arial"/>
                <w:sz w:val="21"/>
                <w:szCs w:val="21"/>
                <w:color w:val="auto"/>
                <w:vertAlign w:val="superscript"/>
              </w:rPr>
              <w:t>3, 7</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Subordinated Securities</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6.9%</w:t>
            </w:r>
          </w:p>
        </w:tc>
        <w:tc>
          <w:tcPr>
            <w:tcW w:w="220" w:type="dxa"/>
            <w:vAlign w:val="bottom"/>
            <w:shd w:val="clear" w:color="auto" w:fill="CCFFCC"/>
          </w:tcPr>
          <w:p>
            <w:pPr>
              <w:spacing w:after="0"/>
              <w:rPr>
                <w:sz w:val="16"/>
                <w:szCs w:val="16"/>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3,426,105</w:t>
            </w:r>
          </w:p>
        </w:tc>
        <w:tc>
          <w:tcPr>
            <w:tcW w:w="60" w:type="dxa"/>
            <w:vAlign w:val="bottom"/>
            <w:shd w:val="clear" w:color="auto" w:fill="CCFFCC"/>
          </w:tcPr>
          <w:p>
            <w:pPr>
              <w:spacing w:after="0"/>
              <w:rPr>
                <w:sz w:val="16"/>
                <w:szCs w:val="16"/>
                <w:color w:val="auto"/>
              </w:rPr>
            </w:pPr>
          </w:p>
        </w:tc>
        <w:tc>
          <w:tcPr>
            <w:tcW w:w="4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1,894,796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gridSpan w:val="2"/>
          </w:tcPr>
          <w:p>
            <w:pPr>
              <w:spacing w:after="0" w:line="189" w:lineRule="exact"/>
              <w:rPr>
                <w:sz w:val="20"/>
                <w:szCs w:val="20"/>
                <w:color w:val="auto"/>
              </w:rPr>
            </w:pPr>
            <w:r>
              <w:rPr>
                <w:rFonts w:ascii="Arial" w:cs="Arial" w:eastAsia="Arial" w:hAnsi="Arial"/>
                <w:sz w:val="13"/>
                <w:szCs w:val="13"/>
                <w:color w:val="auto"/>
              </w:rPr>
              <w:t>Katonah IX CLO Ltd</w:t>
            </w:r>
            <w:r>
              <w:rPr>
                <w:rFonts w:ascii="Arial" w:cs="Arial" w:eastAsia="Arial" w:hAnsi="Arial"/>
                <w:sz w:val="21"/>
                <w:szCs w:val="21"/>
                <w:color w:val="auto"/>
                <w:vertAlign w:val="superscript"/>
              </w:rPr>
              <w:t>3, 7</w:t>
            </w:r>
          </w:p>
        </w:tc>
        <w:tc>
          <w:tcPr>
            <w:tcW w:w="3560" w:type="dxa"/>
            <w:vAlign w:val="bottom"/>
            <w:gridSpan w:val="2"/>
          </w:tcPr>
          <w:p>
            <w:pPr>
              <w:spacing w:after="0"/>
              <w:rPr>
                <w:sz w:val="20"/>
                <w:szCs w:val="20"/>
                <w:color w:val="auto"/>
              </w:rPr>
            </w:pPr>
            <w:r>
              <w:rPr>
                <w:rFonts w:ascii="Arial" w:cs="Arial" w:eastAsia="Arial" w:hAnsi="Arial"/>
                <w:sz w:val="14"/>
                <w:szCs w:val="14"/>
                <w:color w:val="auto"/>
              </w:rPr>
              <w:t>Preferred Shares</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26.7%</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2,078,487</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1,337,570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gridSpan w:val="2"/>
            <w:shd w:val="clear" w:color="auto" w:fill="CCFFCC"/>
          </w:tcPr>
          <w:p>
            <w:pPr>
              <w:spacing w:after="0" w:line="189" w:lineRule="exact"/>
              <w:rPr>
                <w:sz w:val="20"/>
                <w:szCs w:val="20"/>
                <w:color w:val="auto"/>
              </w:rPr>
            </w:pPr>
            <w:r>
              <w:rPr>
                <w:rFonts w:ascii="Arial" w:cs="Arial" w:eastAsia="Arial" w:hAnsi="Arial"/>
                <w:sz w:val="13"/>
                <w:szCs w:val="13"/>
                <w:color w:val="auto"/>
              </w:rPr>
              <w:t xml:space="preserve">Katonah X CLO Ltd </w:t>
            </w:r>
            <w:r>
              <w:rPr>
                <w:rFonts w:ascii="Arial" w:cs="Arial" w:eastAsia="Arial" w:hAnsi="Arial"/>
                <w:sz w:val="21"/>
                <w:szCs w:val="21"/>
                <w:color w:val="auto"/>
                <w:vertAlign w:val="superscript"/>
              </w:rPr>
              <w:t>3, 7</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Subordinated Securities</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33.3%</w:t>
            </w:r>
          </w:p>
        </w:tc>
        <w:tc>
          <w:tcPr>
            <w:tcW w:w="220" w:type="dxa"/>
            <w:vAlign w:val="bottom"/>
            <w:shd w:val="clear" w:color="auto" w:fill="CCFFCC"/>
          </w:tcPr>
          <w:p>
            <w:pPr>
              <w:spacing w:after="0"/>
              <w:rPr>
                <w:sz w:val="16"/>
                <w:szCs w:val="16"/>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11,857,236</w:t>
            </w:r>
          </w:p>
        </w:tc>
        <w:tc>
          <w:tcPr>
            <w:tcW w:w="4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8,178,887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gridSpan w:val="2"/>
          </w:tcPr>
          <w:p>
            <w:pPr>
              <w:spacing w:after="0" w:line="189" w:lineRule="exact"/>
              <w:rPr>
                <w:sz w:val="20"/>
                <w:szCs w:val="20"/>
                <w:color w:val="auto"/>
              </w:rPr>
            </w:pPr>
            <w:r>
              <w:rPr>
                <w:rFonts w:ascii="Arial" w:cs="Arial" w:eastAsia="Arial" w:hAnsi="Arial"/>
                <w:sz w:val="13"/>
                <w:szCs w:val="13"/>
                <w:color w:val="auto"/>
              </w:rPr>
              <w:t>Katonah 2007-I CLO Ltd.</w:t>
            </w:r>
            <w:r>
              <w:rPr>
                <w:rFonts w:ascii="Arial" w:cs="Arial" w:eastAsia="Arial" w:hAnsi="Arial"/>
                <w:sz w:val="21"/>
                <w:szCs w:val="21"/>
                <w:color w:val="auto"/>
                <w:vertAlign w:val="superscript"/>
              </w:rPr>
              <w:t>3, 7</w:t>
            </w:r>
          </w:p>
        </w:tc>
        <w:tc>
          <w:tcPr>
            <w:tcW w:w="3560" w:type="dxa"/>
            <w:vAlign w:val="bottom"/>
            <w:gridSpan w:val="2"/>
          </w:tcPr>
          <w:p>
            <w:pPr>
              <w:spacing w:after="0"/>
              <w:rPr>
                <w:sz w:val="20"/>
                <w:szCs w:val="20"/>
                <w:color w:val="auto"/>
              </w:rPr>
            </w:pPr>
            <w:r>
              <w:rPr>
                <w:rFonts w:ascii="Arial" w:cs="Arial" w:eastAsia="Arial" w:hAnsi="Arial"/>
                <w:sz w:val="14"/>
                <w:szCs w:val="14"/>
                <w:color w:val="auto"/>
              </w:rPr>
              <w:t>Preferred Shares</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100.0%</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31,018,671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28,987,453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gridSpan w:val="2"/>
            <w:shd w:val="clear" w:color="auto" w:fill="CCFFCC"/>
          </w:tcPr>
          <w:p>
            <w:pPr>
              <w:spacing w:after="0" w:line="189" w:lineRule="exact"/>
              <w:rPr>
                <w:sz w:val="20"/>
                <w:szCs w:val="20"/>
                <w:color w:val="auto"/>
              </w:rPr>
            </w:pPr>
            <w:r>
              <w:rPr>
                <w:rFonts w:ascii="Arial" w:cs="Arial" w:eastAsia="Arial" w:hAnsi="Arial"/>
                <w:sz w:val="13"/>
                <w:szCs w:val="13"/>
                <w:color w:val="auto"/>
              </w:rPr>
              <w:t>Trimaran CLO IV, Ltd.</w:t>
            </w:r>
            <w:r>
              <w:rPr>
                <w:rFonts w:ascii="Arial" w:cs="Arial" w:eastAsia="Arial" w:hAnsi="Arial"/>
                <w:sz w:val="21"/>
                <w:szCs w:val="21"/>
                <w:color w:val="auto"/>
                <w:vertAlign w:val="superscript"/>
              </w:rPr>
              <w:t>3, 7</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Preferred Shares</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19.0%</w:t>
            </w:r>
          </w:p>
        </w:tc>
        <w:tc>
          <w:tcPr>
            <w:tcW w:w="220" w:type="dxa"/>
            <w:vAlign w:val="bottom"/>
            <w:shd w:val="clear" w:color="auto" w:fill="CCFFCC"/>
          </w:tcPr>
          <w:p>
            <w:pPr>
              <w:spacing w:after="0"/>
              <w:rPr>
                <w:sz w:val="16"/>
                <w:szCs w:val="16"/>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3,590,600</w:t>
            </w:r>
          </w:p>
        </w:tc>
        <w:tc>
          <w:tcPr>
            <w:tcW w:w="60" w:type="dxa"/>
            <w:vAlign w:val="bottom"/>
            <w:shd w:val="clear" w:color="auto" w:fill="CCFFCC"/>
          </w:tcPr>
          <w:p>
            <w:pPr>
              <w:spacing w:after="0"/>
              <w:rPr>
                <w:sz w:val="16"/>
                <w:szCs w:val="16"/>
                <w:color w:val="auto"/>
              </w:rPr>
            </w:pPr>
          </w:p>
        </w:tc>
        <w:tc>
          <w:tcPr>
            <w:tcW w:w="4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3,097,265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gridSpan w:val="2"/>
          </w:tcPr>
          <w:p>
            <w:pPr>
              <w:spacing w:after="0" w:line="189" w:lineRule="exact"/>
              <w:rPr>
                <w:sz w:val="20"/>
                <w:szCs w:val="20"/>
                <w:color w:val="auto"/>
              </w:rPr>
            </w:pPr>
            <w:r>
              <w:rPr>
                <w:rFonts w:ascii="Arial" w:cs="Arial" w:eastAsia="Arial" w:hAnsi="Arial"/>
                <w:sz w:val="13"/>
                <w:szCs w:val="13"/>
                <w:color w:val="auto"/>
              </w:rPr>
              <w:t>Trimaran CLO V, Ltd.</w:t>
            </w:r>
            <w:r>
              <w:rPr>
                <w:rFonts w:ascii="Arial" w:cs="Arial" w:eastAsia="Arial" w:hAnsi="Arial"/>
                <w:sz w:val="21"/>
                <w:szCs w:val="21"/>
                <w:color w:val="auto"/>
                <w:vertAlign w:val="superscript"/>
              </w:rPr>
              <w:t>3, 7</w:t>
            </w:r>
          </w:p>
        </w:tc>
        <w:tc>
          <w:tcPr>
            <w:tcW w:w="3560" w:type="dxa"/>
            <w:vAlign w:val="bottom"/>
            <w:gridSpan w:val="2"/>
          </w:tcPr>
          <w:p>
            <w:pPr>
              <w:spacing w:after="0"/>
              <w:rPr>
                <w:sz w:val="20"/>
                <w:szCs w:val="20"/>
                <w:color w:val="auto"/>
              </w:rPr>
            </w:pPr>
            <w:r>
              <w:rPr>
                <w:rFonts w:ascii="Arial" w:cs="Arial" w:eastAsia="Arial" w:hAnsi="Arial"/>
                <w:sz w:val="14"/>
                <w:szCs w:val="14"/>
                <w:color w:val="auto"/>
              </w:rPr>
              <w:t>Subordinate Notes</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20.8%</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2,746,300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2,603,141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gridSpan w:val="2"/>
            <w:shd w:val="clear" w:color="auto" w:fill="CCFFCC"/>
          </w:tcPr>
          <w:p>
            <w:pPr>
              <w:spacing w:after="0" w:line="189" w:lineRule="exact"/>
              <w:rPr>
                <w:sz w:val="20"/>
                <w:szCs w:val="20"/>
                <w:color w:val="auto"/>
              </w:rPr>
            </w:pPr>
            <w:r>
              <w:rPr>
                <w:rFonts w:ascii="Arial" w:cs="Arial" w:eastAsia="Arial" w:hAnsi="Arial"/>
                <w:sz w:val="13"/>
                <w:szCs w:val="13"/>
                <w:color w:val="auto"/>
              </w:rPr>
              <w:t>Trimaran CLO VI, Ltd.</w:t>
            </w:r>
            <w:r>
              <w:rPr>
                <w:rFonts w:ascii="Arial" w:cs="Arial" w:eastAsia="Arial" w:hAnsi="Arial"/>
                <w:sz w:val="21"/>
                <w:szCs w:val="21"/>
                <w:color w:val="auto"/>
                <w:vertAlign w:val="superscript"/>
              </w:rPr>
              <w:t>3, 7</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Income Notes</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16.2%</w:t>
            </w:r>
          </w:p>
        </w:tc>
        <w:tc>
          <w:tcPr>
            <w:tcW w:w="220" w:type="dxa"/>
            <w:vAlign w:val="bottom"/>
            <w:shd w:val="clear" w:color="auto" w:fill="CCFFCC"/>
          </w:tcPr>
          <w:p>
            <w:pPr>
              <w:spacing w:after="0"/>
              <w:rPr>
                <w:sz w:val="16"/>
                <w:szCs w:val="16"/>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2,856,100</w:t>
            </w:r>
          </w:p>
        </w:tc>
        <w:tc>
          <w:tcPr>
            <w:tcW w:w="60" w:type="dxa"/>
            <w:vAlign w:val="bottom"/>
            <w:shd w:val="clear" w:color="auto" w:fill="CCFFCC"/>
          </w:tcPr>
          <w:p>
            <w:pPr>
              <w:spacing w:after="0"/>
              <w:rPr>
                <w:sz w:val="16"/>
                <w:szCs w:val="16"/>
                <w:color w:val="auto"/>
              </w:rPr>
            </w:pPr>
          </w:p>
        </w:tc>
        <w:tc>
          <w:tcPr>
            <w:tcW w:w="4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2,653,887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gridSpan w:val="2"/>
          </w:tcPr>
          <w:p>
            <w:pPr>
              <w:spacing w:after="0" w:line="189" w:lineRule="exact"/>
              <w:rPr>
                <w:sz w:val="20"/>
                <w:szCs w:val="20"/>
                <w:color w:val="auto"/>
              </w:rPr>
            </w:pPr>
            <w:r>
              <w:rPr>
                <w:rFonts w:ascii="Arial" w:cs="Arial" w:eastAsia="Arial" w:hAnsi="Arial"/>
                <w:sz w:val="13"/>
                <w:szCs w:val="13"/>
                <w:color w:val="auto"/>
              </w:rPr>
              <w:t>Trimaran CLO VII, Ltd.</w:t>
            </w:r>
            <w:r>
              <w:rPr>
                <w:rFonts w:ascii="Arial" w:cs="Arial" w:eastAsia="Arial" w:hAnsi="Arial"/>
                <w:sz w:val="21"/>
                <w:szCs w:val="21"/>
                <w:color w:val="auto"/>
                <w:vertAlign w:val="superscript"/>
              </w:rPr>
              <w:t>3, 7</w:t>
            </w:r>
          </w:p>
        </w:tc>
        <w:tc>
          <w:tcPr>
            <w:tcW w:w="3560" w:type="dxa"/>
            <w:vAlign w:val="bottom"/>
            <w:gridSpan w:val="2"/>
          </w:tcPr>
          <w:p>
            <w:pPr>
              <w:spacing w:after="0"/>
              <w:rPr>
                <w:sz w:val="20"/>
                <w:szCs w:val="20"/>
                <w:color w:val="auto"/>
              </w:rPr>
            </w:pPr>
            <w:r>
              <w:rPr>
                <w:rFonts w:ascii="Arial" w:cs="Arial" w:eastAsia="Arial" w:hAnsi="Arial"/>
                <w:sz w:val="14"/>
                <w:szCs w:val="14"/>
                <w:color w:val="auto"/>
              </w:rPr>
              <w:t>Income Notes</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10.5%</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3,143,300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3,015,851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gridSpan w:val="2"/>
            <w:shd w:val="clear" w:color="auto" w:fill="CCFFCC"/>
          </w:tcPr>
          <w:p>
            <w:pPr>
              <w:spacing w:after="0" w:line="189" w:lineRule="exact"/>
              <w:rPr>
                <w:sz w:val="20"/>
                <w:szCs w:val="20"/>
                <w:color w:val="auto"/>
              </w:rPr>
            </w:pPr>
            <w:r>
              <w:rPr>
                <w:rFonts w:ascii="Arial" w:cs="Arial" w:eastAsia="Arial" w:hAnsi="Arial"/>
                <w:sz w:val="13"/>
                <w:szCs w:val="13"/>
                <w:color w:val="auto"/>
              </w:rPr>
              <w:t>Catamaran CLO 2012-1 Ltd.</w:t>
            </w:r>
            <w:r>
              <w:rPr>
                <w:rFonts w:ascii="Arial" w:cs="Arial" w:eastAsia="Arial" w:hAnsi="Arial"/>
                <w:sz w:val="21"/>
                <w:szCs w:val="21"/>
                <w:color w:val="auto"/>
                <w:vertAlign w:val="superscript"/>
              </w:rPr>
              <w:t>3, 7</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Subordinated Notes</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24.9%</w:t>
            </w:r>
          </w:p>
        </w:tc>
        <w:tc>
          <w:tcPr>
            <w:tcW w:w="220" w:type="dxa"/>
            <w:vAlign w:val="bottom"/>
            <w:tcBorders>
              <w:bottom w:val="single" w:sz="8" w:color="auto"/>
            </w:tcBorders>
            <w:shd w:val="clear" w:color="auto" w:fill="CCFFCC"/>
          </w:tcPr>
          <w:p>
            <w:pPr>
              <w:spacing w:after="0"/>
              <w:rPr>
                <w:sz w:val="16"/>
                <w:szCs w:val="16"/>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9,397,900</w:t>
            </w:r>
          </w:p>
        </w:tc>
        <w:tc>
          <w:tcPr>
            <w:tcW w:w="60" w:type="dxa"/>
            <w:vAlign w:val="bottom"/>
            <w:shd w:val="clear" w:color="auto" w:fill="CCFFCC"/>
          </w:tcPr>
          <w:p>
            <w:pPr>
              <w:spacing w:after="0"/>
              <w:rPr>
                <w:sz w:val="16"/>
                <w:szCs w:val="16"/>
                <w:color w:val="auto"/>
              </w:rPr>
            </w:pPr>
          </w:p>
        </w:tc>
        <w:tc>
          <w:tcPr>
            <w:tcW w:w="40" w:type="dxa"/>
            <w:vAlign w:val="bottom"/>
            <w:shd w:val="clear" w:color="auto" w:fill="CCFFCC"/>
          </w:tcPr>
          <w:p>
            <w:pPr>
              <w:spacing w:after="0"/>
              <w:rPr>
                <w:sz w:val="16"/>
                <w:szCs w:val="16"/>
                <w:color w:val="auto"/>
              </w:rPr>
            </w:pPr>
          </w:p>
        </w:tc>
        <w:tc>
          <w:tcPr>
            <w:tcW w:w="200" w:type="dxa"/>
            <w:vAlign w:val="bottom"/>
            <w:tcBorders>
              <w:bottom w:val="single" w:sz="8" w:color="auto"/>
            </w:tcBorders>
            <w:shd w:val="clear" w:color="auto" w:fill="CCFFCC"/>
          </w:tcPr>
          <w:p>
            <w:pPr>
              <w:spacing w:after="0"/>
              <w:rPr>
                <w:sz w:val="16"/>
                <w:szCs w:val="16"/>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7,777,800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Total Investment in CLO Equity Securities</w:t>
            </w:r>
          </w:p>
        </w:tc>
        <w:tc>
          <w:tcPr>
            <w:tcW w:w="34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20" w:type="dxa"/>
            <w:vAlign w:val="bottom"/>
            <w:tcBorders>
              <w:bottom w:val="single" w:sz="8" w:color="auto"/>
            </w:tcBorders>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84,979,194</w:t>
            </w:r>
          </w:p>
        </w:tc>
        <w:tc>
          <w:tcPr>
            <w:tcW w:w="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200" w:type="dxa"/>
            <w:vAlign w:val="bottom"/>
            <w:tcBorders>
              <w:bottom w:val="single" w:sz="8" w:color="auto"/>
            </w:tcBorders>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64,830,059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 Rated-Note Investments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w:t>
            </w:r>
          </w:p>
        </w:tc>
        <w:tc>
          <w:tcPr>
            <w:tcW w:w="1360" w:type="dxa"/>
            <w:vAlign w:val="bottom"/>
            <w:gridSpan w:val="3"/>
          </w:tcPr>
          <w:p>
            <w:pPr>
              <w:jc w:val="right"/>
              <w:ind w:right="428"/>
              <w:spacing w:after="0"/>
              <w:rPr>
                <w:sz w:val="20"/>
                <w:szCs w:val="20"/>
                <w:color w:val="auto"/>
              </w:rPr>
            </w:pPr>
            <w:r>
              <w:rPr>
                <w:rFonts w:ascii="Arial" w:cs="Arial" w:eastAsia="Arial" w:hAnsi="Arial"/>
                <w:sz w:val="14"/>
                <w:szCs w:val="14"/>
                <w:b w:val="1"/>
                <w:bCs w:val="1"/>
                <w:color w:val="auto"/>
              </w:rPr>
              <w:t>Percentage</w:t>
            </w:r>
          </w:p>
        </w:tc>
        <w:tc>
          <w:tcPr>
            <w:tcW w:w="9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4580" w:type="dxa"/>
            <w:vAlign w:val="bottom"/>
            <w:gridSpan w:val="3"/>
            <w:vMerge w:val="continue"/>
          </w:tcPr>
          <w:p>
            <w:pPr>
              <w:spacing w:after="0"/>
              <w:rPr>
                <w:sz w:val="14"/>
                <w:szCs w:val="14"/>
                <w:color w:val="auto"/>
              </w:rPr>
            </w:pPr>
          </w:p>
        </w:tc>
        <w:tc>
          <w:tcPr>
            <w:tcW w:w="3560" w:type="dxa"/>
            <w:vAlign w:val="bottom"/>
            <w:gridSpan w:val="2"/>
            <w:vMerge w:val="continue"/>
          </w:tcPr>
          <w:p>
            <w:pPr>
              <w:spacing w:after="0"/>
              <w:rPr>
                <w:sz w:val="14"/>
                <w:szCs w:val="14"/>
                <w:color w:val="auto"/>
              </w:rPr>
            </w:pPr>
          </w:p>
        </w:tc>
        <w:tc>
          <w:tcPr>
            <w:tcW w:w="1360" w:type="dxa"/>
            <w:vAlign w:val="bottom"/>
            <w:gridSpan w:val="3"/>
          </w:tcPr>
          <w:p>
            <w:pPr>
              <w:jc w:val="right"/>
              <w:ind w:right="528"/>
              <w:spacing w:after="0"/>
              <w:rPr>
                <w:sz w:val="20"/>
                <w:szCs w:val="20"/>
                <w:color w:val="auto"/>
              </w:rPr>
            </w:pPr>
            <w:r>
              <w:rPr>
                <w:rFonts w:ascii="Arial" w:cs="Arial" w:eastAsia="Arial" w:hAnsi="Arial"/>
                <w:sz w:val="14"/>
                <w:szCs w:val="14"/>
                <w:b w:val="1"/>
                <w:bCs w:val="1"/>
                <w:color w:val="auto"/>
              </w:rPr>
              <w:t>Interest</w:t>
            </w:r>
          </w:p>
        </w:tc>
        <w:tc>
          <w:tcPr>
            <w:tcW w:w="9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40" w:type="dxa"/>
            <w:vAlign w:val="bottom"/>
            <w:tcBorders>
              <w:top w:val="single" w:sz="8" w:color="auto"/>
            </w:tcBorders>
            <w:shd w:val="clear" w:color="auto" w:fill="CCFFCC"/>
          </w:tcPr>
          <w:p>
            <w:pPr>
              <w:spacing w:after="0" w:line="156" w:lineRule="exact"/>
              <w:rPr>
                <w:sz w:val="20"/>
                <w:szCs w:val="20"/>
                <w:color w:val="auto"/>
              </w:rPr>
            </w:pPr>
            <w:r>
              <w:rPr>
                <w:rFonts w:ascii="Arial" w:cs="Arial" w:eastAsia="Arial" w:hAnsi="Arial"/>
                <w:sz w:val="12"/>
                <w:szCs w:val="12"/>
                <w:color w:val="auto"/>
              </w:rPr>
              <w:t>Katonah 2007-I CLO Ltd.</w:t>
            </w:r>
            <w:r>
              <w:rPr>
                <w:rFonts w:ascii="Arial" w:cs="Arial" w:eastAsia="Arial" w:hAnsi="Arial"/>
                <w:sz w:val="18"/>
                <w:szCs w:val="18"/>
                <w:color w:val="auto"/>
                <w:vertAlign w:val="superscript"/>
              </w:rPr>
              <w:t>3, 7</w:t>
            </w:r>
          </w:p>
        </w:tc>
        <w:tc>
          <w:tcPr>
            <w:tcW w:w="120" w:type="dxa"/>
            <w:vAlign w:val="bottom"/>
            <w:tcBorders>
              <w:top w:val="single" w:sz="8" w:color="CCFFCC"/>
            </w:tcBorders>
            <w:shd w:val="clear" w:color="auto" w:fill="CCFFCC"/>
          </w:tcPr>
          <w:p>
            <w:pPr>
              <w:spacing w:after="0"/>
              <w:rPr>
                <w:sz w:val="13"/>
                <w:szCs w:val="13"/>
                <w:color w:val="auto"/>
              </w:rPr>
            </w:pPr>
          </w:p>
        </w:tc>
        <w:tc>
          <w:tcPr>
            <w:tcW w:w="3440" w:type="dxa"/>
            <w:vAlign w:val="bottom"/>
            <w:tcBorders>
              <w:top w:val="single" w:sz="8" w:color="auto"/>
            </w:tcBorders>
            <w:shd w:val="clear" w:color="auto" w:fill="CCFFCC"/>
          </w:tcPr>
          <w:p>
            <w:pPr>
              <w:spacing w:after="0" w:line="155" w:lineRule="exact"/>
              <w:rPr>
                <w:sz w:val="20"/>
                <w:szCs w:val="20"/>
                <w:color w:val="auto"/>
              </w:rPr>
            </w:pPr>
            <w:r>
              <w:rPr>
                <w:rFonts w:ascii="Arial" w:cs="Arial" w:eastAsia="Arial" w:hAnsi="Arial"/>
                <w:sz w:val="14"/>
                <w:szCs w:val="14"/>
                <w:color w:val="auto"/>
              </w:rPr>
              <w:t>Class B-2L Notes</w:t>
            </w:r>
          </w:p>
        </w:tc>
        <w:tc>
          <w:tcPr>
            <w:tcW w:w="120" w:type="dxa"/>
            <w:vAlign w:val="bottom"/>
            <w:tcBorders>
              <w:top w:val="single" w:sz="8" w:color="CCFFCC"/>
            </w:tcBorders>
            <w:shd w:val="clear" w:color="auto" w:fill="CCFFCC"/>
          </w:tcPr>
          <w:p>
            <w:pPr>
              <w:spacing w:after="0"/>
              <w:rPr>
                <w:sz w:val="13"/>
                <w:szCs w:val="13"/>
                <w:color w:val="auto"/>
              </w:rPr>
            </w:pPr>
          </w:p>
        </w:tc>
        <w:tc>
          <w:tcPr>
            <w:tcW w:w="1040" w:type="dxa"/>
            <w:vAlign w:val="bottom"/>
            <w:tcBorders>
              <w:top w:val="single" w:sz="8" w:color="auto"/>
            </w:tcBorders>
            <w:shd w:val="clear" w:color="auto" w:fill="CCFFCC"/>
          </w:tcPr>
          <w:p>
            <w:pPr>
              <w:spacing w:after="0"/>
              <w:rPr>
                <w:sz w:val="13"/>
                <w:szCs w:val="13"/>
                <w:color w:val="auto"/>
              </w:rPr>
            </w:pPr>
          </w:p>
        </w:tc>
        <w:tc>
          <w:tcPr>
            <w:tcW w:w="100" w:type="dxa"/>
            <w:vAlign w:val="bottom"/>
            <w:tcBorders>
              <w:top w:val="single" w:sz="8" w:color="CCFFCC"/>
            </w:tcBorders>
            <w:shd w:val="clear" w:color="auto" w:fill="CCFFCC"/>
          </w:tcPr>
          <w:p>
            <w:pPr>
              <w:spacing w:after="0"/>
              <w:rPr>
                <w:sz w:val="13"/>
                <w:szCs w:val="13"/>
                <w:color w:val="auto"/>
              </w:rPr>
            </w:pPr>
          </w:p>
        </w:tc>
        <w:tc>
          <w:tcPr>
            <w:tcW w:w="220" w:type="dxa"/>
            <w:vAlign w:val="bottom"/>
            <w:tcBorders>
              <w:top w:val="single" w:sz="8" w:color="auto"/>
            </w:tcBorders>
            <w:shd w:val="clear" w:color="auto" w:fill="CCFFCC"/>
          </w:tcPr>
          <w:p>
            <w:pPr>
              <w:spacing w:after="0"/>
              <w:rPr>
                <w:sz w:val="13"/>
                <w:szCs w:val="13"/>
                <w:color w:val="auto"/>
              </w:rPr>
            </w:pPr>
          </w:p>
        </w:tc>
        <w:tc>
          <w:tcPr>
            <w:tcW w:w="800" w:type="dxa"/>
            <w:vAlign w:val="bottom"/>
            <w:tcBorders>
              <w:top w:val="single" w:sz="8" w:color="auto"/>
            </w:tcBorders>
            <w:shd w:val="clear" w:color="auto" w:fill="CCFFCC"/>
          </w:tcPr>
          <w:p>
            <w:pPr>
              <w:spacing w:after="0"/>
              <w:rPr>
                <w:sz w:val="13"/>
                <w:szCs w:val="13"/>
                <w:color w:val="auto"/>
              </w:rPr>
            </w:pPr>
          </w:p>
        </w:tc>
        <w:tc>
          <w:tcPr>
            <w:tcW w:w="100" w:type="dxa"/>
            <w:vAlign w:val="bottom"/>
            <w:tcBorders>
              <w:top w:val="single" w:sz="8" w:color="CCFFCC"/>
            </w:tcBorders>
            <w:shd w:val="clear" w:color="auto" w:fill="CCFFCC"/>
          </w:tcPr>
          <w:p>
            <w:pPr>
              <w:spacing w:after="0"/>
              <w:rPr>
                <w:sz w:val="13"/>
                <w:szCs w:val="13"/>
                <w:color w:val="auto"/>
              </w:rPr>
            </w:pPr>
          </w:p>
        </w:tc>
        <w:tc>
          <w:tcPr>
            <w:tcW w:w="200" w:type="dxa"/>
            <w:vAlign w:val="bottom"/>
            <w:tcBorders>
              <w:top w:val="single" w:sz="8" w:color="auto"/>
            </w:tcBorders>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4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560" w:type="dxa"/>
            <w:vAlign w:val="bottom"/>
            <w:gridSpan w:val="2"/>
            <w:shd w:val="clear" w:color="auto" w:fill="CCFFCC"/>
          </w:tcPr>
          <w:p>
            <w:pPr>
              <w:ind w:left="340"/>
              <w:spacing w:after="0" w:line="116" w:lineRule="exact"/>
              <w:rPr>
                <w:sz w:val="20"/>
                <w:szCs w:val="20"/>
                <w:color w:val="auto"/>
              </w:rPr>
            </w:pPr>
            <w:r>
              <w:rPr>
                <w:rFonts w:ascii="Arial" w:cs="Arial" w:eastAsia="Arial" w:hAnsi="Arial"/>
                <w:sz w:val="13"/>
                <w:szCs w:val="13"/>
                <w:color w:val="auto"/>
              </w:rPr>
              <w:t>Par Value of $10,500,000</w:t>
            </w:r>
          </w:p>
        </w:tc>
        <w:tc>
          <w:tcPr>
            <w:tcW w:w="10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3560" w:type="dxa"/>
            <w:vAlign w:val="bottom"/>
            <w:gridSpan w:val="2"/>
            <w:shd w:val="clear" w:color="auto" w:fill="CCFFCC"/>
          </w:tcPr>
          <w:p>
            <w:pPr>
              <w:ind w:left="340"/>
              <w:spacing w:after="0"/>
              <w:rPr>
                <w:sz w:val="20"/>
                <w:szCs w:val="20"/>
                <w:color w:val="auto"/>
              </w:rPr>
            </w:pPr>
            <w:r>
              <w:rPr>
                <w:rFonts w:ascii="Arial" w:cs="Arial" w:eastAsia="Arial" w:hAnsi="Arial"/>
                <w:sz w:val="14"/>
                <w:szCs w:val="14"/>
                <w:color w:val="auto"/>
              </w:rPr>
              <w:t>5.3%, Due 4/22</w:t>
            </w:r>
          </w:p>
        </w:tc>
        <w:tc>
          <w:tcPr>
            <w:tcW w:w="1360" w:type="dxa"/>
            <w:vAlign w:val="bottom"/>
            <w:gridSpan w:val="3"/>
            <w:shd w:val="clear" w:color="auto" w:fill="CCFFCC"/>
          </w:tcPr>
          <w:p>
            <w:pPr>
              <w:jc w:val="right"/>
              <w:ind w:right="68"/>
              <w:spacing w:after="0"/>
              <w:rPr>
                <w:sz w:val="20"/>
                <w:szCs w:val="20"/>
                <w:color w:val="auto"/>
              </w:rPr>
            </w:pPr>
            <w:r>
              <w:rPr>
                <w:rFonts w:ascii="Arial" w:cs="Arial" w:eastAsia="Arial" w:hAnsi="Arial"/>
                <w:sz w:val="14"/>
                <w:szCs w:val="14"/>
                <w:color w:val="auto"/>
              </w:rPr>
              <w:t>100.0%  $</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1,258,651</w:t>
            </w:r>
          </w:p>
        </w:tc>
        <w:tc>
          <w:tcPr>
            <w:tcW w:w="100" w:type="dxa"/>
            <w:vAlign w:val="bottom"/>
            <w:shd w:val="clear" w:color="auto" w:fill="CCFFCC"/>
          </w:tcPr>
          <w:p>
            <w:pPr>
              <w:spacing w:after="0"/>
              <w:rPr>
                <w:sz w:val="14"/>
                <w:szCs w:val="14"/>
                <w:color w:val="auto"/>
              </w:rPr>
            </w:pPr>
          </w:p>
        </w:tc>
        <w:tc>
          <w:tcPr>
            <w:tcW w:w="20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9,440,000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60" w:type="dxa"/>
            <w:vAlign w:val="bottom"/>
            <w:gridSpan w:val="2"/>
          </w:tcPr>
          <w:p>
            <w:pPr>
              <w:spacing w:after="0" w:line="162" w:lineRule="exact"/>
              <w:rPr>
                <w:sz w:val="20"/>
                <w:szCs w:val="20"/>
                <w:color w:val="auto"/>
              </w:rPr>
            </w:pPr>
            <w:r>
              <w:rPr>
                <w:rFonts w:ascii="Arial" w:cs="Arial" w:eastAsia="Arial" w:hAnsi="Arial"/>
                <w:sz w:val="12"/>
                <w:szCs w:val="12"/>
                <w:color w:val="auto"/>
              </w:rPr>
              <w:t>Catamaran CLO 2012-1 Ltd.</w:t>
            </w:r>
            <w:r>
              <w:rPr>
                <w:rFonts w:ascii="Arial" w:cs="Arial" w:eastAsia="Arial" w:hAnsi="Arial"/>
                <w:sz w:val="18"/>
                <w:szCs w:val="18"/>
                <w:color w:val="auto"/>
                <w:vertAlign w:val="superscript"/>
              </w:rPr>
              <w:t>3, 7</w:t>
            </w:r>
          </w:p>
        </w:tc>
        <w:tc>
          <w:tcPr>
            <w:tcW w:w="3560" w:type="dxa"/>
            <w:vAlign w:val="bottom"/>
            <w:gridSpan w:val="2"/>
          </w:tcPr>
          <w:p>
            <w:pPr>
              <w:spacing w:after="0"/>
              <w:rPr>
                <w:sz w:val="20"/>
                <w:szCs w:val="20"/>
                <w:color w:val="auto"/>
              </w:rPr>
            </w:pPr>
            <w:r>
              <w:rPr>
                <w:rFonts w:ascii="Arial" w:cs="Arial" w:eastAsia="Arial" w:hAnsi="Arial"/>
                <w:sz w:val="14"/>
                <w:szCs w:val="14"/>
                <w:color w:val="auto"/>
              </w:rPr>
              <w:t>Class F Notes</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560" w:type="dxa"/>
            <w:vAlign w:val="bottom"/>
            <w:gridSpan w:val="2"/>
          </w:tcPr>
          <w:p>
            <w:pPr>
              <w:ind w:left="340"/>
              <w:spacing w:after="0" w:line="116" w:lineRule="exact"/>
              <w:rPr>
                <w:sz w:val="20"/>
                <w:szCs w:val="20"/>
                <w:color w:val="auto"/>
              </w:rPr>
            </w:pPr>
            <w:r>
              <w:rPr>
                <w:rFonts w:ascii="Arial" w:cs="Arial" w:eastAsia="Arial" w:hAnsi="Arial"/>
                <w:sz w:val="13"/>
                <w:szCs w:val="13"/>
                <w:color w:val="auto"/>
              </w:rPr>
              <w:t>Par Value of $4,500,000</w:t>
            </w: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ind w:left="340"/>
              <w:spacing w:after="0"/>
              <w:rPr>
                <w:sz w:val="20"/>
                <w:szCs w:val="20"/>
                <w:color w:val="auto"/>
              </w:rPr>
            </w:pPr>
            <w:r>
              <w:rPr>
                <w:rFonts w:ascii="Arial" w:cs="Arial" w:eastAsia="Arial" w:hAnsi="Arial"/>
                <w:sz w:val="14"/>
                <w:szCs w:val="14"/>
                <w:color w:val="auto"/>
              </w:rPr>
              <w:t>6.8%, Due 12/23</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42.9%</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3,867,702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4,000,000</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440" w:type="dxa"/>
            <w:vAlign w:val="bottom"/>
            <w:tcBorders>
              <w:top w:val="single" w:sz="8" w:color="CCFFCC"/>
            </w:tcBorders>
            <w:shd w:val="clear" w:color="auto" w:fill="CCFFCC"/>
          </w:tcPr>
          <w:p>
            <w:pPr>
              <w:spacing w:after="0"/>
              <w:rPr>
                <w:sz w:val="15"/>
                <w:szCs w:val="15"/>
                <w:color w:val="auto"/>
              </w:rPr>
            </w:pPr>
          </w:p>
        </w:tc>
        <w:tc>
          <w:tcPr>
            <w:tcW w:w="120" w:type="dxa"/>
            <w:vAlign w:val="bottom"/>
            <w:tcBorders>
              <w:top w:val="single" w:sz="8" w:color="CCFFCC"/>
            </w:tcBorders>
            <w:shd w:val="clear" w:color="auto" w:fill="CCFFCC"/>
          </w:tcPr>
          <w:p>
            <w:pPr>
              <w:spacing w:after="0"/>
              <w:rPr>
                <w:sz w:val="15"/>
                <w:szCs w:val="15"/>
                <w:color w:val="auto"/>
              </w:rPr>
            </w:pPr>
          </w:p>
        </w:tc>
        <w:tc>
          <w:tcPr>
            <w:tcW w:w="3440" w:type="dxa"/>
            <w:vAlign w:val="bottom"/>
            <w:tcBorders>
              <w:top w:val="single" w:sz="8" w:color="CCFFCC"/>
            </w:tcBorders>
            <w:shd w:val="clear" w:color="auto" w:fill="CCFFCC"/>
          </w:tcPr>
          <w:p>
            <w:pPr>
              <w:spacing w:after="0"/>
              <w:rPr>
                <w:sz w:val="15"/>
                <w:szCs w:val="15"/>
                <w:color w:val="auto"/>
              </w:rPr>
            </w:pPr>
          </w:p>
        </w:tc>
        <w:tc>
          <w:tcPr>
            <w:tcW w:w="120" w:type="dxa"/>
            <w:vAlign w:val="bottom"/>
            <w:tcBorders>
              <w:top w:val="single" w:sz="8" w:color="CCFFCC"/>
            </w:tcBorders>
            <w:shd w:val="clear" w:color="auto" w:fill="CCFFCC"/>
          </w:tcPr>
          <w:p>
            <w:pPr>
              <w:spacing w:after="0"/>
              <w:rPr>
                <w:sz w:val="15"/>
                <w:szCs w:val="15"/>
                <w:color w:val="auto"/>
              </w:rPr>
            </w:pPr>
          </w:p>
        </w:tc>
        <w:tc>
          <w:tcPr>
            <w:tcW w:w="1040" w:type="dxa"/>
            <w:vAlign w:val="bottom"/>
            <w:tcBorders>
              <w:top w:val="single" w:sz="8" w:color="CCFFCC"/>
            </w:tcBorders>
            <w:shd w:val="clear" w:color="auto" w:fill="CCFFCC"/>
          </w:tcPr>
          <w:p>
            <w:pPr>
              <w:spacing w:after="0"/>
              <w:rPr>
                <w:sz w:val="15"/>
                <w:szCs w:val="15"/>
                <w:color w:val="auto"/>
              </w:rPr>
            </w:pPr>
          </w:p>
        </w:tc>
        <w:tc>
          <w:tcPr>
            <w:tcW w:w="100" w:type="dxa"/>
            <w:vAlign w:val="bottom"/>
            <w:tcBorders>
              <w:top w:val="single" w:sz="8" w:color="CCFFCC"/>
            </w:tcBorders>
            <w:shd w:val="clear" w:color="auto" w:fill="CCFFCC"/>
          </w:tcPr>
          <w:p>
            <w:pPr>
              <w:spacing w:after="0"/>
              <w:rPr>
                <w:sz w:val="15"/>
                <w:szCs w:val="15"/>
                <w:color w:val="auto"/>
              </w:rPr>
            </w:pPr>
          </w:p>
        </w:tc>
        <w:tc>
          <w:tcPr>
            <w:tcW w:w="220" w:type="dxa"/>
            <w:vAlign w:val="bottom"/>
            <w:tcBorders>
              <w:top w:val="single" w:sz="8" w:color="auto"/>
            </w:tcBorders>
            <w:shd w:val="clear" w:color="auto" w:fill="CCFFCC"/>
          </w:tcPr>
          <w:p>
            <w:pPr>
              <w:spacing w:after="0"/>
              <w:rPr>
                <w:sz w:val="15"/>
                <w:szCs w:val="15"/>
                <w:color w:val="auto"/>
              </w:rPr>
            </w:pPr>
          </w:p>
        </w:tc>
        <w:tc>
          <w:tcPr>
            <w:tcW w:w="800" w:type="dxa"/>
            <w:vAlign w:val="bottom"/>
            <w:tcBorders>
              <w:top w:val="single" w:sz="8" w:color="auto"/>
            </w:tcBorders>
            <w:shd w:val="clear" w:color="auto" w:fill="CCFFCC"/>
          </w:tcPr>
          <w:p>
            <w:pPr>
              <w:spacing w:after="0"/>
              <w:rPr>
                <w:sz w:val="15"/>
                <w:szCs w:val="15"/>
                <w:color w:val="auto"/>
              </w:rPr>
            </w:pPr>
          </w:p>
        </w:tc>
        <w:tc>
          <w:tcPr>
            <w:tcW w:w="100" w:type="dxa"/>
            <w:vAlign w:val="bottom"/>
            <w:tcBorders>
              <w:top w:val="single" w:sz="8" w:color="CCFFCC"/>
            </w:tcBorders>
            <w:shd w:val="clear" w:color="auto" w:fill="CCFFCC"/>
          </w:tcPr>
          <w:p>
            <w:pPr>
              <w:spacing w:after="0"/>
              <w:rPr>
                <w:sz w:val="15"/>
                <w:szCs w:val="15"/>
                <w:color w:val="auto"/>
              </w:rPr>
            </w:pPr>
          </w:p>
        </w:tc>
        <w:tc>
          <w:tcPr>
            <w:tcW w:w="200" w:type="dxa"/>
            <w:vAlign w:val="bottom"/>
            <w:tcBorders>
              <w:top w:val="single" w:sz="8" w:color="auto"/>
            </w:tcBorders>
            <w:shd w:val="clear" w:color="auto" w:fill="CCFFCC"/>
          </w:tcPr>
          <w:p>
            <w:pPr>
              <w:spacing w:after="0"/>
              <w:rPr>
                <w:sz w:val="15"/>
                <w:szCs w:val="15"/>
                <w:color w:val="auto"/>
              </w:rPr>
            </w:pPr>
          </w:p>
        </w:tc>
        <w:tc>
          <w:tcPr>
            <w:tcW w:w="820" w:type="dxa"/>
            <w:vAlign w:val="bottom"/>
            <w:tcBorders>
              <w:top w:val="single" w:sz="8" w:color="auto"/>
            </w:tcBorders>
            <w:shd w:val="clear" w:color="auto" w:fill="CCFFCC"/>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Total Investment in CLO Rated-Notes</w:t>
            </w: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5,126,353</w:t>
            </w:r>
          </w:p>
        </w:tc>
        <w:tc>
          <w:tcPr>
            <w:tcW w:w="100" w:type="dxa"/>
            <w:vAlign w:val="bottom"/>
          </w:tcPr>
          <w:p>
            <w:pPr>
              <w:spacing w:after="0"/>
              <w:rPr>
                <w:sz w:val="12"/>
                <w:szCs w:val="12"/>
                <w:color w:val="auto"/>
              </w:rPr>
            </w:pP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13,440,000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44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344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04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220" w:type="dxa"/>
            <w:vAlign w:val="bottom"/>
            <w:tcBorders>
              <w:top w:val="single" w:sz="8" w:color="auto"/>
            </w:tcBorders>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200" w:type="dxa"/>
            <w:vAlign w:val="bottom"/>
            <w:tcBorders>
              <w:top w:val="single" w:sz="8" w:color="auto"/>
            </w:tcBorders>
            <w:shd w:val="clear" w:color="auto" w:fill="CCFFCC"/>
          </w:tcPr>
          <w:p>
            <w:pPr>
              <w:spacing w:after="0"/>
              <w:rPr>
                <w:sz w:val="12"/>
                <w:szCs w:val="12"/>
                <w:color w:val="auto"/>
              </w:rPr>
            </w:pPr>
          </w:p>
        </w:tc>
        <w:tc>
          <w:tcPr>
            <w:tcW w:w="820" w:type="dxa"/>
            <w:vAlign w:val="bottom"/>
            <w:tcBorders>
              <w:top w:val="single" w:sz="8" w:color="auto"/>
            </w:tcBorders>
            <w:shd w:val="clear" w:color="auto" w:fill="CCFFC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456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rPr>
              <w:t>Total Investment in CLO Fund Securities</w:t>
            </w:r>
          </w:p>
        </w:tc>
        <w:tc>
          <w:tcPr>
            <w:tcW w:w="3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gridSpan w:val="2"/>
          </w:tcPr>
          <w:p>
            <w:pPr>
              <w:ind w:left="320"/>
              <w:spacing w:after="0"/>
              <w:rPr>
                <w:sz w:val="20"/>
                <w:szCs w:val="20"/>
                <w:color w:val="auto"/>
              </w:rPr>
            </w:pPr>
            <w:r>
              <w:rPr>
                <w:rFonts w:ascii="Arial" w:cs="Arial" w:eastAsia="Arial" w:hAnsi="Arial"/>
                <w:sz w:val="14"/>
                <w:szCs w:val="14"/>
                <w:b w:val="1"/>
                <w:bCs w:val="1"/>
                <w:color w:val="auto"/>
              </w:rPr>
              <w:t>(29% of net asset value at fair value)</w:t>
            </w:r>
          </w:p>
        </w:tc>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spacing w:after="0"/>
              <w:rPr>
                <w:sz w:val="14"/>
                <w:szCs w:val="14"/>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90,105,547</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78,270,059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Manager Affiliates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w:t>
            </w:r>
          </w:p>
        </w:tc>
        <w:tc>
          <w:tcPr>
            <w:tcW w:w="1360" w:type="dxa"/>
            <w:vAlign w:val="bottom"/>
            <w:gridSpan w:val="3"/>
          </w:tcPr>
          <w:p>
            <w:pPr>
              <w:jc w:val="right"/>
              <w:ind w:right="428"/>
              <w:spacing w:after="0"/>
              <w:rPr>
                <w:sz w:val="20"/>
                <w:szCs w:val="20"/>
                <w:color w:val="auto"/>
              </w:rPr>
            </w:pPr>
            <w:r>
              <w:rPr>
                <w:rFonts w:ascii="Arial" w:cs="Arial" w:eastAsia="Arial" w:hAnsi="Arial"/>
                <w:sz w:val="14"/>
                <w:szCs w:val="14"/>
                <w:b w:val="1"/>
                <w:bCs w:val="1"/>
                <w:color w:val="auto"/>
              </w:rPr>
              <w:t>Percentage</w:t>
            </w:r>
          </w:p>
        </w:tc>
        <w:tc>
          <w:tcPr>
            <w:tcW w:w="8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4580" w:type="dxa"/>
            <w:vAlign w:val="bottom"/>
            <w:gridSpan w:val="3"/>
            <w:vMerge w:val="continue"/>
          </w:tcPr>
          <w:p>
            <w:pPr>
              <w:spacing w:after="0"/>
              <w:rPr>
                <w:sz w:val="14"/>
                <w:szCs w:val="14"/>
                <w:color w:val="auto"/>
              </w:rPr>
            </w:pPr>
          </w:p>
        </w:tc>
        <w:tc>
          <w:tcPr>
            <w:tcW w:w="3560" w:type="dxa"/>
            <w:vAlign w:val="bottom"/>
            <w:gridSpan w:val="2"/>
            <w:vMerge w:val="continue"/>
          </w:tcPr>
          <w:p>
            <w:pPr>
              <w:spacing w:after="0"/>
              <w:rPr>
                <w:sz w:val="14"/>
                <w:szCs w:val="14"/>
                <w:color w:val="auto"/>
              </w:rPr>
            </w:pPr>
          </w:p>
        </w:tc>
        <w:tc>
          <w:tcPr>
            <w:tcW w:w="1360" w:type="dxa"/>
            <w:vAlign w:val="bottom"/>
            <w:gridSpan w:val="3"/>
          </w:tcPr>
          <w:p>
            <w:pPr>
              <w:jc w:val="right"/>
              <w:ind w:right="528"/>
              <w:spacing w:after="0"/>
              <w:rPr>
                <w:sz w:val="20"/>
                <w:szCs w:val="20"/>
                <w:color w:val="auto"/>
              </w:rPr>
            </w:pPr>
            <w:r>
              <w:rPr>
                <w:rFonts w:ascii="Arial" w:cs="Arial" w:eastAsia="Arial" w:hAnsi="Arial"/>
                <w:sz w:val="14"/>
                <w:szCs w:val="14"/>
                <w:b w:val="1"/>
                <w:bCs w:val="1"/>
                <w:color w:val="auto"/>
              </w:rPr>
              <w:t>Interest</w:t>
            </w: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FFCC"/>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440" w:type="dxa"/>
            <w:vAlign w:val="bottom"/>
            <w:shd w:val="clear" w:color="auto" w:fill="CCFFCC"/>
          </w:tcPr>
          <w:p>
            <w:pPr>
              <w:spacing w:after="0" w:line="183" w:lineRule="exact"/>
              <w:rPr>
                <w:sz w:val="20"/>
                <w:szCs w:val="20"/>
                <w:color w:val="auto"/>
              </w:rPr>
            </w:pPr>
            <w:r>
              <w:rPr>
                <w:rFonts w:ascii="Arial" w:cs="Arial" w:eastAsia="Arial" w:hAnsi="Arial"/>
                <w:sz w:val="13"/>
                <w:szCs w:val="13"/>
                <w:color w:val="auto"/>
              </w:rPr>
              <w:t>Asset Manager Affiliates</w:t>
            </w:r>
            <w:r>
              <w:rPr>
                <w:rFonts w:ascii="Arial" w:cs="Arial" w:eastAsia="Arial" w:hAnsi="Arial"/>
                <w:sz w:val="21"/>
                <w:szCs w:val="21"/>
                <w:color w:val="auto"/>
                <w:vertAlign w:val="superscript"/>
              </w:rPr>
              <w:t>10</w:t>
            </w:r>
          </w:p>
        </w:tc>
        <w:tc>
          <w:tcPr>
            <w:tcW w:w="120" w:type="dxa"/>
            <w:vAlign w:val="bottom"/>
            <w:vMerge w:val="continue"/>
            <w:shd w:val="clear" w:color="auto" w:fill="CCFFCC"/>
          </w:tcPr>
          <w:p>
            <w:pPr>
              <w:spacing w:after="0"/>
              <w:rPr>
                <w:sz w:val="15"/>
                <w:szCs w:val="15"/>
                <w:color w:val="auto"/>
              </w:rPr>
            </w:pPr>
          </w:p>
        </w:tc>
        <w:tc>
          <w:tcPr>
            <w:tcW w:w="3440" w:type="dxa"/>
            <w:vAlign w:val="bottom"/>
            <w:shd w:val="clear" w:color="auto" w:fill="CCFFCC"/>
          </w:tcPr>
          <w:p>
            <w:pPr>
              <w:spacing w:after="0"/>
              <w:rPr>
                <w:sz w:val="20"/>
                <w:szCs w:val="20"/>
                <w:color w:val="auto"/>
              </w:rPr>
            </w:pPr>
            <w:r>
              <w:rPr>
                <w:rFonts w:ascii="Arial" w:cs="Arial" w:eastAsia="Arial" w:hAnsi="Arial"/>
                <w:sz w:val="14"/>
                <w:szCs w:val="14"/>
                <w:color w:val="auto"/>
              </w:rPr>
              <w:t>Asset Management Company</w:t>
            </w:r>
          </w:p>
        </w:tc>
        <w:tc>
          <w:tcPr>
            <w:tcW w:w="120" w:type="dxa"/>
            <w:vAlign w:val="bottom"/>
            <w:shd w:val="clear" w:color="auto" w:fill="CCFFCC"/>
          </w:tcPr>
          <w:p>
            <w:pPr>
              <w:spacing w:after="0"/>
              <w:rPr>
                <w:sz w:val="15"/>
                <w:szCs w:val="15"/>
                <w:color w:val="auto"/>
              </w:rPr>
            </w:pPr>
          </w:p>
        </w:tc>
        <w:tc>
          <w:tcPr>
            <w:tcW w:w="1360" w:type="dxa"/>
            <w:vAlign w:val="bottom"/>
            <w:gridSpan w:val="3"/>
            <w:shd w:val="clear" w:color="auto" w:fill="CCFFCC"/>
          </w:tcPr>
          <w:p>
            <w:pPr>
              <w:jc w:val="right"/>
              <w:ind w:right="68"/>
              <w:spacing w:after="0"/>
              <w:rPr>
                <w:sz w:val="20"/>
                <w:szCs w:val="20"/>
                <w:color w:val="auto"/>
              </w:rPr>
            </w:pPr>
            <w:r>
              <w:rPr>
                <w:rFonts w:ascii="Arial" w:cs="Arial" w:eastAsia="Arial" w:hAnsi="Arial"/>
                <w:sz w:val="14"/>
                <w:szCs w:val="14"/>
                <w:color w:val="auto"/>
              </w:rPr>
              <w:t>100.0%  $</w:t>
            </w:r>
          </w:p>
        </w:tc>
        <w:tc>
          <w:tcPr>
            <w:tcW w:w="800" w:type="dxa"/>
            <w:vAlign w:val="bottom"/>
            <w:shd w:val="clear" w:color="auto" w:fill="CCFFCC"/>
          </w:tcPr>
          <w:p>
            <w:pPr>
              <w:ind w:left="160"/>
              <w:spacing w:after="0"/>
              <w:rPr>
                <w:sz w:val="20"/>
                <w:szCs w:val="20"/>
                <w:color w:val="auto"/>
              </w:rPr>
            </w:pPr>
            <w:r>
              <w:rPr>
                <w:rFonts w:ascii="Arial" w:cs="Arial" w:eastAsia="Arial" w:hAnsi="Arial"/>
                <w:sz w:val="14"/>
                <w:szCs w:val="14"/>
                <w:color w:val="auto"/>
                <w:w w:val="88"/>
              </w:rPr>
              <w:t>83,198,191</w:t>
            </w:r>
          </w:p>
        </w:tc>
        <w:tc>
          <w:tcPr>
            <w:tcW w:w="30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80,354,000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4560" w:type="dxa"/>
            <w:vAlign w:val="bottom"/>
            <w:gridSpan w:val="2"/>
            <w:shd w:val="clear" w:color="auto" w:fill="CCFFCC"/>
          </w:tcPr>
          <w:p>
            <w:pPr>
              <w:spacing w:after="0" w:line="126" w:lineRule="exact"/>
              <w:rPr>
                <w:sz w:val="20"/>
                <w:szCs w:val="20"/>
                <w:color w:val="auto"/>
              </w:rPr>
            </w:pPr>
            <w:r>
              <w:rPr>
                <w:rFonts w:ascii="Arial" w:cs="Arial" w:eastAsia="Arial" w:hAnsi="Arial"/>
                <w:sz w:val="14"/>
                <w:szCs w:val="14"/>
                <w:b w:val="1"/>
                <w:bCs w:val="1"/>
                <w:color w:val="auto"/>
              </w:rPr>
              <w:t>Total Investment in Asset Manager Affiliates</w:t>
            </w:r>
          </w:p>
        </w:tc>
        <w:tc>
          <w:tcPr>
            <w:tcW w:w="34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b w:val="1"/>
                <w:bCs w:val="1"/>
                <w:color w:val="auto"/>
              </w:rPr>
              <w:t>(30% of net asset value at fair value)</w:t>
            </w:r>
          </w:p>
        </w:tc>
        <w:tc>
          <w:tcPr>
            <w:tcW w:w="34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140" w:type="dxa"/>
            <w:vAlign w:val="bottom"/>
            <w:gridSpan w:val="2"/>
            <w:shd w:val="clear" w:color="auto" w:fill="CCFFCC"/>
          </w:tcPr>
          <w:p>
            <w:pPr>
              <w:spacing w:after="0"/>
              <w:rPr>
                <w:sz w:val="14"/>
                <w:szCs w:val="14"/>
                <w:color w:val="auto"/>
              </w:rPr>
            </w:pPr>
          </w:p>
        </w:tc>
        <w:tc>
          <w:tcPr>
            <w:tcW w:w="220" w:type="dxa"/>
            <w:vAlign w:val="bottom"/>
            <w:tcBorders>
              <w:bottom w:val="single" w:sz="8" w:color="auto"/>
            </w:tcBorders>
            <w:shd w:val="clear" w:color="auto" w:fill="CCFFCC"/>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FFCC"/>
          </w:tcPr>
          <w:p>
            <w:pPr>
              <w:ind w:left="160"/>
              <w:spacing w:after="0"/>
              <w:rPr>
                <w:sz w:val="20"/>
                <w:szCs w:val="20"/>
                <w:color w:val="auto"/>
              </w:rPr>
            </w:pPr>
            <w:r>
              <w:rPr>
                <w:rFonts w:ascii="Arial" w:cs="Arial" w:eastAsia="Arial" w:hAnsi="Arial"/>
                <w:sz w:val="14"/>
                <w:szCs w:val="14"/>
                <w:color w:val="auto"/>
                <w:w w:val="88"/>
              </w:rPr>
              <w:t>83,198,191</w:t>
            </w:r>
          </w:p>
        </w:tc>
        <w:tc>
          <w:tcPr>
            <w:tcW w:w="100" w:type="dxa"/>
            <w:vAlign w:val="bottom"/>
            <w:shd w:val="clear" w:color="auto" w:fill="CCFFCC"/>
          </w:tcPr>
          <w:p>
            <w:pPr>
              <w:spacing w:after="0"/>
              <w:rPr>
                <w:sz w:val="14"/>
                <w:szCs w:val="14"/>
                <w:color w:val="auto"/>
              </w:rPr>
            </w:pPr>
          </w:p>
        </w:tc>
        <w:tc>
          <w:tcPr>
            <w:tcW w:w="20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80,354,000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Money Market Account</w:t>
      </w:r>
    </w:p>
    <w:p>
      <w:pPr>
        <w:sectPr>
          <w:pgSz w:w="11900" w:h="16838" w:orient="portrait"/>
          <w:cols w:equalWidth="0" w:num="1">
            <w:col w:w="11420"/>
          </w:cols>
          <w:pgMar w:left="240" w:top="931" w:right="239" w:bottom="1440" w:gutter="0" w:footer="0" w:header="0"/>
        </w:sect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Money Market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8301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84" w:lineRule="exact"/>
        <w:rPr>
          <w:sz w:val="20"/>
          <w:szCs w:val="20"/>
          <w:color w:val="auto"/>
        </w:rPr>
      </w:pPr>
    </w:p>
    <w:p>
      <w:pPr>
        <w:ind w:right="1020"/>
        <w:spacing w:after="0" w:line="375" w:lineRule="auto"/>
        <w:rPr>
          <w:sz w:val="20"/>
          <w:szCs w:val="20"/>
          <w:color w:val="auto"/>
        </w:rPr>
      </w:pPr>
      <w:r>
        <w:rPr>
          <w:rFonts w:ascii="Arial" w:cs="Arial" w:eastAsia="Arial" w:hAnsi="Arial"/>
          <w:sz w:val="13"/>
          <w:szCs w:val="13"/>
          <w:color w:val="auto"/>
        </w:rPr>
        <w:t>JP Morgan Business Money Market Account</w:t>
      </w:r>
      <w:r>
        <w:rPr>
          <w:rFonts w:ascii="Arial" w:cs="Arial" w:eastAsia="Arial" w:hAnsi="Arial"/>
          <w:sz w:val="21"/>
          <w:szCs w:val="21"/>
          <w:color w:val="auto"/>
          <w:vertAlign w:val="superscript"/>
        </w:rPr>
        <w:t>9, 10</w:t>
      </w:r>
      <w:r>
        <w:rPr>
          <w:rFonts w:ascii="Arial" w:cs="Arial" w:eastAsia="Arial" w:hAnsi="Arial"/>
          <w:sz w:val="13"/>
          <w:szCs w:val="13"/>
          <w:color w:val="auto"/>
        </w:rPr>
        <w:t xml:space="preserve"> US Bank Money Market Account</w:t>
      </w:r>
      <w:r>
        <w:rPr>
          <w:rFonts w:ascii="Arial" w:cs="Arial" w:eastAsia="Arial" w:hAnsi="Arial"/>
          <w:sz w:val="21"/>
          <w:szCs w:val="21"/>
          <w:color w:val="auto"/>
          <w:vertAlign w:val="superscript"/>
        </w:rPr>
        <w:t>10</w:t>
      </w:r>
    </w:p>
    <w:p>
      <w:pPr>
        <w:spacing w:after="0" w:line="1" w:lineRule="exact"/>
        <w:rPr>
          <w:sz w:val="20"/>
          <w:szCs w:val="20"/>
          <w:color w:val="auto"/>
        </w:rPr>
      </w:pPr>
    </w:p>
    <w:p>
      <w:pPr>
        <w:ind w:left="340" w:right="1100" w:hanging="323"/>
        <w:spacing w:after="0" w:line="297" w:lineRule="auto"/>
        <w:rPr>
          <w:sz w:val="20"/>
          <w:szCs w:val="20"/>
          <w:color w:val="auto"/>
        </w:rPr>
      </w:pPr>
      <w:r>
        <w:rPr>
          <w:rFonts w:ascii="Arial" w:cs="Arial" w:eastAsia="Arial" w:hAnsi="Arial"/>
          <w:sz w:val="13"/>
          <w:szCs w:val="13"/>
          <w:b w:val="1"/>
          <w:bCs w:val="1"/>
          <w:color w:val="auto"/>
        </w:rPr>
        <w:t>Total Investment in Money Market Accounts (15% of net asset value at fair value)</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Investments</w:t>
      </w:r>
      <w:r>
        <w:rPr>
          <w:rFonts w:ascii="Arial" w:cs="Arial" w:eastAsia="Arial" w:hAnsi="Arial"/>
          <w:sz w:val="23"/>
          <w:szCs w:val="23"/>
          <w:color w:val="auto"/>
          <w:vertAlign w:val="superscript"/>
        </w:rPr>
        <w:t>5</w:t>
      </w:r>
    </w:p>
    <w:p>
      <w:pPr>
        <w:ind w:left="340"/>
        <w:spacing w:after="0"/>
        <w:rPr>
          <w:sz w:val="20"/>
          <w:szCs w:val="20"/>
          <w:color w:val="auto"/>
        </w:rPr>
      </w:pPr>
      <w:r>
        <w:rPr>
          <w:rFonts w:ascii="Arial" w:cs="Arial" w:eastAsia="Arial" w:hAnsi="Arial"/>
          <w:sz w:val="14"/>
          <w:szCs w:val="14"/>
          <w:b w:val="1"/>
          <w:bCs w:val="1"/>
          <w:color w:val="auto"/>
        </w:rPr>
        <w:t>(134% of net asset value at fair value)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3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22"/>
                <w:szCs w:val="22"/>
                <w:color w:val="auto"/>
              </w:rPr>
            </w:pPr>
          </w:p>
        </w:tc>
        <w:tc>
          <w:tcPr>
            <w:tcW w:w="10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Par / Cost</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r>
      <w:tr>
        <w:trPr>
          <w:trHeight w:val="387"/>
        </w:trPr>
        <w:tc>
          <w:tcPr>
            <w:tcW w:w="3560" w:type="dxa"/>
            <w:vAlign w:val="bottom"/>
            <w:gridSpan w:val="2"/>
          </w:tcPr>
          <w:p>
            <w:pPr>
              <w:spacing w:after="0"/>
              <w:rPr>
                <w:sz w:val="20"/>
                <w:szCs w:val="20"/>
                <w:color w:val="auto"/>
              </w:rPr>
            </w:pPr>
            <w:r>
              <w:rPr>
                <w:rFonts w:ascii="Arial" w:cs="Arial" w:eastAsia="Arial" w:hAnsi="Arial"/>
                <w:sz w:val="14"/>
                <w:szCs w:val="14"/>
                <w:color w:val="auto"/>
              </w:rPr>
              <w:t>Money Market Account</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0.15%</w:t>
            </w:r>
          </w:p>
        </w:tc>
        <w:tc>
          <w:tcPr>
            <w:tcW w:w="14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245,821</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245,821</w:t>
            </w:r>
          </w:p>
        </w:tc>
      </w:tr>
      <w:tr>
        <w:trPr>
          <w:trHeight w:val="363"/>
        </w:trPr>
        <w:tc>
          <w:tcPr>
            <w:tcW w:w="3560" w:type="dxa"/>
            <w:vAlign w:val="bottom"/>
            <w:gridSpan w:val="2"/>
          </w:tcPr>
          <w:p>
            <w:pPr>
              <w:spacing w:after="0"/>
              <w:rPr>
                <w:sz w:val="20"/>
                <w:szCs w:val="20"/>
                <w:color w:val="auto"/>
              </w:rPr>
            </w:pPr>
            <w:r>
              <w:rPr>
                <w:rFonts w:ascii="Arial" w:cs="Arial" w:eastAsia="Arial" w:hAnsi="Arial"/>
                <w:sz w:val="14"/>
                <w:szCs w:val="14"/>
                <w:color w:val="auto"/>
              </w:rPr>
              <w:t>Money Market Account</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0.40%</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38,642,104</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38,642,104</w:t>
            </w:r>
          </w:p>
        </w:tc>
      </w:tr>
      <w:tr>
        <w:trPr>
          <w:trHeight w:val="480"/>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38,887,925</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38,887,925</w:t>
            </w:r>
          </w:p>
        </w:tc>
      </w:tr>
      <w:tr>
        <w:trPr>
          <w:trHeight w:val="473"/>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403,054,236</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356,901,504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-1002665</wp:posOffset>
            </wp:positionV>
            <wp:extent cx="7246620" cy="1200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-762635</wp:posOffset>
            </wp:positionV>
            <wp:extent cx="7246620" cy="120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-513715</wp:posOffset>
            </wp:positionV>
            <wp:extent cx="724662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-222250</wp:posOffset>
            </wp:positionV>
            <wp:extent cx="7246620" cy="2146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860" w:space="720"/>
            <w:col w:w="6840"/>
          </w:cols>
          <w:pgMar w:left="240" w:top="931"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See accompanying notes to financial statements.</w:t>
      </w:r>
    </w:p>
    <w:p>
      <w:pPr>
        <w:spacing w:after="0" w:line="229" w:lineRule="exact"/>
        <w:rPr>
          <w:sz w:val="20"/>
          <w:szCs w:val="20"/>
          <w:color w:val="auto"/>
        </w:rPr>
      </w:pPr>
    </w:p>
    <w:p>
      <w:pPr>
        <w:ind w:left="460" w:right="100" w:hanging="430"/>
        <w:spacing w:after="0" w:line="238" w:lineRule="auto"/>
        <w:tabs>
          <w:tab w:leader="none" w:pos="460" w:val="left"/>
        </w:tabs>
        <w:numPr>
          <w:ilvl w:val="0"/>
          <w:numId w:val="4"/>
        </w:numPr>
        <w:rPr>
          <w:rFonts w:ascii="Arial" w:cs="Arial" w:eastAsia="Arial" w:hAnsi="Arial"/>
          <w:sz w:val="26"/>
          <w:szCs w:val="26"/>
          <w:color w:val="auto"/>
          <w:vertAlign w:val="superscript"/>
        </w:rPr>
      </w:pPr>
      <w:r>
        <w:rPr>
          <w:rFonts w:ascii="Arial" w:cs="Arial" w:eastAsia="Arial" w:hAnsi="Arial"/>
          <w:sz w:val="16"/>
          <w:szCs w:val="16"/>
          <w:color w:val="auto"/>
        </w:rPr>
        <w:t>A majority of the variable rate loans to the Company’s portfolio companies bear interest at a rate that may be determined by reference to either LIBOR or an alternate Base Rate (commonly based on the Federal Funds Rate or the Prime Rate), which typically resets semi-annually, quarterly, or monthly. For each such loan, the Company has provided the weighted average annual stated interest rate in effect at March 31, 2013.</w:t>
      </w:r>
    </w:p>
    <w:p>
      <w:pPr>
        <w:spacing w:after="0" w:line="8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Reflects the fair market value of all investments as of March 31, 2013, as determined by the Company’s Board of Directors.</w:t>
      </w:r>
    </w:p>
    <w:p>
      <w:pPr>
        <w:spacing w:after="0" w:line="8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Non-U.S. company or principal place of business outside the U.S.</w:t>
      </w:r>
    </w:p>
    <w:p>
      <w:pPr>
        <w:spacing w:after="0" w:line="8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Buildings and real estate relate to real estate ownership, builders, managers and developers.</w:t>
      </w:r>
    </w:p>
    <w:p>
      <w:pPr>
        <w:spacing w:after="0" w:line="202" w:lineRule="exact"/>
        <w:rPr>
          <w:sz w:val="20"/>
          <w:szCs w:val="20"/>
          <w:color w:val="auto"/>
        </w:rPr>
      </w:pPr>
    </w:p>
    <w:p>
      <w:pPr>
        <w:ind w:left="460" w:right="520" w:hanging="452"/>
        <w:spacing w:after="0" w:line="209" w:lineRule="auto"/>
        <w:tabs>
          <w:tab w:leader="none" w:pos="46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The aggregate cost of investments for federal income tax purposes is approximately $403 million. The aggregate gross unrealized appreciation is approximately $12 million, the aggregate gross unrealized depreciation is approximately $58 million, and the net unrealized depreciation is approximately $46 million.</w:t>
      </w:r>
    </w:p>
    <w:p>
      <w:pPr>
        <w:spacing w:after="0" w:line="8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Non-income producing.</w:t>
      </w:r>
    </w:p>
    <w:p>
      <w:pPr>
        <w:spacing w:after="0" w:line="87"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An affiliate CLO Fund managed by an Asset Manager Affiliate (as such term is defined in the notes to the financial statements).</w:t>
      </w:r>
    </w:p>
    <w:p>
      <w:pPr>
        <w:spacing w:after="0" w:line="87"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Loan or debt security is on non-accrual status and therefore is considered non-income producing.</w:t>
      </w:r>
    </w:p>
    <w:p>
      <w:pPr>
        <w:spacing w:after="0" w:line="87"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Money market account holding restricted cash and security deposits for employee flexible spending and payroll related accounts.</w:t>
      </w:r>
    </w:p>
    <w:p>
      <w:pPr>
        <w:spacing w:after="0" w:line="87"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Qualified asset for purposes of section 55(a) of the Investment Company Act of 1940.</w:t>
      </w:r>
    </w:p>
    <w:p>
      <w:pPr>
        <w:spacing w:after="0" w:line="163" w:lineRule="exact"/>
        <w:rPr>
          <w:rFonts w:ascii="Arial" w:cs="Arial" w:eastAsia="Arial" w:hAnsi="Arial"/>
          <w:sz w:val="30"/>
          <w:szCs w:val="30"/>
          <w:color w:val="auto"/>
          <w:vertAlign w:val="superscript"/>
        </w:rPr>
      </w:pPr>
    </w:p>
    <w:p>
      <w:pPr>
        <w:ind w:left="460" w:hanging="452"/>
        <w:spacing w:after="0" w:line="186" w:lineRule="auto"/>
        <w:tabs>
          <w:tab w:leader="none" w:pos="460"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As of March 31, 2013, this CLO Fund Security was not providing a dividend distribution.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type w:val="continuous"/>
        </w:sectPr>
      </w:pPr>
    </w:p>
    <w:bookmarkStart w:id="15" w:name="page16"/>
    <w:bookmarkEnd w:id="15"/>
    <w:p>
      <w:pPr>
        <w:ind w:left="4700"/>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As of December 31,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4"/>
                <w:szCs w:val="14"/>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4580" w:type="dxa"/>
            <w:vAlign w:val="bottom"/>
            <w:gridSpan w:val="3"/>
            <w:vMerge w:val="continue"/>
          </w:tcPr>
          <w:p>
            <w:pPr>
              <w:spacing w:after="0"/>
              <w:rPr>
                <w:sz w:val="14"/>
                <w:szCs w:val="14"/>
                <w:color w:val="auto"/>
              </w:rPr>
            </w:pPr>
          </w:p>
        </w:tc>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Interest Rate¹ / Maturity</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440" w:type="dxa"/>
            <w:vAlign w:val="bottom"/>
            <w:tcBorders>
              <w:top w:val="single" w:sz="8" w:color="auto"/>
            </w:tcBorders>
            <w:shd w:val="clear" w:color="auto" w:fill="CCFFCC"/>
          </w:tcPr>
          <w:p>
            <w:pPr>
              <w:spacing w:after="0" w:line="164" w:lineRule="exact"/>
              <w:rPr>
                <w:sz w:val="20"/>
                <w:szCs w:val="20"/>
                <w:color w:val="auto"/>
              </w:rPr>
            </w:pPr>
            <w:r>
              <w:rPr>
                <w:rFonts w:ascii="Arial" w:cs="Arial" w:eastAsia="Arial" w:hAnsi="Arial"/>
                <w:sz w:val="12"/>
                <w:szCs w:val="12"/>
                <w:color w:val="auto"/>
              </w:rPr>
              <w:t>Advanced Lighting Technologies, Inc.</w:t>
            </w:r>
            <w:r>
              <w:rPr>
                <w:rFonts w:ascii="Arial" w:cs="Arial" w:eastAsia="Arial" w:hAnsi="Arial"/>
                <w:sz w:val="18"/>
                <w:szCs w:val="18"/>
                <w:color w:val="auto"/>
                <w:vertAlign w:val="superscript"/>
              </w:rPr>
              <w:t>10</w:t>
            </w:r>
          </w:p>
        </w:tc>
        <w:tc>
          <w:tcPr>
            <w:tcW w:w="120" w:type="dxa"/>
            <w:vAlign w:val="bottom"/>
            <w:tcBorders>
              <w:top w:val="single" w:sz="8" w:color="CCFFCC"/>
            </w:tcBorders>
            <w:shd w:val="clear" w:color="auto" w:fill="CCFFCC"/>
          </w:tcPr>
          <w:p>
            <w:pPr>
              <w:spacing w:after="0"/>
              <w:rPr>
                <w:sz w:val="14"/>
                <w:szCs w:val="14"/>
                <w:color w:val="auto"/>
              </w:rPr>
            </w:pPr>
          </w:p>
        </w:tc>
        <w:tc>
          <w:tcPr>
            <w:tcW w:w="320" w:type="dxa"/>
            <w:vAlign w:val="bottom"/>
            <w:tcBorders>
              <w:top w:val="single" w:sz="8" w:color="auto"/>
            </w:tcBorders>
            <w:shd w:val="clear" w:color="auto" w:fill="CCFFCC"/>
          </w:tcPr>
          <w:p>
            <w:pPr>
              <w:spacing w:after="0"/>
              <w:rPr>
                <w:sz w:val="14"/>
                <w:szCs w:val="14"/>
                <w:color w:val="auto"/>
              </w:rPr>
            </w:pPr>
          </w:p>
        </w:tc>
        <w:tc>
          <w:tcPr>
            <w:tcW w:w="3120" w:type="dxa"/>
            <w:vAlign w:val="bottom"/>
            <w:tcBorders>
              <w:top w:val="single" w:sz="8" w:color="auto"/>
            </w:tcBorders>
            <w:shd w:val="clear" w:color="auto" w:fill="CCFFCC"/>
          </w:tcPr>
          <w:p>
            <w:pPr>
              <w:spacing w:after="0"/>
              <w:rPr>
                <w:sz w:val="14"/>
                <w:szCs w:val="14"/>
                <w:color w:val="auto"/>
              </w:rPr>
            </w:pPr>
          </w:p>
        </w:tc>
        <w:tc>
          <w:tcPr>
            <w:tcW w:w="120" w:type="dxa"/>
            <w:vAlign w:val="bottom"/>
            <w:tcBorders>
              <w:top w:val="single" w:sz="8" w:color="CCFFCC"/>
            </w:tcBorders>
            <w:shd w:val="clear" w:color="auto" w:fill="CCFFCC"/>
          </w:tcPr>
          <w:p>
            <w:pPr>
              <w:spacing w:after="0"/>
              <w:rPr>
                <w:sz w:val="14"/>
                <w:szCs w:val="14"/>
                <w:color w:val="auto"/>
              </w:rPr>
            </w:pPr>
          </w:p>
        </w:tc>
        <w:tc>
          <w:tcPr>
            <w:tcW w:w="160" w:type="dxa"/>
            <w:vAlign w:val="bottom"/>
            <w:tcBorders>
              <w:top w:val="single" w:sz="8" w:color="auto"/>
            </w:tcBorders>
            <w:shd w:val="clear" w:color="auto" w:fill="CCFFCC"/>
          </w:tcPr>
          <w:p>
            <w:pPr>
              <w:spacing w:after="0"/>
              <w:rPr>
                <w:sz w:val="14"/>
                <w:szCs w:val="14"/>
                <w:color w:val="auto"/>
              </w:rPr>
            </w:pPr>
          </w:p>
        </w:tc>
        <w:tc>
          <w:tcPr>
            <w:tcW w:w="880" w:type="dxa"/>
            <w:vAlign w:val="bottom"/>
            <w:tcBorders>
              <w:top w:val="single" w:sz="8" w:color="auto"/>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220" w:type="dxa"/>
            <w:vAlign w:val="bottom"/>
            <w:tcBorders>
              <w:top w:val="single" w:sz="8" w:color="auto"/>
            </w:tcBorders>
            <w:shd w:val="clear" w:color="auto" w:fill="CCFFCC"/>
          </w:tcPr>
          <w:p>
            <w:pPr>
              <w:spacing w:after="0"/>
              <w:rPr>
                <w:sz w:val="14"/>
                <w:szCs w:val="14"/>
                <w:color w:val="auto"/>
              </w:rPr>
            </w:pPr>
          </w:p>
        </w:tc>
        <w:tc>
          <w:tcPr>
            <w:tcW w:w="800" w:type="dxa"/>
            <w:vAlign w:val="bottom"/>
            <w:tcBorders>
              <w:top w:val="single" w:sz="8" w:color="auto"/>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200" w:type="dxa"/>
            <w:vAlign w:val="bottom"/>
            <w:tcBorders>
              <w:top w:val="single" w:sz="8" w:color="auto"/>
            </w:tcBorders>
            <w:shd w:val="clear" w:color="auto" w:fill="CCFFCC"/>
          </w:tcPr>
          <w:p>
            <w:pPr>
              <w:spacing w:after="0"/>
              <w:rPr>
                <w:sz w:val="14"/>
                <w:szCs w:val="14"/>
                <w:color w:val="auto"/>
              </w:rPr>
            </w:pPr>
          </w:p>
        </w:tc>
        <w:tc>
          <w:tcPr>
            <w:tcW w:w="820" w:type="dxa"/>
            <w:vAlign w:val="bottom"/>
            <w:tcBorders>
              <w:top w:val="single" w:sz="8" w:color="auto"/>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2"/>
            <w:shd w:val="clear" w:color="auto" w:fill="CCFFCC"/>
          </w:tcPr>
          <w:p>
            <w:pPr>
              <w:ind w:left="320"/>
              <w:spacing w:after="0" w:line="149" w:lineRule="exact"/>
              <w:rPr>
                <w:sz w:val="20"/>
                <w:szCs w:val="20"/>
                <w:color w:val="auto"/>
              </w:rPr>
            </w:pPr>
            <w:r>
              <w:rPr>
                <w:rFonts w:ascii="Arial" w:cs="Arial" w:eastAsia="Arial" w:hAnsi="Arial"/>
                <w:sz w:val="14"/>
                <w:szCs w:val="14"/>
                <w:i w:val="1"/>
                <w:iCs w:val="1"/>
                <w:color w:val="auto"/>
              </w:rPr>
              <w:t>Home and Office Furnishings, Housewares, and Durable Consumer</w:t>
            </w:r>
          </w:p>
        </w:tc>
        <w:tc>
          <w:tcPr>
            <w:tcW w:w="3560" w:type="dxa"/>
            <w:vAlign w:val="bottom"/>
            <w:gridSpan w:val="3"/>
            <w:shd w:val="clear" w:color="auto" w:fill="CCFFCC"/>
          </w:tcPr>
          <w:p>
            <w:pPr>
              <w:spacing w:after="0" w:line="149" w:lineRule="exact"/>
              <w:rPr>
                <w:sz w:val="20"/>
                <w:szCs w:val="20"/>
                <w:color w:val="auto"/>
              </w:rPr>
            </w:pPr>
            <w:r>
              <w:rPr>
                <w:rFonts w:ascii="Arial" w:cs="Arial" w:eastAsia="Arial" w:hAnsi="Arial"/>
                <w:sz w:val="14"/>
                <w:szCs w:val="14"/>
                <w:color w:val="auto"/>
              </w:rPr>
              <w:t>First Lien Bond — Bond</w:t>
            </w:r>
          </w:p>
        </w:tc>
        <w:tc>
          <w:tcPr>
            <w:tcW w:w="1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Products</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10.5% Cash, Due 6/19</w:t>
            </w:r>
          </w:p>
        </w:tc>
        <w:tc>
          <w:tcPr>
            <w:tcW w:w="16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3,000,000</w:t>
            </w:r>
          </w:p>
        </w:tc>
        <w:tc>
          <w:tcPr>
            <w:tcW w:w="220" w:type="dxa"/>
            <w:vAlign w:val="bottom"/>
            <w:shd w:val="clear" w:color="auto" w:fill="CCFFCC"/>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2,928,762</w:t>
            </w:r>
          </w:p>
        </w:tc>
        <w:tc>
          <w:tcPr>
            <w:tcW w:w="3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3,000,000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 xml:space="preserve">Alaska Communications Systems Holdings, Inc. </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Term Loan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Telecommunications</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5.5%</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10/16</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2,940,000</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2,952,655</w:t>
            </w:r>
          </w:p>
        </w:tc>
        <w:tc>
          <w:tcPr>
            <w:tcW w:w="1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2,783,196</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56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Allison Transmission, Inc.</w:t>
            </w:r>
          </w:p>
        </w:tc>
        <w:tc>
          <w:tcPr>
            <w:tcW w:w="3560" w:type="dxa"/>
            <w:vAlign w:val="bottom"/>
            <w:gridSpan w:val="3"/>
            <w:shd w:val="clear" w:color="auto" w:fill="CCFFCC"/>
          </w:tcPr>
          <w:p>
            <w:pPr>
              <w:spacing w:after="0" w:line="130" w:lineRule="exact"/>
              <w:rPr>
                <w:sz w:val="20"/>
                <w:szCs w:val="20"/>
                <w:color w:val="auto"/>
              </w:rPr>
            </w:pPr>
            <w:r>
              <w:rPr>
                <w:rFonts w:ascii="Arial" w:cs="Arial" w:eastAsia="Arial" w:hAnsi="Arial"/>
                <w:sz w:val="14"/>
                <w:szCs w:val="14"/>
                <w:color w:val="auto"/>
              </w:rPr>
              <w:t>Senior Secured Loan — Term B-2 Loan</w:t>
            </w:r>
          </w:p>
        </w:tc>
        <w:tc>
          <w:tcPr>
            <w:tcW w:w="16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Automobile</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3.7%</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8/17</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1,980,000</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1,969,312</w:t>
            </w:r>
          </w:p>
        </w:tc>
        <w:tc>
          <w:tcPr>
            <w:tcW w:w="1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1,995,672</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Aramark Corporation</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LC-3 Facility</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Diversified/Conglomerate Service</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3.5%</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7/16</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61,707</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61,579</w:t>
            </w:r>
          </w:p>
        </w:tc>
        <w:tc>
          <w:tcPr>
            <w:tcW w:w="1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61,910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Aramark Corporation</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U.S. Term C Loan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Diversified/Conglomerate Service</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3.5%</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7/16</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938,293</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936,347</w:t>
            </w:r>
          </w:p>
        </w:tc>
        <w:tc>
          <w:tcPr>
            <w:tcW w:w="1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941,390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Asurion, LLC (fka Asurion Corporation)</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Term Loan (First Lien)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Insurance</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5.5%</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5/18</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2,000,000</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2,021,506</w:t>
            </w:r>
          </w:p>
        </w:tc>
        <w:tc>
          <w:tcPr>
            <w:tcW w:w="1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2,023,130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56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Avis Budget Car Rental, LLC</w:t>
            </w:r>
          </w:p>
        </w:tc>
        <w:tc>
          <w:tcPr>
            <w:tcW w:w="3560" w:type="dxa"/>
            <w:vAlign w:val="bottom"/>
            <w:gridSpan w:val="3"/>
            <w:shd w:val="clear" w:color="auto" w:fill="CCFFCC"/>
          </w:tcPr>
          <w:p>
            <w:pPr>
              <w:spacing w:after="0" w:line="130" w:lineRule="exact"/>
              <w:rPr>
                <w:sz w:val="20"/>
                <w:szCs w:val="20"/>
                <w:color w:val="auto"/>
              </w:rPr>
            </w:pPr>
            <w:r>
              <w:rPr>
                <w:rFonts w:ascii="Arial" w:cs="Arial" w:eastAsia="Arial" w:hAnsi="Arial"/>
                <w:sz w:val="14"/>
                <w:szCs w:val="14"/>
                <w:color w:val="auto"/>
              </w:rPr>
              <w:t>Senior Secured Loan — Tranche C Term Loan</w:t>
            </w:r>
          </w:p>
        </w:tc>
        <w:tc>
          <w:tcPr>
            <w:tcW w:w="16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Personal Transportation</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4.3%</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3/19</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1,985,007</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2,012,685</w:t>
            </w:r>
          </w:p>
        </w:tc>
        <w:tc>
          <w:tcPr>
            <w:tcW w:w="1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2,005,353</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Bankruptcy Management Solutions, Inc.</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Junior Secured Loan — Loan (Second Lien)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Diversified/Conglomerate Service</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1.2%</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7.0% PIK, Due 8/15</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1,405,472</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1,225,488</w:t>
            </w:r>
          </w:p>
        </w:tc>
        <w:tc>
          <w:tcPr>
            <w:tcW w:w="1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47,435</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Bankruptcy Management Solutions, Inc.</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Term Loan B</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Diversified/Conglomerate Service</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6.5%</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1.0% PIK, Due 8/14</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1,439,164</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1,405,984</w:t>
            </w:r>
          </w:p>
        </w:tc>
        <w:tc>
          <w:tcPr>
            <w:tcW w:w="1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773,551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0"/>
              </w:rPr>
              <w:t>.</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56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Berry Plastics Holding Corporation</w:t>
            </w:r>
          </w:p>
        </w:tc>
        <w:tc>
          <w:tcPr>
            <w:tcW w:w="3560" w:type="dxa"/>
            <w:vAlign w:val="bottom"/>
            <w:gridSpan w:val="3"/>
            <w:shd w:val="clear" w:color="auto" w:fill="CCFFCC"/>
          </w:tcPr>
          <w:p>
            <w:pPr>
              <w:spacing w:after="0" w:line="130" w:lineRule="exact"/>
              <w:rPr>
                <w:sz w:val="20"/>
                <w:szCs w:val="20"/>
                <w:color w:val="auto"/>
              </w:rPr>
            </w:pPr>
            <w:r>
              <w:rPr>
                <w:rFonts w:ascii="Arial" w:cs="Arial" w:eastAsia="Arial" w:hAnsi="Arial"/>
                <w:sz w:val="14"/>
                <w:szCs w:val="14"/>
                <w:color w:val="auto"/>
              </w:rPr>
              <w:t>Senior Secured Loan — Term C Loan</w:t>
            </w:r>
          </w:p>
        </w:tc>
        <w:tc>
          <w:tcPr>
            <w:tcW w:w="16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Containers, Packaging and Glass</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2.2%</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4/15</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1,979,003</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1,949,236</w:t>
            </w:r>
          </w:p>
        </w:tc>
        <w:tc>
          <w:tcPr>
            <w:tcW w:w="1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1,971,898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4"/>
                <w:szCs w:val="14"/>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4580" w:type="dxa"/>
            <w:vAlign w:val="bottom"/>
            <w:gridSpan w:val="3"/>
            <w:vMerge w:val="continue"/>
          </w:tcPr>
          <w:p>
            <w:pPr>
              <w:spacing w:after="0"/>
              <w:rPr>
                <w:sz w:val="14"/>
                <w:szCs w:val="14"/>
                <w:color w:val="auto"/>
              </w:rPr>
            </w:pPr>
          </w:p>
        </w:tc>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Interest Rate¹ / Maturity</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440" w:type="dxa"/>
            <w:vAlign w:val="bottom"/>
            <w:tcBorders>
              <w:top w:val="single" w:sz="8" w:color="auto"/>
            </w:tcBorders>
            <w:shd w:val="clear" w:color="auto" w:fill="CCFFCC"/>
          </w:tcPr>
          <w:p>
            <w:pPr>
              <w:spacing w:after="0" w:line="123" w:lineRule="exact"/>
              <w:rPr>
                <w:sz w:val="20"/>
                <w:szCs w:val="20"/>
                <w:color w:val="auto"/>
              </w:rPr>
            </w:pPr>
            <w:r>
              <w:rPr>
                <w:rFonts w:ascii="Arial" w:cs="Arial" w:eastAsia="Arial" w:hAnsi="Arial"/>
                <w:sz w:val="14"/>
                <w:szCs w:val="14"/>
                <w:color w:val="auto"/>
              </w:rPr>
              <w:t>Burger King Corporation</w:t>
            </w:r>
          </w:p>
        </w:tc>
        <w:tc>
          <w:tcPr>
            <w:tcW w:w="120" w:type="dxa"/>
            <w:vAlign w:val="bottom"/>
            <w:tcBorders>
              <w:top w:val="single" w:sz="8" w:color="CCFFCC"/>
            </w:tcBorders>
            <w:shd w:val="clear" w:color="auto" w:fill="CCFFCC"/>
          </w:tcPr>
          <w:p>
            <w:pPr>
              <w:spacing w:after="0"/>
              <w:rPr>
                <w:sz w:val="10"/>
                <w:szCs w:val="10"/>
                <w:color w:val="auto"/>
              </w:rPr>
            </w:pPr>
          </w:p>
        </w:tc>
        <w:tc>
          <w:tcPr>
            <w:tcW w:w="3440" w:type="dxa"/>
            <w:vAlign w:val="bottom"/>
            <w:tcBorders>
              <w:top w:val="single" w:sz="8" w:color="auto"/>
            </w:tcBorders>
            <w:gridSpan w:val="2"/>
            <w:shd w:val="clear" w:color="auto" w:fill="CCFFCC"/>
          </w:tcPr>
          <w:p>
            <w:pPr>
              <w:spacing w:after="0" w:line="123" w:lineRule="exact"/>
              <w:rPr>
                <w:sz w:val="20"/>
                <w:szCs w:val="20"/>
                <w:color w:val="auto"/>
              </w:rPr>
            </w:pPr>
            <w:r>
              <w:rPr>
                <w:rFonts w:ascii="Arial" w:cs="Arial" w:eastAsia="Arial" w:hAnsi="Arial"/>
                <w:sz w:val="14"/>
                <w:szCs w:val="14"/>
                <w:color w:val="auto"/>
              </w:rPr>
              <w:t>Senior Secured Loan — Tranche B Term Loan (2012)</w:t>
            </w:r>
          </w:p>
        </w:tc>
        <w:tc>
          <w:tcPr>
            <w:tcW w:w="120" w:type="dxa"/>
            <w:vAlign w:val="bottom"/>
            <w:tcBorders>
              <w:top w:val="single" w:sz="8" w:color="CCFFCC"/>
            </w:tcBorders>
            <w:shd w:val="clear" w:color="auto" w:fill="CCFFCC"/>
          </w:tcPr>
          <w:p>
            <w:pPr>
              <w:spacing w:after="0"/>
              <w:rPr>
                <w:sz w:val="10"/>
                <w:szCs w:val="10"/>
                <w:color w:val="auto"/>
              </w:rPr>
            </w:pPr>
          </w:p>
        </w:tc>
        <w:tc>
          <w:tcPr>
            <w:tcW w:w="160" w:type="dxa"/>
            <w:vAlign w:val="bottom"/>
            <w:tcBorders>
              <w:top w:val="single" w:sz="8" w:color="auto"/>
            </w:tcBorders>
            <w:shd w:val="clear" w:color="auto" w:fill="CCFFCC"/>
          </w:tcPr>
          <w:p>
            <w:pPr>
              <w:spacing w:after="0"/>
              <w:rPr>
                <w:sz w:val="10"/>
                <w:szCs w:val="10"/>
                <w:color w:val="auto"/>
              </w:rPr>
            </w:pPr>
          </w:p>
        </w:tc>
        <w:tc>
          <w:tcPr>
            <w:tcW w:w="88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220" w:type="dxa"/>
            <w:vAlign w:val="bottom"/>
            <w:tcBorders>
              <w:top w:val="single" w:sz="8" w:color="auto"/>
            </w:tcBorders>
            <w:shd w:val="clear" w:color="auto" w:fill="CCFFCC"/>
          </w:tcPr>
          <w:p>
            <w:pPr>
              <w:spacing w:after="0"/>
              <w:rPr>
                <w:sz w:val="10"/>
                <w:szCs w:val="10"/>
                <w:color w:val="auto"/>
              </w:rPr>
            </w:pPr>
          </w:p>
        </w:tc>
        <w:tc>
          <w:tcPr>
            <w:tcW w:w="800" w:type="dxa"/>
            <w:vAlign w:val="bottom"/>
            <w:tcBorders>
              <w:top w:val="single" w:sz="8" w:color="auto"/>
            </w:tcBorders>
            <w:shd w:val="clear" w:color="auto" w:fill="CCFFCC"/>
          </w:tcPr>
          <w:p>
            <w:pPr>
              <w:spacing w:after="0"/>
              <w:rPr>
                <w:sz w:val="10"/>
                <w:szCs w:val="10"/>
                <w:color w:val="auto"/>
              </w:rPr>
            </w:pPr>
          </w:p>
        </w:tc>
        <w:tc>
          <w:tcPr>
            <w:tcW w:w="60" w:type="dxa"/>
            <w:vAlign w:val="bottom"/>
            <w:tcBorders>
              <w:top w:val="single" w:sz="8" w:color="CCFFCC"/>
            </w:tcBorders>
            <w:shd w:val="clear" w:color="auto" w:fill="CCFFCC"/>
          </w:tcPr>
          <w:p>
            <w:pPr>
              <w:spacing w:after="0"/>
              <w:rPr>
                <w:sz w:val="10"/>
                <w:szCs w:val="10"/>
                <w:color w:val="auto"/>
              </w:rPr>
            </w:pPr>
          </w:p>
        </w:tc>
        <w:tc>
          <w:tcPr>
            <w:tcW w:w="40" w:type="dxa"/>
            <w:vAlign w:val="bottom"/>
            <w:tcBorders>
              <w:top w:val="single" w:sz="8" w:color="CCFFCC"/>
            </w:tcBorders>
            <w:shd w:val="clear" w:color="auto" w:fill="CCFFCC"/>
          </w:tcPr>
          <w:p>
            <w:pPr>
              <w:spacing w:after="0"/>
              <w:rPr>
                <w:sz w:val="10"/>
                <w:szCs w:val="10"/>
                <w:color w:val="auto"/>
              </w:rPr>
            </w:pPr>
          </w:p>
        </w:tc>
        <w:tc>
          <w:tcPr>
            <w:tcW w:w="200" w:type="dxa"/>
            <w:vAlign w:val="bottom"/>
            <w:tcBorders>
              <w:top w:val="single" w:sz="8" w:color="auto"/>
            </w:tcBorders>
            <w:shd w:val="clear" w:color="auto" w:fill="CCFFCC"/>
          </w:tcPr>
          <w:p>
            <w:pPr>
              <w:spacing w:after="0"/>
              <w:rPr>
                <w:sz w:val="10"/>
                <w:szCs w:val="10"/>
                <w:color w:val="auto"/>
              </w:rPr>
            </w:pPr>
          </w:p>
        </w:tc>
        <w:tc>
          <w:tcPr>
            <w:tcW w:w="820" w:type="dxa"/>
            <w:vAlign w:val="bottom"/>
            <w:tcBorders>
              <w:top w:val="single" w:sz="8" w:color="auto"/>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Personal, Food and Miscellaneous Services</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3.8%</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9/19</w:t>
            </w:r>
          </w:p>
        </w:tc>
        <w:tc>
          <w:tcPr>
            <w:tcW w:w="16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1,645,875</w:t>
            </w:r>
          </w:p>
        </w:tc>
        <w:tc>
          <w:tcPr>
            <w:tcW w:w="220" w:type="dxa"/>
            <w:vAlign w:val="bottom"/>
            <w:shd w:val="clear" w:color="auto" w:fill="CCFFCC"/>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1,641,896</w:t>
            </w:r>
          </w:p>
        </w:tc>
        <w:tc>
          <w:tcPr>
            <w:tcW w:w="60" w:type="dxa"/>
            <w:vAlign w:val="bottom"/>
            <w:shd w:val="clear" w:color="auto" w:fill="CCFFCC"/>
          </w:tcPr>
          <w:p>
            <w:pPr>
              <w:spacing w:after="0"/>
              <w:rPr>
                <w:sz w:val="14"/>
                <w:szCs w:val="14"/>
                <w:color w:val="auto"/>
              </w:rPr>
            </w:pPr>
          </w:p>
        </w:tc>
        <w:tc>
          <w:tcPr>
            <w:tcW w:w="2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1,657,297</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Caribe Media Inc. (fka Caribe Information Investments Incorporated)</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Loan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Printing and Publishing</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10.0% Cash, Due 11/14</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621,074</w:t>
            </w:r>
          </w:p>
        </w:tc>
        <w:tc>
          <w:tcPr>
            <w:tcW w:w="22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621,074</w:t>
            </w: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613,373</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Catalina Marketing Corporation</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2017 Term Loan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Diversified/Conglomerate Service</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5.7%</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9/17</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1,704,212</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1,672,227</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1,711,140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Chrysler Group LLC</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Tranche B Term Loan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Automobile</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6.0%</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5/17</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1,979,899</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1,979,899</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2,024,724</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CoActive Technologies LLC (fka CoActive Technologies, Inc.)</w:t>
            </w:r>
            <w:r>
              <w:rPr>
                <w:rFonts w:ascii="Arial" w:cs="Arial" w:eastAsia="Arial" w:hAnsi="Arial"/>
                <w:sz w:val="19"/>
                <w:szCs w:val="19"/>
                <w:color w:val="auto"/>
                <w:vertAlign w:val="superscript"/>
              </w:rPr>
              <w:t>8, 10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Junior Secured Loan — Term Loan (Second Lien)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Machinery (Non-Agriculture, Non-Construction, Non-Electronic)</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2.3%</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4.8% PIK, Due 1/15</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2,063,007</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1,987,358</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1,299,695</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Del Monte Foods Company</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Initial Term Loan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Beverage, Food and Tobacco</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4.5%</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3/18</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949,124</w:t>
            </w:r>
          </w:p>
        </w:tc>
        <w:tc>
          <w:tcPr>
            <w:tcW w:w="22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950,905</w:t>
            </w: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952,237</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Del Monte Foods Company</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Initial Term Loan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Beverage, Food and Tobacco</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4.5%</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3/18</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1,927,154</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1,907,210</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1,933,475</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eInstruction Corporation</w:t>
            </w:r>
            <w:r>
              <w:rPr>
                <w:rFonts w:ascii="Arial" w:cs="Arial" w:eastAsia="Arial" w:hAnsi="Arial"/>
                <w:sz w:val="19"/>
                <w:szCs w:val="19"/>
                <w:color w:val="auto"/>
                <w:vertAlign w:val="superscript"/>
              </w:rPr>
              <w:t>8, 10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Junior Secured Loan — Term Loan (Second Lien)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Healthcare, Education and Childcare</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11.5% Cash, Due 7/14</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10,000,000</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10,000,000</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ELO Touch Solutions, Inc.</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Term Loan (First Lien)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Electronics</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8.0%</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6/18</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1,990,000</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1,915,453</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1,989,603</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First American Payment Systems, L.P.</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Junior Secured Loan — Term Loan (Second Lien 2012)</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Finance</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10.8% Cash, Due 4/19</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3,000,000</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2,941,926</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2,985,000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First Data Corporation</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2018 Dollar Term Loan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Finance</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4.2%</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3/18</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2,000,000</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1,806,842</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1,906,710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Fram Group Holdings Inc./Prestone Holdings Inc.</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Term Loan (First Lien)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Automobile</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6.5%</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7/17</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989,975</w:t>
            </w:r>
          </w:p>
        </w:tc>
        <w:tc>
          <w:tcPr>
            <w:tcW w:w="22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996,484</w:t>
            </w: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991,212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8"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4"/>
                <w:szCs w:val="14"/>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4580" w:type="dxa"/>
            <w:vAlign w:val="bottom"/>
            <w:gridSpan w:val="3"/>
            <w:vMerge w:val="continue"/>
          </w:tcPr>
          <w:p>
            <w:pPr>
              <w:spacing w:after="0"/>
              <w:rPr>
                <w:sz w:val="14"/>
                <w:szCs w:val="14"/>
                <w:color w:val="auto"/>
              </w:rPr>
            </w:pPr>
          </w:p>
        </w:tc>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Interest Rate¹ / Maturity</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440" w:type="dxa"/>
            <w:vAlign w:val="bottom"/>
            <w:tcBorders>
              <w:top w:val="single" w:sz="8" w:color="auto"/>
            </w:tcBorders>
            <w:shd w:val="clear" w:color="auto" w:fill="CCFFCC"/>
          </w:tcPr>
          <w:p>
            <w:pPr>
              <w:spacing w:after="0" w:line="123" w:lineRule="exact"/>
              <w:rPr>
                <w:sz w:val="20"/>
                <w:szCs w:val="20"/>
                <w:color w:val="auto"/>
              </w:rPr>
            </w:pPr>
            <w:r>
              <w:rPr>
                <w:rFonts w:ascii="Arial" w:cs="Arial" w:eastAsia="Arial" w:hAnsi="Arial"/>
                <w:sz w:val="14"/>
                <w:szCs w:val="14"/>
                <w:color w:val="auto"/>
              </w:rPr>
              <w:t>Freescale Semiconductor, Inc.</w:t>
            </w:r>
          </w:p>
        </w:tc>
        <w:tc>
          <w:tcPr>
            <w:tcW w:w="120" w:type="dxa"/>
            <w:vAlign w:val="bottom"/>
            <w:tcBorders>
              <w:top w:val="single" w:sz="8" w:color="CCFFCC"/>
            </w:tcBorders>
            <w:shd w:val="clear" w:color="auto" w:fill="CCFFCC"/>
          </w:tcPr>
          <w:p>
            <w:pPr>
              <w:spacing w:after="0"/>
              <w:rPr>
                <w:sz w:val="10"/>
                <w:szCs w:val="10"/>
                <w:color w:val="auto"/>
              </w:rPr>
            </w:pPr>
          </w:p>
        </w:tc>
        <w:tc>
          <w:tcPr>
            <w:tcW w:w="3440" w:type="dxa"/>
            <w:vAlign w:val="bottom"/>
            <w:tcBorders>
              <w:top w:val="single" w:sz="8" w:color="auto"/>
            </w:tcBorders>
            <w:gridSpan w:val="2"/>
            <w:shd w:val="clear" w:color="auto" w:fill="CCFFCC"/>
          </w:tcPr>
          <w:p>
            <w:pPr>
              <w:spacing w:after="0" w:line="123" w:lineRule="exact"/>
              <w:rPr>
                <w:sz w:val="20"/>
                <w:szCs w:val="20"/>
                <w:color w:val="auto"/>
              </w:rPr>
            </w:pPr>
            <w:r>
              <w:rPr>
                <w:rFonts w:ascii="Arial" w:cs="Arial" w:eastAsia="Arial" w:hAnsi="Arial"/>
                <w:sz w:val="14"/>
                <w:szCs w:val="14"/>
                <w:color w:val="auto"/>
              </w:rPr>
              <w:t>Senior Subordinated Bond — Bond</w:t>
            </w:r>
          </w:p>
        </w:tc>
        <w:tc>
          <w:tcPr>
            <w:tcW w:w="120" w:type="dxa"/>
            <w:vAlign w:val="bottom"/>
            <w:tcBorders>
              <w:top w:val="single" w:sz="8" w:color="CCFFCC"/>
            </w:tcBorders>
            <w:shd w:val="clear" w:color="auto" w:fill="CCFFCC"/>
          </w:tcPr>
          <w:p>
            <w:pPr>
              <w:spacing w:after="0"/>
              <w:rPr>
                <w:sz w:val="10"/>
                <w:szCs w:val="10"/>
                <w:color w:val="auto"/>
              </w:rPr>
            </w:pPr>
          </w:p>
        </w:tc>
        <w:tc>
          <w:tcPr>
            <w:tcW w:w="160" w:type="dxa"/>
            <w:vAlign w:val="bottom"/>
            <w:tcBorders>
              <w:top w:val="single" w:sz="8" w:color="auto"/>
            </w:tcBorders>
            <w:shd w:val="clear" w:color="auto" w:fill="CCFFCC"/>
          </w:tcPr>
          <w:p>
            <w:pPr>
              <w:spacing w:after="0"/>
              <w:rPr>
                <w:sz w:val="10"/>
                <w:szCs w:val="10"/>
                <w:color w:val="auto"/>
              </w:rPr>
            </w:pPr>
          </w:p>
        </w:tc>
        <w:tc>
          <w:tcPr>
            <w:tcW w:w="88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220" w:type="dxa"/>
            <w:vAlign w:val="bottom"/>
            <w:tcBorders>
              <w:top w:val="single" w:sz="8" w:color="auto"/>
            </w:tcBorders>
            <w:shd w:val="clear" w:color="auto" w:fill="CCFFCC"/>
          </w:tcPr>
          <w:p>
            <w:pPr>
              <w:spacing w:after="0"/>
              <w:rPr>
                <w:sz w:val="10"/>
                <w:szCs w:val="10"/>
                <w:color w:val="auto"/>
              </w:rPr>
            </w:pPr>
          </w:p>
        </w:tc>
        <w:tc>
          <w:tcPr>
            <w:tcW w:w="800" w:type="dxa"/>
            <w:vAlign w:val="bottom"/>
            <w:tcBorders>
              <w:top w:val="single" w:sz="8" w:color="auto"/>
            </w:tcBorders>
            <w:shd w:val="clear" w:color="auto" w:fill="CCFFCC"/>
          </w:tcPr>
          <w:p>
            <w:pPr>
              <w:spacing w:after="0"/>
              <w:rPr>
                <w:sz w:val="10"/>
                <w:szCs w:val="10"/>
                <w:color w:val="auto"/>
              </w:rPr>
            </w:pPr>
          </w:p>
        </w:tc>
        <w:tc>
          <w:tcPr>
            <w:tcW w:w="60" w:type="dxa"/>
            <w:vAlign w:val="bottom"/>
            <w:tcBorders>
              <w:top w:val="single" w:sz="8" w:color="CCFFCC"/>
            </w:tcBorders>
            <w:shd w:val="clear" w:color="auto" w:fill="CCFFCC"/>
          </w:tcPr>
          <w:p>
            <w:pPr>
              <w:spacing w:after="0"/>
              <w:rPr>
                <w:sz w:val="10"/>
                <w:szCs w:val="10"/>
                <w:color w:val="auto"/>
              </w:rPr>
            </w:pPr>
          </w:p>
        </w:tc>
        <w:tc>
          <w:tcPr>
            <w:tcW w:w="40" w:type="dxa"/>
            <w:vAlign w:val="bottom"/>
            <w:tcBorders>
              <w:top w:val="single" w:sz="8" w:color="CCFFCC"/>
            </w:tcBorders>
            <w:shd w:val="clear" w:color="auto" w:fill="CCFFCC"/>
          </w:tcPr>
          <w:p>
            <w:pPr>
              <w:spacing w:after="0"/>
              <w:rPr>
                <w:sz w:val="10"/>
                <w:szCs w:val="10"/>
                <w:color w:val="auto"/>
              </w:rPr>
            </w:pPr>
          </w:p>
        </w:tc>
        <w:tc>
          <w:tcPr>
            <w:tcW w:w="200" w:type="dxa"/>
            <w:vAlign w:val="bottom"/>
            <w:tcBorders>
              <w:top w:val="single" w:sz="8" w:color="auto"/>
            </w:tcBorders>
            <w:shd w:val="clear" w:color="auto" w:fill="CCFFCC"/>
          </w:tcPr>
          <w:p>
            <w:pPr>
              <w:spacing w:after="0"/>
              <w:rPr>
                <w:sz w:val="10"/>
                <w:szCs w:val="10"/>
                <w:color w:val="auto"/>
              </w:rPr>
            </w:pPr>
          </w:p>
        </w:tc>
        <w:tc>
          <w:tcPr>
            <w:tcW w:w="820" w:type="dxa"/>
            <w:vAlign w:val="bottom"/>
            <w:tcBorders>
              <w:top w:val="single" w:sz="8" w:color="auto"/>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Electronics</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10.1% Cash, Due 12/16</w:t>
            </w:r>
          </w:p>
        </w:tc>
        <w:tc>
          <w:tcPr>
            <w:tcW w:w="16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1,036,000</w:t>
            </w:r>
          </w:p>
        </w:tc>
        <w:tc>
          <w:tcPr>
            <w:tcW w:w="220" w:type="dxa"/>
            <w:vAlign w:val="bottom"/>
            <w:shd w:val="clear" w:color="auto" w:fill="CCFFCC"/>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1,038,081</w:t>
            </w:r>
          </w:p>
        </w:tc>
        <w:tc>
          <w:tcPr>
            <w:tcW w:w="60" w:type="dxa"/>
            <w:vAlign w:val="bottom"/>
            <w:shd w:val="clear" w:color="auto" w:fill="CCFFCC"/>
          </w:tcPr>
          <w:p>
            <w:pPr>
              <w:spacing w:after="0"/>
              <w:rPr>
                <w:sz w:val="14"/>
                <w:szCs w:val="14"/>
                <w:color w:val="auto"/>
              </w:rPr>
            </w:pPr>
          </w:p>
        </w:tc>
        <w:tc>
          <w:tcPr>
            <w:tcW w:w="2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1,064,490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Getty Images, Inc.</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Initial Term Loan (New)</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Printing and Publishing</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4.8%</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10/19</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2,000,000</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1,980,556</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2,005,250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62" w:lineRule="exact"/>
              <w:rPr>
                <w:sz w:val="20"/>
                <w:szCs w:val="20"/>
                <w:color w:val="auto"/>
              </w:rPr>
            </w:pPr>
            <w:r>
              <w:rPr>
                <w:rFonts w:ascii="Arial" w:cs="Arial" w:eastAsia="Arial" w:hAnsi="Arial"/>
                <w:sz w:val="12"/>
                <w:szCs w:val="12"/>
                <w:color w:val="auto"/>
              </w:rPr>
              <w:t>Ginn LA Conduit Lender, Inc.</w:t>
            </w:r>
            <w:r>
              <w:rPr>
                <w:rFonts w:ascii="Arial" w:cs="Arial" w:eastAsia="Arial" w:hAnsi="Arial"/>
                <w:sz w:val="18"/>
                <w:szCs w:val="18"/>
                <w:color w:val="auto"/>
                <w:vertAlign w:val="superscript"/>
              </w:rPr>
              <w:t>8, 10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First Lien Tranche A Credit-</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560" w:type="dxa"/>
            <w:vAlign w:val="bottom"/>
            <w:gridSpan w:val="2"/>
            <w:vMerge w:val="restart"/>
            <w:shd w:val="clear" w:color="auto" w:fill="CCFFCC"/>
          </w:tcPr>
          <w:p>
            <w:pPr>
              <w:ind w:left="320"/>
              <w:spacing w:after="0" w:line="256" w:lineRule="exact"/>
              <w:rPr>
                <w:sz w:val="20"/>
                <w:szCs w:val="20"/>
                <w:color w:val="auto"/>
              </w:rPr>
            </w:pPr>
            <w:r>
              <w:rPr>
                <w:rFonts w:ascii="Arial" w:cs="Arial" w:eastAsia="Arial" w:hAnsi="Arial"/>
                <w:sz w:val="14"/>
                <w:szCs w:val="14"/>
                <w:i w:val="1"/>
                <w:iCs w:val="1"/>
                <w:color w:val="auto"/>
              </w:rPr>
              <w:t>Buildings and Real Estate</w:t>
            </w:r>
            <w:r>
              <w:rPr>
                <w:rFonts w:ascii="Arial" w:cs="Arial" w:eastAsia="Arial" w:hAnsi="Arial"/>
                <w:sz w:val="23"/>
                <w:szCs w:val="23"/>
                <w:color w:val="auto"/>
                <w:vertAlign w:val="superscript"/>
              </w:rPr>
              <w:t>4</w:t>
            </w:r>
          </w:p>
        </w:tc>
        <w:tc>
          <w:tcPr>
            <w:tcW w:w="3560" w:type="dxa"/>
            <w:vAlign w:val="bottom"/>
            <w:gridSpan w:val="3"/>
            <w:shd w:val="clear" w:color="auto" w:fill="CCFFCC"/>
          </w:tcPr>
          <w:p>
            <w:pPr>
              <w:spacing w:after="0" w:line="116" w:lineRule="exact"/>
              <w:rPr>
                <w:sz w:val="20"/>
                <w:szCs w:val="20"/>
                <w:color w:val="auto"/>
              </w:rPr>
            </w:pPr>
            <w:r>
              <w:rPr>
                <w:rFonts w:ascii="Arial" w:cs="Arial" w:eastAsia="Arial" w:hAnsi="Arial"/>
                <w:sz w:val="13"/>
                <w:szCs w:val="13"/>
                <w:color w:val="auto"/>
              </w:rPr>
              <w:t>Linked Deposit</w:t>
            </w:r>
          </w:p>
        </w:tc>
        <w:tc>
          <w:tcPr>
            <w:tcW w:w="16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560" w:type="dxa"/>
            <w:vAlign w:val="bottom"/>
            <w:tcBorders>
              <w:bottom w:val="single" w:sz="8" w:color="CCFFCC"/>
            </w:tcBorders>
            <w:gridSpan w:val="2"/>
            <w:vMerge w:val="continue"/>
            <w:shd w:val="clear" w:color="auto" w:fill="CCFFCC"/>
          </w:tcPr>
          <w:p>
            <w:pPr>
              <w:spacing w:after="0"/>
              <w:rPr>
                <w:sz w:val="12"/>
                <w:szCs w:val="12"/>
                <w:color w:val="auto"/>
              </w:rPr>
            </w:pPr>
          </w:p>
        </w:tc>
        <w:tc>
          <w:tcPr>
            <w:tcW w:w="320" w:type="dxa"/>
            <w:vAlign w:val="bottom"/>
            <w:tcBorders>
              <w:bottom w:val="single" w:sz="8" w:color="CCFFCC"/>
            </w:tcBorders>
            <w:shd w:val="clear" w:color="auto" w:fill="CCFFCC"/>
          </w:tcPr>
          <w:p>
            <w:pPr>
              <w:spacing w:after="0" w:line="147" w:lineRule="exact"/>
              <w:rPr>
                <w:sz w:val="20"/>
                <w:szCs w:val="20"/>
                <w:color w:val="auto"/>
              </w:rPr>
            </w:pPr>
            <w:r>
              <w:rPr>
                <w:rFonts w:ascii="Arial" w:cs="Arial" w:eastAsia="Arial" w:hAnsi="Arial"/>
                <w:sz w:val="14"/>
                <w:szCs w:val="14"/>
                <w:color w:val="auto"/>
                <w:w w:val="93"/>
              </w:rPr>
              <w:t>7.8%</w:t>
            </w:r>
          </w:p>
        </w:tc>
        <w:tc>
          <w:tcPr>
            <w:tcW w:w="3240" w:type="dxa"/>
            <w:vAlign w:val="bottom"/>
            <w:tcBorders>
              <w:bottom w:val="single" w:sz="8" w:color="CCFFCC"/>
            </w:tcBorders>
            <w:gridSpan w:val="2"/>
            <w:shd w:val="clear" w:color="auto" w:fill="CCFFCC"/>
          </w:tcPr>
          <w:p>
            <w:pPr>
              <w:ind w:left="20"/>
              <w:spacing w:after="0" w:line="147" w:lineRule="exact"/>
              <w:rPr>
                <w:sz w:val="20"/>
                <w:szCs w:val="20"/>
                <w:color w:val="auto"/>
              </w:rPr>
            </w:pPr>
            <w:r>
              <w:rPr>
                <w:rFonts w:ascii="Arial" w:cs="Arial" w:eastAsia="Arial" w:hAnsi="Arial"/>
                <w:sz w:val="14"/>
                <w:szCs w:val="14"/>
                <w:color w:val="auto"/>
              </w:rPr>
              <w:t>Cash, Due 6/11</w:t>
            </w:r>
          </w:p>
        </w:tc>
        <w:tc>
          <w:tcPr>
            <w:tcW w:w="160" w:type="dxa"/>
            <w:vAlign w:val="bottom"/>
            <w:tcBorders>
              <w:bottom w:val="single" w:sz="8" w:color="CCFFCC"/>
            </w:tcBorders>
            <w:shd w:val="clear" w:color="auto" w:fill="CCFFCC"/>
          </w:tcPr>
          <w:p>
            <w:pPr>
              <w:spacing w:after="0"/>
              <w:rPr>
                <w:sz w:val="12"/>
                <w:szCs w:val="12"/>
                <w:color w:val="auto"/>
              </w:rPr>
            </w:pPr>
          </w:p>
        </w:tc>
        <w:tc>
          <w:tcPr>
            <w:tcW w:w="980" w:type="dxa"/>
            <w:vAlign w:val="bottom"/>
            <w:tcBorders>
              <w:bottom w:val="single" w:sz="8" w:color="CCFFCC"/>
            </w:tcBorders>
            <w:gridSpan w:val="2"/>
            <w:shd w:val="clear" w:color="auto" w:fill="CCFFCC"/>
          </w:tcPr>
          <w:p>
            <w:pPr>
              <w:jc w:val="right"/>
              <w:ind w:right="100"/>
              <w:spacing w:after="0" w:line="147" w:lineRule="exact"/>
              <w:rPr>
                <w:sz w:val="20"/>
                <w:szCs w:val="20"/>
                <w:color w:val="auto"/>
              </w:rPr>
            </w:pPr>
            <w:r>
              <w:rPr>
                <w:rFonts w:ascii="Arial" w:cs="Arial" w:eastAsia="Arial" w:hAnsi="Arial"/>
                <w:sz w:val="14"/>
                <w:szCs w:val="14"/>
                <w:color w:val="auto"/>
              </w:rPr>
              <w:t>1,257,143</w:t>
            </w:r>
          </w:p>
        </w:tc>
        <w:tc>
          <w:tcPr>
            <w:tcW w:w="220" w:type="dxa"/>
            <w:vAlign w:val="bottom"/>
            <w:tcBorders>
              <w:bottom w:val="single" w:sz="8" w:color="CCFFCC"/>
            </w:tcBorders>
            <w:shd w:val="clear" w:color="auto" w:fill="CCFFCC"/>
          </w:tcPr>
          <w:p>
            <w:pPr>
              <w:spacing w:after="0"/>
              <w:rPr>
                <w:sz w:val="12"/>
                <w:szCs w:val="12"/>
                <w:color w:val="auto"/>
              </w:rPr>
            </w:pPr>
          </w:p>
        </w:tc>
        <w:tc>
          <w:tcPr>
            <w:tcW w:w="800" w:type="dxa"/>
            <w:vAlign w:val="bottom"/>
            <w:tcBorders>
              <w:bottom w:val="single" w:sz="8" w:color="CCFFCC"/>
            </w:tcBorders>
            <w:shd w:val="clear" w:color="auto" w:fill="CCFFCC"/>
          </w:tcPr>
          <w:p>
            <w:pPr>
              <w:jc w:val="right"/>
              <w:spacing w:after="0" w:line="147" w:lineRule="exact"/>
              <w:rPr>
                <w:sz w:val="20"/>
                <w:szCs w:val="20"/>
                <w:color w:val="auto"/>
              </w:rPr>
            </w:pPr>
            <w:r>
              <w:rPr>
                <w:rFonts w:ascii="Arial" w:cs="Arial" w:eastAsia="Arial" w:hAnsi="Arial"/>
                <w:sz w:val="14"/>
                <w:szCs w:val="14"/>
                <w:color w:val="auto"/>
              </w:rPr>
              <w:t>1,224,101</w:t>
            </w:r>
          </w:p>
        </w:tc>
        <w:tc>
          <w:tcPr>
            <w:tcW w:w="60" w:type="dxa"/>
            <w:vAlign w:val="bottom"/>
            <w:tcBorders>
              <w:bottom w:val="single" w:sz="8" w:color="CCFFCC"/>
            </w:tcBorders>
            <w:shd w:val="clear" w:color="auto" w:fill="CCFFCC"/>
          </w:tcPr>
          <w:p>
            <w:pPr>
              <w:spacing w:after="0"/>
              <w:rPr>
                <w:sz w:val="12"/>
                <w:szCs w:val="12"/>
                <w:color w:val="auto"/>
              </w:rPr>
            </w:pPr>
          </w:p>
        </w:tc>
        <w:tc>
          <w:tcPr>
            <w:tcW w:w="40" w:type="dxa"/>
            <w:vAlign w:val="bottom"/>
            <w:tcBorders>
              <w:bottom w:val="single" w:sz="8" w:color="CCFFCC"/>
            </w:tcBorders>
            <w:shd w:val="clear" w:color="auto" w:fill="CCFFCC"/>
          </w:tcPr>
          <w:p>
            <w:pPr>
              <w:spacing w:after="0"/>
              <w:rPr>
                <w:sz w:val="12"/>
                <w:szCs w:val="12"/>
                <w:color w:val="auto"/>
              </w:rPr>
            </w:pPr>
          </w:p>
        </w:tc>
        <w:tc>
          <w:tcPr>
            <w:tcW w:w="200" w:type="dxa"/>
            <w:vAlign w:val="bottom"/>
            <w:tcBorders>
              <w:bottom w:val="single" w:sz="8" w:color="CCFFCC"/>
            </w:tcBorders>
            <w:shd w:val="clear" w:color="auto" w:fill="CCFFCC"/>
          </w:tcPr>
          <w:p>
            <w:pPr>
              <w:spacing w:after="0"/>
              <w:rPr>
                <w:sz w:val="12"/>
                <w:szCs w:val="12"/>
                <w:color w:val="auto"/>
              </w:rPr>
            </w:pPr>
          </w:p>
        </w:tc>
        <w:tc>
          <w:tcPr>
            <w:tcW w:w="820" w:type="dxa"/>
            <w:vAlign w:val="bottom"/>
            <w:tcBorders>
              <w:bottom w:val="single" w:sz="8" w:color="CCFFCC"/>
            </w:tcBorders>
            <w:shd w:val="clear" w:color="auto" w:fill="CCFFCC"/>
          </w:tcPr>
          <w:p>
            <w:pPr>
              <w:jc w:val="right"/>
              <w:spacing w:after="0" w:line="147" w:lineRule="exact"/>
              <w:rPr>
                <w:sz w:val="20"/>
                <w:szCs w:val="20"/>
                <w:color w:val="auto"/>
              </w:rPr>
            </w:pPr>
            <w:r>
              <w:rPr>
                <w:rFonts w:ascii="Arial" w:cs="Arial" w:eastAsia="Arial" w:hAnsi="Arial"/>
                <w:sz w:val="14"/>
                <w:szCs w:val="14"/>
                <w:color w:val="auto"/>
              </w:rPr>
              <w:t>38,506</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gridSpan w:val="2"/>
            <w:shd w:val="clear" w:color="auto" w:fill="CCFFCC"/>
          </w:tcPr>
          <w:p>
            <w:pPr>
              <w:spacing w:after="0" w:line="202" w:lineRule="exact"/>
              <w:rPr>
                <w:sz w:val="20"/>
                <w:szCs w:val="20"/>
                <w:color w:val="auto"/>
              </w:rPr>
            </w:pPr>
            <w:r>
              <w:rPr>
                <w:rFonts w:ascii="Arial" w:cs="Arial" w:eastAsia="Arial" w:hAnsi="Arial"/>
                <w:sz w:val="14"/>
                <w:szCs w:val="14"/>
                <w:color w:val="auto"/>
              </w:rPr>
              <w:t>Ginn LA Conduit Lender, Inc.</w:t>
            </w:r>
            <w:r>
              <w:rPr>
                <w:rFonts w:ascii="Arial" w:cs="Arial" w:eastAsia="Arial" w:hAnsi="Arial"/>
                <w:sz w:val="23"/>
                <w:szCs w:val="23"/>
                <w:color w:val="auto"/>
                <w:vertAlign w:val="superscript"/>
              </w:rPr>
              <w:t>8, 10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First Lien Tranche B Term Loan</w:t>
            </w:r>
          </w:p>
        </w:tc>
        <w:tc>
          <w:tcPr>
            <w:tcW w:w="16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60" w:type="dxa"/>
            <w:vAlign w:val="bottom"/>
            <w:gridSpan w:val="2"/>
            <w:shd w:val="clear" w:color="auto" w:fill="CCFFCC"/>
          </w:tcPr>
          <w:p>
            <w:pPr>
              <w:ind w:left="320"/>
              <w:spacing w:after="0" w:line="176" w:lineRule="exact"/>
              <w:rPr>
                <w:sz w:val="20"/>
                <w:szCs w:val="20"/>
                <w:color w:val="auto"/>
              </w:rPr>
            </w:pPr>
            <w:r>
              <w:rPr>
                <w:rFonts w:ascii="Arial" w:cs="Arial" w:eastAsia="Arial" w:hAnsi="Arial"/>
                <w:sz w:val="13"/>
                <w:szCs w:val="13"/>
                <w:i w:val="1"/>
                <w:iCs w:val="1"/>
                <w:color w:val="auto"/>
              </w:rPr>
              <w:t>Buildings and Real Estate</w:t>
            </w:r>
            <w:r>
              <w:rPr>
                <w:rFonts w:ascii="Arial" w:cs="Arial" w:eastAsia="Arial" w:hAnsi="Arial"/>
                <w:sz w:val="20"/>
                <w:szCs w:val="20"/>
                <w:color w:val="auto"/>
                <w:vertAlign w:val="superscript"/>
              </w:rPr>
              <w:t>4</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7.8%</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6/11</w:t>
            </w:r>
          </w:p>
        </w:tc>
        <w:tc>
          <w:tcPr>
            <w:tcW w:w="160" w:type="dxa"/>
            <w:vAlign w:val="bottom"/>
            <w:shd w:val="clear" w:color="auto" w:fill="CCFFCC"/>
          </w:tcPr>
          <w:p>
            <w:pPr>
              <w:spacing w:after="0"/>
              <w:rPr>
                <w:sz w:val="15"/>
                <w:szCs w:val="15"/>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2,694,857</w:t>
            </w:r>
          </w:p>
        </w:tc>
        <w:tc>
          <w:tcPr>
            <w:tcW w:w="220" w:type="dxa"/>
            <w:vAlign w:val="bottom"/>
            <w:shd w:val="clear" w:color="auto" w:fill="CCFFCC"/>
          </w:tcPr>
          <w:p>
            <w:pPr>
              <w:spacing w:after="0"/>
              <w:rPr>
                <w:sz w:val="15"/>
                <w:szCs w:val="15"/>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2,624,028</w:t>
            </w:r>
          </w:p>
        </w:tc>
        <w:tc>
          <w:tcPr>
            <w:tcW w:w="60" w:type="dxa"/>
            <w:vAlign w:val="bottom"/>
            <w:shd w:val="clear" w:color="auto" w:fill="CCFFCC"/>
          </w:tcPr>
          <w:p>
            <w:pPr>
              <w:spacing w:after="0"/>
              <w:rPr>
                <w:sz w:val="15"/>
                <w:szCs w:val="15"/>
                <w:color w:val="auto"/>
              </w:rPr>
            </w:pPr>
          </w:p>
        </w:tc>
        <w:tc>
          <w:tcPr>
            <w:tcW w:w="4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82,543</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gridSpan w:val="2"/>
            <w:shd w:val="clear" w:color="auto" w:fill="CCFFCC"/>
          </w:tcPr>
          <w:p>
            <w:pPr>
              <w:spacing w:after="0" w:line="202" w:lineRule="exact"/>
              <w:rPr>
                <w:sz w:val="20"/>
                <w:szCs w:val="20"/>
                <w:color w:val="auto"/>
              </w:rPr>
            </w:pPr>
            <w:r>
              <w:rPr>
                <w:rFonts w:ascii="Arial" w:cs="Arial" w:eastAsia="Arial" w:hAnsi="Arial"/>
                <w:sz w:val="14"/>
                <w:szCs w:val="14"/>
                <w:color w:val="auto"/>
              </w:rPr>
              <w:t>Ginn LA Conduit Lender, Inc.</w:t>
            </w:r>
            <w:r>
              <w:rPr>
                <w:rFonts w:ascii="Arial" w:cs="Arial" w:eastAsia="Arial" w:hAnsi="Arial"/>
                <w:sz w:val="23"/>
                <w:szCs w:val="23"/>
                <w:color w:val="auto"/>
                <w:vertAlign w:val="superscript"/>
              </w:rPr>
              <w:t>8, 10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Junior Secured Loan — Loan (Second Lien)</w:t>
            </w:r>
          </w:p>
        </w:tc>
        <w:tc>
          <w:tcPr>
            <w:tcW w:w="16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60" w:type="dxa"/>
            <w:vAlign w:val="bottom"/>
            <w:gridSpan w:val="2"/>
            <w:shd w:val="clear" w:color="auto" w:fill="CCFFCC"/>
          </w:tcPr>
          <w:p>
            <w:pPr>
              <w:ind w:left="320"/>
              <w:spacing w:after="0" w:line="176" w:lineRule="exact"/>
              <w:rPr>
                <w:sz w:val="20"/>
                <w:szCs w:val="20"/>
                <w:color w:val="auto"/>
              </w:rPr>
            </w:pPr>
            <w:r>
              <w:rPr>
                <w:rFonts w:ascii="Arial" w:cs="Arial" w:eastAsia="Arial" w:hAnsi="Arial"/>
                <w:sz w:val="13"/>
                <w:szCs w:val="13"/>
                <w:i w:val="1"/>
                <w:iCs w:val="1"/>
                <w:color w:val="auto"/>
              </w:rPr>
              <w:t>Buildings and Real Estate</w:t>
            </w:r>
            <w:r>
              <w:rPr>
                <w:rFonts w:ascii="Arial" w:cs="Arial" w:eastAsia="Arial" w:hAnsi="Arial"/>
                <w:sz w:val="20"/>
                <w:szCs w:val="20"/>
                <w:color w:val="auto"/>
                <w:vertAlign w:val="superscript"/>
              </w:rPr>
              <w:t>4</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11.8% Cash, Due 6/12</w:t>
            </w:r>
          </w:p>
        </w:tc>
        <w:tc>
          <w:tcPr>
            <w:tcW w:w="160" w:type="dxa"/>
            <w:vAlign w:val="bottom"/>
            <w:shd w:val="clear" w:color="auto" w:fill="CCFFCC"/>
          </w:tcPr>
          <w:p>
            <w:pPr>
              <w:spacing w:after="0"/>
              <w:rPr>
                <w:sz w:val="15"/>
                <w:szCs w:val="15"/>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3,000,000</w:t>
            </w:r>
          </w:p>
        </w:tc>
        <w:tc>
          <w:tcPr>
            <w:tcW w:w="220" w:type="dxa"/>
            <w:vAlign w:val="bottom"/>
            <w:shd w:val="clear" w:color="auto" w:fill="CCFFCC"/>
          </w:tcPr>
          <w:p>
            <w:pPr>
              <w:spacing w:after="0"/>
              <w:rPr>
                <w:sz w:val="15"/>
                <w:szCs w:val="15"/>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2,715,997</w:t>
            </w:r>
          </w:p>
        </w:tc>
        <w:tc>
          <w:tcPr>
            <w:tcW w:w="60" w:type="dxa"/>
            <w:vAlign w:val="bottom"/>
            <w:shd w:val="clear" w:color="auto" w:fill="CCFFCC"/>
          </w:tcPr>
          <w:p>
            <w:pPr>
              <w:spacing w:after="0"/>
              <w:rPr>
                <w:sz w:val="15"/>
                <w:szCs w:val="15"/>
                <w:color w:val="auto"/>
              </w:rPr>
            </w:pPr>
          </w:p>
        </w:tc>
        <w:tc>
          <w:tcPr>
            <w:tcW w:w="4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30,015</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Gymboree Corporation., The</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Term Loan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Retail Stores</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5.0%</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2/18</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1,421,105</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1,355,901</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1,312,746</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HMSC Corporation (aka Swett and Crawford)</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Junior Secured Loan — Loan (Second Lien)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Insurance</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5.7%</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10/14</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5,000,000</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4,948,801</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4,410,000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Hunter Defense Technologies, Inc.</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Junior Secured Loan — Term Loan (Second Lien)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Aerospace and Defense</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7.0%</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2/15</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4,074,074</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4,027,935</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3,829,630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Iasis Healthcare LLC</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Unsecured Bond — Bond</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Healthcare, Education and Childcare</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8.4%</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5/19</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3,000,000</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2,877,729</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2,865,000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International Architectural Products, Inc.</w:t>
            </w:r>
            <w:r>
              <w:rPr>
                <w:rFonts w:ascii="Arial" w:cs="Arial" w:eastAsia="Arial" w:hAnsi="Arial"/>
                <w:sz w:val="19"/>
                <w:szCs w:val="19"/>
                <w:color w:val="auto"/>
                <w:vertAlign w:val="superscript"/>
              </w:rPr>
              <w:t>8, 10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Term Loan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Mining, Steel, Iron and Non-Precious Metals</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12.0% Cash, Due 5/15</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507,431</w:t>
            </w:r>
          </w:p>
        </w:tc>
        <w:tc>
          <w:tcPr>
            <w:tcW w:w="22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480,868</w:t>
            </w: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263,864</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Jones Stephens Corp.</w:t>
            </w:r>
            <w:r>
              <w:rPr>
                <w:rFonts w:ascii="Arial" w:cs="Arial" w:eastAsia="Arial" w:hAnsi="Arial"/>
                <w:sz w:val="19"/>
                <w:szCs w:val="19"/>
                <w:color w:val="auto"/>
                <w:vertAlign w:val="superscript"/>
              </w:rPr>
              <w:t>10</w:t>
            </w:r>
          </w:p>
        </w:tc>
        <w:tc>
          <w:tcPr>
            <w:tcW w:w="320" w:type="dxa"/>
            <w:vAlign w:val="bottom"/>
            <w:shd w:val="clear" w:color="auto" w:fill="CCFFCC"/>
          </w:tcPr>
          <w:p>
            <w:pPr>
              <w:spacing w:after="0"/>
              <w:rPr>
                <w:sz w:val="14"/>
                <w:szCs w:val="14"/>
                <w:color w:val="auto"/>
              </w:rPr>
            </w:pPr>
          </w:p>
        </w:tc>
        <w:tc>
          <w:tcPr>
            <w:tcW w:w="3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2"/>
            <w:shd w:val="clear" w:color="auto" w:fill="CCFFCC"/>
          </w:tcPr>
          <w:p>
            <w:pPr>
              <w:ind w:left="320"/>
              <w:spacing w:after="0" w:line="149" w:lineRule="exact"/>
              <w:rPr>
                <w:sz w:val="20"/>
                <w:szCs w:val="20"/>
                <w:color w:val="auto"/>
              </w:rPr>
            </w:pPr>
            <w:r>
              <w:rPr>
                <w:rFonts w:ascii="Arial" w:cs="Arial" w:eastAsia="Arial" w:hAnsi="Arial"/>
                <w:sz w:val="14"/>
                <w:szCs w:val="14"/>
                <w:i w:val="1"/>
                <w:iCs w:val="1"/>
                <w:color w:val="auto"/>
              </w:rPr>
              <w:t>Home and Office Furnishings, Housewares, and Durable Consumer</w:t>
            </w:r>
          </w:p>
        </w:tc>
        <w:tc>
          <w:tcPr>
            <w:tcW w:w="3560" w:type="dxa"/>
            <w:vAlign w:val="bottom"/>
            <w:gridSpan w:val="3"/>
            <w:shd w:val="clear" w:color="auto" w:fill="CCFFCC"/>
          </w:tcPr>
          <w:p>
            <w:pPr>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Products</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7.0%</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9/15</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4,280,147</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4,280,147</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4,280,147</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KIK Custom Products Inc.</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Junior Secured Loan — Loan (Second Lien)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Personal and Non Durable Consumer Products (Mfg. Only)</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5.3%</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12/14</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5,000,000</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5,000,000</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3,977,100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8"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4"/>
                <w:szCs w:val="14"/>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4580" w:type="dxa"/>
            <w:vAlign w:val="bottom"/>
            <w:gridSpan w:val="3"/>
            <w:vMerge w:val="continue"/>
          </w:tcPr>
          <w:p>
            <w:pPr>
              <w:spacing w:after="0"/>
              <w:rPr>
                <w:sz w:val="14"/>
                <w:szCs w:val="14"/>
                <w:color w:val="auto"/>
              </w:rPr>
            </w:pPr>
          </w:p>
        </w:tc>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Interest Rate¹ / Maturity</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Borders>
              <w:top w:val="single" w:sz="8" w:color="auto"/>
            </w:tcBorders>
            <w:shd w:val="clear" w:color="auto" w:fill="CCFFCC"/>
          </w:tcPr>
          <w:p>
            <w:pPr>
              <w:spacing w:after="0" w:line="197" w:lineRule="exact"/>
              <w:rPr>
                <w:sz w:val="20"/>
                <w:szCs w:val="20"/>
                <w:color w:val="auto"/>
              </w:rPr>
            </w:pPr>
            <w:r>
              <w:rPr>
                <w:rFonts w:ascii="Arial" w:cs="Arial" w:eastAsia="Arial" w:hAnsi="Arial"/>
                <w:sz w:val="14"/>
                <w:szCs w:val="14"/>
                <w:color w:val="auto"/>
              </w:rPr>
              <w:t>LBREP/L-Suncal Master I LLC</w:t>
            </w:r>
            <w:r>
              <w:rPr>
                <w:rFonts w:ascii="Arial" w:cs="Arial" w:eastAsia="Arial" w:hAnsi="Arial"/>
                <w:sz w:val="22"/>
                <w:szCs w:val="22"/>
                <w:color w:val="auto"/>
                <w:vertAlign w:val="superscript"/>
              </w:rPr>
              <w:t>8, 10</w:t>
            </w:r>
          </w:p>
        </w:tc>
        <w:tc>
          <w:tcPr>
            <w:tcW w:w="120" w:type="dxa"/>
            <w:vAlign w:val="bottom"/>
            <w:tcBorders>
              <w:top w:val="single" w:sz="8" w:color="CCFFCC"/>
            </w:tcBorders>
            <w:shd w:val="clear" w:color="auto" w:fill="CCFFCC"/>
          </w:tcPr>
          <w:p>
            <w:pPr>
              <w:spacing w:after="0"/>
              <w:rPr>
                <w:sz w:val="17"/>
                <w:szCs w:val="17"/>
                <w:color w:val="auto"/>
              </w:rPr>
            </w:pPr>
          </w:p>
        </w:tc>
        <w:tc>
          <w:tcPr>
            <w:tcW w:w="3440" w:type="dxa"/>
            <w:vAlign w:val="bottom"/>
            <w:tcBorders>
              <w:top w:val="single" w:sz="8" w:color="auto"/>
            </w:tcBorders>
            <w:gridSpan w:val="2"/>
            <w:shd w:val="clear" w:color="auto" w:fill="CCFFCC"/>
          </w:tcPr>
          <w:p>
            <w:pPr>
              <w:spacing w:after="0"/>
              <w:rPr>
                <w:sz w:val="20"/>
                <w:szCs w:val="20"/>
                <w:color w:val="auto"/>
              </w:rPr>
            </w:pPr>
            <w:r>
              <w:rPr>
                <w:rFonts w:ascii="Arial" w:cs="Arial" w:eastAsia="Arial" w:hAnsi="Arial"/>
                <w:sz w:val="14"/>
                <w:szCs w:val="14"/>
                <w:color w:val="auto"/>
              </w:rPr>
              <w:t>Senior Secured Loan — Term Loan (First Lien)</w:t>
            </w:r>
          </w:p>
        </w:tc>
        <w:tc>
          <w:tcPr>
            <w:tcW w:w="120" w:type="dxa"/>
            <w:vAlign w:val="bottom"/>
            <w:tcBorders>
              <w:top w:val="single" w:sz="8" w:color="CCFFCC"/>
            </w:tcBorders>
            <w:shd w:val="clear" w:color="auto" w:fill="CCFFCC"/>
          </w:tcPr>
          <w:p>
            <w:pPr>
              <w:spacing w:after="0"/>
              <w:rPr>
                <w:sz w:val="17"/>
                <w:szCs w:val="17"/>
                <w:color w:val="auto"/>
              </w:rPr>
            </w:pPr>
          </w:p>
        </w:tc>
        <w:tc>
          <w:tcPr>
            <w:tcW w:w="160" w:type="dxa"/>
            <w:vAlign w:val="bottom"/>
            <w:tcBorders>
              <w:top w:val="single" w:sz="8" w:color="auto"/>
            </w:tcBorders>
            <w:shd w:val="clear" w:color="auto" w:fill="CCFFCC"/>
          </w:tcPr>
          <w:p>
            <w:pPr>
              <w:spacing w:after="0"/>
              <w:rPr>
                <w:sz w:val="17"/>
                <w:szCs w:val="17"/>
                <w:color w:val="auto"/>
              </w:rPr>
            </w:pPr>
          </w:p>
        </w:tc>
        <w:tc>
          <w:tcPr>
            <w:tcW w:w="88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220" w:type="dxa"/>
            <w:vAlign w:val="bottom"/>
            <w:tcBorders>
              <w:top w:val="single" w:sz="8" w:color="auto"/>
            </w:tcBorders>
            <w:shd w:val="clear" w:color="auto" w:fill="CCFFCC"/>
          </w:tcPr>
          <w:p>
            <w:pPr>
              <w:spacing w:after="0"/>
              <w:rPr>
                <w:sz w:val="17"/>
                <w:szCs w:val="17"/>
                <w:color w:val="auto"/>
              </w:rPr>
            </w:pPr>
          </w:p>
        </w:tc>
        <w:tc>
          <w:tcPr>
            <w:tcW w:w="800" w:type="dxa"/>
            <w:vAlign w:val="bottom"/>
            <w:tcBorders>
              <w:top w:val="single" w:sz="8" w:color="auto"/>
            </w:tcBorders>
            <w:shd w:val="clear" w:color="auto" w:fill="CCFFCC"/>
          </w:tcPr>
          <w:p>
            <w:pPr>
              <w:spacing w:after="0"/>
              <w:rPr>
                <w:sz w:val="17"/>
                <w:szCs w:val="17"/>
                <w:color w:val="auto"/>
              </w:rPr>
            </w:pPr>
          </w:p>
        </w:tc>
        <w:tc>
          <w:tcPr>
            <w:tcW w:w="60" w:type="dxa"/>
            <w:vAlign w:val="bottom"/>
            <w:tcBorders>
              <w:top w:val="single" w:sz="8" w:color="CCFFCC"/>
            </w:tcBorders>
            <w:shd w:val="clear" w:color="auto" w:fill="CCFFCC"/>
          </w:tcPr>
          <w:p>
            <w:pPr>
              <w:spacing w:after="0"/>
              <w:rPr>
                <w:sz w:val="17"/>
                <w:szCs w:val="17"/>
                <w:color w:val="auto"/>
              </w:rPr>
            </w:pPr>
          </w:p>
        </w:tc>
        <w:tc>
          <w:tcPr>
            <w:tcW w:w="40" w:type="dxa"/>
            <w:vAlign w:val="bottom"/>
            <w:tcBorders>
              <w:top w:val="single" w:sz="8" w:color="CCFFCC"/>
            </w:tcBorders>
            <w:shd w:val="clear" w:color="auto" w:fill="CCFFCC"/>
          </w:tcPr>
          <w:p>
            <w:pPr>
              <w:spacing w:after="0"/>
              <w:rPr>
                <w:sz w:val="17"/>
                <w:szCs w:val="17"/>
                <w:color w:val="auto"/>
              </w:rPr>
            </w:pPr>
          </w:p>
        </w:tc>
        <w:tc>
          <w:tcPr>
            <w:tcW w:w="200" w:type="dxa"/>
            <w:vAlign w:val="bottom"/>
            <w:tcBorders>
              <w:top w:val="single" w:sz="8" w:color="auto"/>
            </w:tcBorders>
            <w:shd w:val="clear" w:color="auto" w:fill="CCFFCC"/>
          </w:tcPr>
          <w:p>
            <w:pPr>
              <w:spacing w:after="0"/>
              <w:rPr>
                <w:sz w:val="17"/>
                <w:szCs w:val="17"/>
                <w:color w:val="auto"/>
              </w:rPr>
            </w:pPr>
          </w:p>
        </w:tc>
        <w:tc>
          <w:tcPr>
            <w:tcW w:w="820" w:type="dxa"/>
            <w:vAlign w:val="bottom"/>
            <w:tcBorders>
              <w:top w:val="single" w:sz="8" w:color="auto"/>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60" w:type="dxa"/>
            <w:vAlign w:val="bottom"/>
            <w:gridSpan w:val="2"/>
            <w:shd w:val="clear" w:color="auto" w:fill="CCFFCC"/>
          </w:tcPr>
          <w:p>
            <w:pPr>
              <w:ind w:left="320"/>
              <w:spacing w:after="0" w:line="176" w:lineRule="exact"/>
              <w:rPr>
                <w:sz w:val="20"/>
                <w:szCs w:val="20"/>
                <w:color w:val="auto"/>
              </w:rPr>
            </w:pPr>
            <w:r>
              <w:rPr>
                <w:rFonts w:ascii="Arial" w:cs="Arial" w:eastAsia="Arial" w:hAnsi="Arial"/>
                <w:sz w:val="13"/>
                <w:szCs w:val="13"/>
                <w:i w:val="1"/>
                <w:iCs w:val="1"/>
                <w:color w:val="auto"/>
              </w:rPr>
              <w:t>Buildings and Real Estate</w:t>
            </w:r>
            <w:r>
              <w:rPr>
                <w:rFonts w:ascii="Arial" w:cs="Arial" w:eastAsia="Arial" w:hAnsi="Arial"/>
                <w:sz w:val="20"/>
                <w:szCs w:val="20"/>
                <w:color w:val="auto"/>
                <w:vertAlign w:val="superscript"/>
              </w:rPr>
              <w:t>4</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7.5%</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1/10</w:t>
            </w:r>
          </w:p>
        </w:tc>
        <w:tc>
          <w:tcPr>
            <w:tcW w:w="16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3,345,759</w:t>
            </w:r>
          </w:p>
        </w:tc>
        <w:tc>
          <w:tcPr>
            <w:tcW w:w="220" w:type="dxa"/>
            <w:vAlign w:val="bottom"/>
            <w:shd w:val="clear" w:color="auto" w:fill="CCFFCC"/>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3,345,759</w:t>
            </w:r>
          </w:p>
        </w:tc>
        <w:tc>
          <w:tcPr>
            <w:tcW w:w="60" w:type="dxa"/>
            <w:vAlign w:val="bottom"/>
            <w:shd w:val="clear" w:color="auto" w:fill="CCFFCC"/>
          </w:tcPr>
          <w:p>
            <w:pPr>
              <w:spacing w:after="0"/>
              <w:rPr>
                <w:sz w:val="15"/>
                <w:szCs w:val="15"/>
                <w:color w:val="auto"/>
              </w:rPr>
            </w:pPr>
          </w:p>
        </w:tc>
        <w:tc>
          <w:tcPr>
            <w:tcW w:w="2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303,460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Legacy Cabinets, Inc.</w:t>
            </w:r>
            <w:r>
              <w:rPr>
                <w:rFonts w:ascii="Arial" w:cs="Arial" w:eastAsia="Arial" w:hAnsi="Arial"/>
                <w:sz w:val="19"/>
                <w:szCs w:val="19"/>
                <w:color w:val="auto"/>
                <w:vertAlign w:val="superscript"/>
              </w:rPr>
              <w:t>10</w:t>
            </w:r>
          </w:p>
        </w:tc>
        <w:tc>
          <w:tcPr>
            <w:tcW w:w="320" w:type="dxa"/>
            <w:vAlign w:val="bottom"/>
            <w:shd w:val="clear" w:color="auto" w:fill="CCFFCC"/>
          </w:tcPr>
          <w:p>
            <w:pPr>
              <w:spacing w:after="0"/>
              <w:rPr>
                <w:sz w:val="14"/>
                <w:szCs w:val="14"/>
                <w:color w:val="auto"/>
              </w:rPr>
            </w:pPr>
          </w:p>
        </w:tc>
        <w:tc>
          <w:tcPr>
            <w:tcW w:w="3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2"/>
            <w:shd w:val="clear" w:color="auto" w:fill="CCFFCC"/>
          </w:tcPr>
          <w:p>
            <w:pPr>
              <w:ind w:left="320"/>
              <w:spacing w:after="0" w:line="149" w:lineRule="exact"/>
              <w:rPr>
                <w:sz w:val="20"/>
                <w:szCs w:val="20"/>
                <w:color w:val="auto"/>
              </w:rPr>
            </w:pPr>
            <w:r>
              <w:rPr>
                <w:rFonts w:ascii="Arial" w:cs="Arial" w:eastAsia="Arial" w:hAnsi="Arial"/>
                <w:sz w:val="14"/>
                <w:szCs w:val="14"/>
                <w:i w:val="1"/>
                <w:iCs w:val="1"/>
                <w:color w:val="auto"/>
              </w:rPr>
              <w:t>Home and Office Furnishings, Housewares, and Durable Consumer</w:t>
            </w:r>
          </w:p>
        </w:tc>
        <w:tc>
          <w:tcPr>
            <w:tcW w:w="3560" w:type="dxa"/>
            <w:vAlign w:val="bottom"/>
            <w:gridSpan w:val="3"/>
            <w:shd w:val="clear" w:color="auto" w:fill="CCFFCC"/>
          </w:tcPr>
          <w:p>
            <w:pPr>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Products</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1.0%</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6.3% PIK, Due 5/14</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524,571</w:t>
            </w:r>
          </w:p>
        </w:tc>
        <w:tc>
          <w:tcPr>
            <w:tcW w:w="22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463,380</w:t>
            </w: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447,040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Lord &amp; Taylor Holdings LLC (LT Propco LLC)</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Term Loan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Retail Stores</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5.8%</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1/19</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430,951</w:t>
            </w:r>
          </w:p>
        </w:tc>
        <w:tc>
          <w:tcPr>
            <w:tcW w:w="22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439,877</w:t>
            </w: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436,002</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Merisant Company</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Loan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640"/>
              <w:spacing w:after="0"/>
              <w:rPr>
                <w:sz w:val="20"/>
                <w:szCs w:val="20"/>
                <w:color w:val="auto"/>
              </w:rPr>
            </w:pPr>
            <w:r>
              <w:rPr>
                <w:rFonts w:ascii="Arial" w:cs="Arial" w:eastAsia="Arial" w:hAnsi="Arial"/>
                <w:sz w:val="14"/>
                <w:szCs w:val="14"/>
                <w:i w:val="1"/>
                <w:iCs w:val="1"/>
                <w:color w:val="auto"/>
              </w:rPr>
              <w:t>Beverage, Food and Tobacco</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7.5%</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1/14</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4,547,032</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4,538,541</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4,547,032</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Michael Foods Group, Inc. (f/k/a M-Foods Holdings, Inc.)</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Term B Facility</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Beverage, Food and Tobacco</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4.3%</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2/18</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1,825,626</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1,828,589</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1,838,934</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Neiman Marcus Group Inc., The</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Term Loan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Retail Stores</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4.8%</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5/18</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2,000,000</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1,985,894</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2,005,800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62" w:lineRule="exact"/>
              <w:rPr>
                <w:sz w:val="20"/>
                <w:szCs w:val="20"/>
                <w:color w:val="auto"/>
              </w:rPr>
            </w:pPr>
            <w:r>
              <w:rPr>
                <w:rFonts w:ascii="Arial" w:cs="Arial" w:eastAsia="Arial" w:hAnsi="Arial"/>
                <w:sz w:val="12"/>
                <w:szCs w:val="12"/>
                <w:color w:val="auto"/>
              </w:rPr>
              <w:t>Pegasus Solutions, Inc.</w:t>
            </w:r>
            <w:r>
              <w:rPr>
                <w:rFonts w:ascii="Arial" w:cs="Arial" w:eastAsia="Arial" w:hAnsi="Arial"/>
                <w:sz w:val="18"/>
                <w:szCs w:val="18"/>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w w:val="96"/>
              </w:rPr>
              <w:t>Senior Subordinated Bond — Senior Subordinated Second</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2"/>
            <w:shd w:val="clear" w:color="auto" w:fill="CCFFCC"/>
          </w:tcPr>
          <w:p>
            <w:pPr>
              <w:ind w:left="320"/>
              <w:spacing w:after="0" w:line="149" w:lineRule="exact"/>
              <w:rPr>
                <w:sz w:val="20"/>
                <w:szCs w:val="20"/>
                <w:color w:val="auto"/>
              </w:rPr>
            </w:pPr>
            <w:r>
              <w:rPr>
                <w:rFonts w:ascii="Arial" w:cs="Arial" w:eastAsia="Arial" w:hAnsi="Arial"/>
                <w:sz w:val="14"/>
                <w:szCs w:val="14"/>
                <w:i w:val="1"/>
                <w:iCs w:val="1"/>
                <w:color w:val="auto"/>
              </w:rPr>
              <w:t>Leisure, Amusement, Motion Pictures, Entertainment</w:t>
            </w:r>
          </w:p>
        </w:tc>
        <w:tc>
          <w:tcPr>
            <w:tcW w:w="3560" w:type="dxa"/>
            <w:vAlign w:val="bottom"/>
            <w:gridSpan w:val="3"/>
            <w:shd w:val="clear" w:color="auto" w:fill="CCFFCC"/>
          </w:tcPr>
          <w:p>
            <w:pPr>
              <w:spacing w:after="0" w:line="149" w:lineRule="exact"/>
              <w:rPr>
                <w:sz w:val="20"/>
                <w:szCs w:val="20"/>
                <w:color w:val="auto"/>
              </w:rPr>
            </w:pPr>
            <w:r>
              <w:rPr>
                <w:rFonts w:ascii="Arial" w:cs="Arial" w:eastAsia="Arial" w:hAnsi="Arial"/>
                <w:sz w:val="14"/>
                <w:szCs w:val="14"/>
                <w:color w:val="auto"/>
              </w:rPr>
              <w:t>Lien PIK Notes</w:t>
            </w:r>
          </w:p>
        </w:tc>
        <w:tc>
          <w:tcPr>
            <w:tcW w:w="160" w:type="dxa"/>
            <w:vAlign w:val="bottom"/>
            <w:shd w:val="clear" w:color="auto" w:fill="CCFFCC"/>
          </w:tcPr>
          <w:p>
            <w:pPr>
              <w:spacing w:after="0"/>
              <w:rPr>
                <w:sz w:val="12"/>
                <w:szCs w:val="12"/>
                <w:color w:val="auto"/>
              </w:rPr>
            </w:pPr>
          </w:p>
        </w:tc>
        <w:tc>
          <w:tcPr>
            <w:tcW w:w="980" w:type="dxa"/>
            <w:vAlign w:val="bottom"/>
            <w:gridSpan w:val="2"/>
            <w:vMerge w:val="restart"/>
            <w:shd w:val="clear" w:color="auto" w:fill="CCFFCC"/>
          </w:tcPr>
          <w:p>
            <w:pPr>
              <w:jc w:val="right"/>
              <w:ind w:right="100"/>
              <w:spacing w:after="0"/>
              <w:rPr>
                <w:sz w:val="20"/>
                <w:szCs w:val="20"/>
                <w:color w:val="auto"/>
              </w:rPr>
            </w:pPr>
            <w:r>
              <w:rPr>
                <w:rFonts w:ascii="Arial" w:cs="Arial" w:eastAsia="Arial" w:hAnsi="Arial"/>
                <w:sz w:val="14"/>
                <w:szCs w:val="14"/>
                <w:color w:val="auto"/>
              </w:rPr>
              <w:t>1,691,007</w:t>
            </w:r>
          </w:p>
        </w:tc>
        <w:tc>
          <w:tcPr>
            <w:tcW w:w="220" w:type="dxa"/>
            <w:vAlign w:val="bottom"/>
            <w:shd w:val="clear" w:color="auto" w:fill="CCFFCC"/>
          </w:tcPr>
          <w:p>
            <w:pPr>
              <w:spacing w:after="0"/>
              <w:rPr>
                <w:sz w:val="12"/>
                <w:szCs w:val="12"/>
                <w:color w:val="auto"/>
              </w:rPr>
            </w:pPr>
          </w:p>
        </w:tc>
        <w:tc>
          <w:tcPr>
            <w:tcW w:w="800" w:type="dxa"/>
            <w:vAlign w:val="bottom"/>
            <w:vMerge w:val="restart"/>
            <w:shd w:val="clear" w:color="auto" w:fill="CCFFCC"/>
          </w:tcPr>
          <w:p>
            <w:pPr>
              <w:jc w:val="right"/>
              <w:spacing w:after="0"/>
              <w:rPr>
                <w:sz w:val="20"/>
                <w:szCs w:val="20"/>
                <w:color w:val="auto"/>
              </w:rPr>
            </w:pPr>
            <w:r>
              <w:rPr>
                <w:rFonts w:ascii="Arial" w:cs="Arial" w:eastAsia="Arial" w:hAnsi="Arial"/>
                <w:sz w:val="14"/>
                <w:szCs w:val="14"/>
                <w:color w:val="auto"/>
              </w:rPr>
              <w:t>1,691,007</w:t>
            </w:r>
          </w:p>
        </w:tc>
        <w:tc>
          <w:tcPr>
            <w:tcW w:w="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20" w:type="dxa"/>
            <w:vAlign w:val="bottom"/>
            <w:vMerge w:val="restart"/>
            <w:shd w:val="clear" w:color="auto" w:fill="CCFFCC"/>
          </w:tcPr>
          <w:p>
            <w:pPr>
              <w:jc w:val="right"/>
              <w:spacing w:after="0"/>
              <w:rPr>
                <w:sz w:val="20"/>
                <w:szCs w:val="20"/>
                <w:color w:val="auto"/>
              </w:rPr>
            </w:pPr>
            <w:r>
              <w:rPr>
                <w:rFonts w:ascii="Arial" w:cs="Arial" w:eastAsia="Arial" w:hAnsi="Arial"/>
                <w:sz w:val="14"/>
                <w:szCs w:val="14"/>
                <w:color w:val="auto"/>
              </w:rPr>
              <w:t>1,671,391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3560" w:type="dxa"/>
            <w:vAlign w:val="bottom"/>
            <w:gridSpan w:val="3"/>
            <w:shd w:val="clear" w:color="auto" w:fill="CCFFCC"/>
          </w:tcPr>
          <w:p>
            <w:pPr>
              <w:spacing w:after="0" w:line="135" w:lineRule="exact"/>
              <w:rPr>
                <w:sz w:val="20"/>
                <w:szCs w:val="20"/>
                <w:color w:val="auto"/>
              </w:rPr>
            </w:pPr>
            <w:r>
              <w:rPr>
                <w:rFonts w:ascii="Arial" w:cs="Arial" w:eastAsia="Arial" w:hAnsi="Arial"/>
                <w:sz w:val="14"/>
                <w:szCs w:val="14"/>
                <w:color w:val="auto"/>
              </w:rPr>
              <w:t>13.0% PIK, Due 4/14</w:t>
            </w:r>
          </w:p>
        </w:tc>
        <w:tc>
          <w:tcPr>
            <w:tcW w:w="160" w:type="dxa"/>
            <w:vAlign w:val="bottom"/>
            <w:shd w:val="clear" w:color="auto" w:fill="CCFFCC"/>
          </w:tcPr>
          <w:p>
            <w:pPr>
              <w:spacing w:after="0"/>
              <w:rPr>
                <w:sz w:val="11"/>
                <w:szCs w:val="11"/>
                <w:color w:val="auto"/>
              </w:rPr>
            </w:pPr>
          </w:p>
        </w:tc>
        <w:tc>
          <w:tcPr>
            <w:tcW w:w="980" w:type="dxa"/>
            <w:vAlign w:val="bottom"/>
            <w:gridSpan w:val="2"/>
            <w:vMerge w:val="continue"/>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00" w:type="dxa"/>
            <w:vAlign w:val="bottom"/>
            <w:vMerge w:val="continue"/>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20" w:type="dxa"/>
            <w:vAlign w:val="bottom"/>
            <w:vMerge w:val="continue"/>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Perseus Holding Corp.</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Preferred Stock — Preferred Stock</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Leisure, Amusement, Motion Pictures, Entertainment</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14.0% PIK, Due 4/14</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400,000</w:t>
            </w:r>
          </w:p>
        </w:tc>
        <w:tc>
          <w:tcPr>
            <w:tcW w:w="22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400,000</w:t>
            </w: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371,160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PetCo Animal Supplies, Inc.</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New Loan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Retail Stores</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4.5%</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11/17</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2,000,000</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2,000,000</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2,018,220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Pinnacle Foods Finance LLC</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Extended Initial Term Loan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Beverage, Food and Tobacco</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3.7%</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10/16</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293,014</w:t>
            </w:r>
          </w:p>
        </w:tc>
        <w:tc>
          <w:tcPr>
            <w:tcW w:w="22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293,014</w:t>
            </w: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295,025</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Pinnacle Foods Finance LLC</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Extended Initial Term Loan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Beverage, Food and Tobacco</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3.7%</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10/16</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1,989,975</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1,988,656</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2,003,636</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TPF Generation Holdings, LLC</w:t>
            </w:r>
            <w:r>
              <w:rPr>
                <w:rFonts w:ascii="Arial" w:cs="Arial" w:eastAsia="Arial" w:hAnsi="Arial"/>
                <w:sz w:val="19"/>
                <w:szCs w:val="19"/>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w w:val="99"/>
              </w:rPr>
              <w:t>Senior Secured Loan — Synthetic LC Deposit (First Lien)</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Utilities</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2.3%</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12/13</w:t>
            </w: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169,532</w:t>
            </w:r>
          </w:p>
        </w:tc>
        <w:tc>
          <w:tcPr>
            <w:tcW w:w="22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169,280</w:t>
            </w: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169,956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8"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372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Principal</w:t>
            </w:r>
          </w:p>
        </w:tc>
        <w:tc>
          <w:tcPr>
            <w:tcW w:w="180" w:type="dxa"/>
            <w:vAlign w:val="bottom"/>
          </w:tcPr>
          <w:p>
            <w:pPr>
              <w:spacing w:after="0"/>
              <w:rPr>
                <w:sz w:val="14"/>
                <w:szCs w:val="14"/>
                <w:color w:val="auto"/>
              </w:rPr>
            </w:pPr>
          </w:p>
        </w:tc>
        <w:tc>
          <w:tcPr>
            <w:tcW w:w="8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4580" w:type="dxa"/>
            <w:vAlign w:val="bottom"/>
            <w:gridSpan w:val="3"/>
            <w:vMerge w:val="continue"/>
          </w:tcPr>
          <w:p>
            <w:pPr>
              <w:spacing w:after="0"/>
              <w:rPr>
                <w:sz w:val="14"/>
                <w:szCs w:val="14"/>
                <w:color w:val="auto"/>
              </w:rPr>
            </w:pPr>
          </w:p>
        </w:tc>
        <w:tc>
          <w:tcPr>
            <w:tcW w:w="3720" w:type="dxa"/>
            <w:vAlign w:val="bottom"/>
            <w:gridSpan w:val="3"/>
          </w:tcPr>
          <w:p>
            <w:pPr>
              <w:spacing w:after="0"/>
              <w:rPr>
                <w:sz w:val="20"/>
                <w:szCs w:val="20"/>
                <w:color w:val="auto"/>
              </w:rPr>
            </w:pPr>
            <w:r>
              <w:rPr>
                <w:rFonts w:ascii="Arial" w:cs="Arial" w:eastAsia="Arial" w:hAnsi="Arial"/>
                <w:sz w:val="14"/>
                <w:szCs w:val="14"/>
                <w:b w:val="1"/>
                <w:bCs w:val="1"/>
                <w:color w:val="auto"/>
              </w:rPr>
              <w:t>Interest Rate¹ / Maturity</w:t>
            </w:r>
          </w:p>
        </w:tc>
        <w:tc>
          <w:tcPr>
            <w:tcW w:w="9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440" w:type="dxa"/>
            <w:vAlign w:val="bottom"/>
            <w:tcBorders>
              <w:top w:val="single" w:sz="8" w:color="auto"/>
            </w:tcBorders>
            <w:shd w:val="clear" w:color="auto" w:fill="CCFFCC"/>
          </w:tcPr>
          <w:p>
            <w:pPr>
              <w:spacing w:after="0" w:line="164" w:lineRule="exact"/>
              <w:rPr>
                <w:sz w:val="20"/>
                <w:szCs w:val="20"/>
                <w:color w:val="auto"/>
              </w:rPr>
            </w:pPr>
            <w:r>
              <w:rPr>
                <w:rFonts w:ascii="Arial" w:cs="Arial" w:eastAsia="Arial" w:hAnsi="Arial"/>
                <w:sz w:val="12"/>
                <w:szCs w:val="12"/>
                <w:color w:val="auto"/>
              </w:rPr>
              <w:t>TriZetto Group, Inc. (TZ Merger Sub, Inc.)</w:t>
            </w:r>
            <w:r>
              <w:rPr>
                <w:rFonts w:ascii="Arial" w:cs="Arial" w:eastAsia="Arial" w:hAnsi="Arial"/>
                <w:sz w:val="18"/>
                <w:szCs w:val="18"/>
                <w:color w:val="auto"/>
                <w:vertAlign w:val="superscript"/>
              </w:rPr>
              <w:t>10</w:t>
            </w:r>
          </w:p>
        </w:tc>
        <w:tc>
          <w:tcPr>
            <w:tcW w:w="120" w:type="dxa"/>
            <w:vAlign w:val="bottom"/>
            <w:tcBorders>
              <w:top w:val="single" w:sz="8" w:color="CCFFCC"/>
            </w:tcBorders>
            <w:shd w:val="clear" w:color="auto" w:fill="CCFFCC"/>
          </w:tcPr>
          <w:p>
            <w:pPr>
              <w:spacing w:after="0"/>
              <w:rPr>
                <w:sz w:val="14"/>
                <w:szCs w:val="14"/>
                <w:color w:val="auto"/>
              </w:rPr>
            </w:pPr>
          </w:p>
        </w:tc>
        <w:tc>
          <w:tcPr>
            <w:tcW w:w="34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Borders>
              <w:top w:val="single" w:sz="8" w:color="CCFFCC"/>
            </w:tcBorders>
            <w:shd w:val="clear" w:color="auto" w:fill="CCFFCC"/>
          </w:tcPr>
          <w:p>
            <w:pPr>
              <w:spacing w:after="0"/>
              <w:rPr>
                <w:sz w:val="14"/>
                <w:szCs w:val="14"/>
                <w:color w:val="auto"/>
              </w:rPr>
            </w:pPr>
          </w:p>
        </w:tc>
        <w:tc>
          <w:tcPr>
            <w:tcW w:w="160" w:type="dxa"/>
            <w:vAlign w:val="bottom"/>
            <w:tcBorders>
              <w:top w:val="single" w:sz="8" w:color="auto"/>
            </w:tcBorders>
            <w:shd w:val="clear" w:color="auto" w:fill="CCFFCC"/>
          </w:tcPr>
          <w:p>
            <w:pPr>
              <w:spacing w:after="0"/>
              <w:rPr>
                <w:sz w:val="14"/>
                <w:szCs w:val="14"/>
                <w:color w:val="auto"/>
              </w:rPr>
            </w:pPr>
          </w:p>
        </w:tc>
        <w:tc>
          <w:tcPr>
            <w:tcW w:w="880" w:type="dxa"/>
            <w:vAlign w:val="bottom"/>
            <w:tcBorders>
              <w:top w:val="single" w:sz="8" w:color="auto"/>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180" w:type="dxa"/>
            <w:vAlign w:val="bottom"/>
            <w:tcBorders>
              <w:top w:val="single" w:sz="8" w:color="auto"/>
            </w:tcBorders>
            <w:shd w:val="clear" w:color="auto" w:fill="CCFFCC"/>
          </w:tcPr>
          <w:p>
            <w:pPr>
              <w:spacing w:after="0"/>
              <w:rPr>
                <w:sz w:val="14"/>
                <w:szCs w:val="14"/>
                <w:color w:val="auto"/>
              </w:rPr>
            </w:pPr>
          </w:p>
        </w:tc>
        <w:tc>
          <w:tcPr>
            <w:tcW w:w="840" w:type="dxa"/>
            <w:vAlign w:val="bottom"/>
            <w:tcBorders>
              <w:top w:val="single" w:sz="8" w:color="auto"/>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200" w:type="dxa"/>
            <w:vAlign w:val="bottom"/>
            <w:tcBorders>
              <w:top w:val="single" w:sz="8" w:color="auto"/>
            </w:tcBorders>
            <w:shd w:val="clear" w:color="auto" w:fill="CCFFCC"/>
          </w:tcPr>
          <w:p>
            <w:pPr>
              <w:spacing w:after="0"/>
              <w:rPr>
                <w:sz w:val="14"/>
                <w:szCs w:val="14"/>
                <w:color w:val="auto"/>
              </w:rPr>
            </w:pPr>
          </w:p>
        </w:tc>
        <w:tc>
          <w:tcPr>
            <w:tcW w:w="820" w:type="dxa"/>
            <w:vAlign w:val="bottom"/>
            <w:tcBorders>
              <w:top w:val="single" w:sz="8" w:color="auto"/>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Electronics</w:t>
            </w:r>
          </w:p>
        </w:tc>
        <w:tc>
          <w:tcPr>
            <w:tcW w:w="372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4.8% Cash, Due 5/18</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1,959,860</w:t>
            </w:r>
          </w:p>
        </w:tc>
        <w:tc>
          <w:tcPr>
            <w:tcW w:w="180" w:type="dxa"/>
            <w:vAlign w:val="bottom"/>
            <w:shd w:val="clear" w:color="auto" w:fill="CCFFCC"/>
          </w:tcPr>
          <w:p>
            <w:pPr>
              <w:spacing w:after="0"/>
              <w:rPr>
                <w:sz w:val="14"/>
                <w:szCs w:val="14"/>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1,951,082</w:t>
            </w:r>
          </w:p>
        </w:tc>
        <w:tc>
          <w:tcPr>
            <w:tcW w:w="1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1,948,013</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TRSO I, Inc.</w:t>
            </w:r>
            <w:r>
              <w:rPr>
                <w:rFonts w:ascii="Arial" w:cs="Arial" w:eastAsia="Arial" w:hAnsi="Arial"/>
                <w:sz w:val="19"/>
                <w:szCs w:val="19"/>
                <w:color w:val="auto"/>
                <w:vertAlign w:val="superscript"/>
              </w:rPr>
              <w:t>10</w:t>
            </w:r>
          </w:p>
        </w:tc>
        <w:tc>
          <w:tcPr>
            <w:tcW w:w="372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Junior Secured Loan — Term Loan (Second Lien)</w:t>
            </w: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Oil and Gas</w:t>
            </w:r>
          </w:p>
        </w:tc>
        <w:tc>
          <w:tcPr>
            <w:tcW w:w="372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11.0% Cash, Due 12/17</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10,400,000</w:t>
            </w:r>
          </w:p>
        </w:tc>
        <w:tc>
          <w:tcPr>
            <w:tcW w:w="180" w:type="dxa"/>
            <w:vAlign w:val="bottom"/>
            <w:shd w:val="clear" w:color="auto" w:fill="CCFFCC"/>
          </w:tcPr>
          <w:p>
            <w:pPr>
              <w:spacing w:after="0"/>
              <w:rPr>
                <w:sz w:val="14"/>
                <w:szCs w:val="14"/>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10,192,913</w:t>
            </w:r>
          </w:p>
        </w:tc>
        <w:tc>
          <w:tcPr>
            <w:tcW w:w="1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10,192,000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TUI University, LLC</w:t>
            </w:r>
            <w:r>
              <w:rPr>
                <w:rFonts w:ascii="Arial" w:cs="Arial" w:eastAsia="Arial" w:hAnsi="Arial"/>
                <w:sz w:val="19"/>
                <w:szCs w:val="19"/>
                <w:color w:val="auto"/>
                <w:vertAlign w:val="superscript"/>
              </w:rPr>
              <w:t>10</w:t>
            </w:r>
          </w:p>
        </w:tc>
        <w:tc>
          <w:tcPr>
            <w:tcW w:w="372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Term Loan (First Lien)</w:t>
            </w: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Healthcare, Education and Childcare</w:t>
            </w:r>
          </w:p>
        </w:tc>
        <w:tc>
          <w:tcPr>
            <w:tcW w:w="372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7.3% Cash, , Due 10/14</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2,051,442</w:t>
            </w:r>
          </w:p>
        </w:tc>
        <w:tc>
          <w:tcPr>
            <w:tcW w:w="180" w:type="dxa"/>
            <w:vAlign w:val="bottom"/>
            <w:shd w:val="clear" w:color="auto" w:fill="CCFFCC"/>
          </w:tcPr>
          <w:p>
            <w:pPr>
              <w:spacing w:after="0"/>
              <w:rPr>
                <w:sz w:val="14"/>
                <w:szCs w:val="14"/>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2,024,477</w:t>
            </w:r>
          </w:p>
        </w:tc>
        <w:tc>
          <w:tcPr>
            <w:tcW w:w="1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1,751,521</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TWCC Holding Corp.</w:t>
            </w:r>
            <w:r>
              <w:rPr>
                <w:rFonts w:ascii="Arial" w:cs="Arial" w:eastAsia="Arial" w:hAnsi="Arial"/>
                <w:sz w:val="19"/>
                <w:szCs w:val="19"/>
                <w:color w:val="auto"/>
                <w:vertAlign w:val="superscript"/>
              </w:rPr>
              <w:t>10</w:t>
            </w:r>
          </w:p>
        </w:tc>
        <w:tc>
          <w:tcPr>
            <w:tcW w:w="372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Term Loan</w:t>
            </w: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Broadcasting and Entertainment</w:t>
            </w:r>
          </w:p>
        </w:tc>
        <w:tc>
          <w:tcPr>
            <w:tcW w:w="372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4.3% Cash, Due 2/17</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1,966,350</w:t>
            </w:r>
          </w:p>
        </w:tc>
        <w:tc>
          <w:tcPr>
            <w:tcW w:w="180" w:type="dxa"/>
            <w:vAlign w:val="bottom"/>
            <w:shd w:val="clear" w:color="auto" w:fill="CCFFCC"/>
          </w:tcPr>
          <w:p>
            <w:pPr>
              <w:spacing w:after="0"/>
              <w:rPr>
                <w:sz w:val="14"/>
                <w:szCs w:val="14"/>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1,978,846</w:t>
            </w:r>
          </w:p>
        </w:tc>
        <w:tc>
          <w:tcPr>
            <w:tcW w:w="1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1,990,930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Univar Inc.</w:t>
            </w:r>
            <w:r>
              <w:rPr>
                <w:rFonts w:ascii="Arial" w:cs="Arial" w:eastAsia="Arial" w:hAnsi="Arial"/>
                <w:sz w:val="19"/>
                <w:szCs w:val="19"/>
                <w:color w:val="auto"/>
                <w:vertAlign w:val="superscript"/>
              </w:rPr>
              <w:t>10</w:t>
            </w:r>
          </w:p>
        </w:tc>
        <w:tc>
          <w:tcPr>
            <w:tcW w:w="372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Term B Loan</w:t>
            </w: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Chemicals, Plastics and Rubber</w:t>
            </w:r>
          </w:p>
        </w:tc>
        <w:tc>
          <w:tcPr>
            <w:tcW w:w="372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5.0% Cash, Due 6/17</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2,954,773</w:t>
            </w:r>
          </w:p>
        </w:tc>
        <w:tc>
          <w:tcPr>
            <w:tcW w:w="180" w:type="dxa"/>
            <w:vAlign w:val="bottom"/>
            <w:shd w:val="clear" w:color="auto" w:fill="CCFFCC"/>
          </w:tcPr>
          <w:p>
            <w:pPr>
              <w:spacing w:after="0"/>
              <w:rPr>
                <w:sz w:val="14"/>
                <w:szCs w:val="14"/>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2,954,773</w:t>
            </w:r>
          </w:p>
        </w:tc>
        <w:tc>
          <w:tcPr>
            <w:tcW w:w="1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2,950,577</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US Foods, Inc. (aka U.S. Foodservice, Inc.)</w:t>
            </w:r>
            <w:r>
              <w:rPr>
                <w:rFonts w:ascii="Arial" w:cs="Arial" w:eastAsia="Arial" w:hAnsi="Arial"/>
                <w:sz w:val="19"/>
                <w:szCs w:val="19"/>
                <w:color w:val="auto"/>
                <w:vertAlign w:val="superscript"/>
              </w:rPr>
              <w:t>10</w:t>
            </w:r>
          </w:p>
        </w:tc>
        <w:tc>
          <w:tcPr>
            <w:tcW w:w="372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Extended Term Loan</w:t>
            </w: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Personal, Food and Miscellaneous Services</w:t>
            </w:r>
          </w:p>
        </w:tc>
        <w:tc>
          <w:tcPr>
            <w:tcW w:w="372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5.8% Cash, Due 3/17</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1,978,284</w:t>
            </w:r>
          </w:p>
        </w:tc>
        <w:tc>
          <w:tcPr>
            <w:tcW w:w="180" w:type="dxa"/>
            <w:vAlign w:val="bottom"/>
            <w:shd w:val="clear" w:color="auto" w:fill="CCFFCC"/>
          </w:tcPr>
          <w:p>
            <w:pPr>
              <w:spacing w:after="0"/>
              <w:rPr>
                <w:sz w:val="14"/>
                <w:szCs w:val="14"/>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1,932,524</w:t>
            </w:r>
          </w:p>
        </w:tc>
        <w:tc>
          <w:tcPr>
            <w:tcW w:w="1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1,983,536</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Vertafore, Inc.</w:t>
            </w:r>
            <w:r>
              <w:rPr>
                <w:rFonts w:ascii="Arial" w:cs="Arial" w:eastAsia="Arial" w:hAnsi="Arial"/>
                <w:sz w:val="19"/>
                <w:szCs w:val="19"/>
                <w:color w:val="auto"/>
                <w:vertAlign w:val="superscript"/>
              </w:rPr>
              <w:t>10</w:t>
            </w:r>
          </w:p>
        </w:tc>
        <w:tc>
          <w:tcPr>
            <w:tcW w:w="372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Term Loan (First Lien)</w:t>
            </w: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Electronics</w:t>
            </w:r>
          </w:p>
        </w:tc>
        <w:tc>
          <w:tcPr>
            <w:tcW w:w="372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5.3% Cash, Due 7/16</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1,237,381</w:t>
            </w:r>
          </w:p>
        </w:tc>
        <w:tc>
          <w:tcPr>
            <w:tcW w:w="180" w:type="dxa"/>
            <w:vAlign w:val="bottom"/>
            <w:shd w:val="clear" w:color="auto" w:fill="CCFFCC"/>
          </w:tcPr>
          <w:p>
            <w:pPr>
              <w:spacing w:after="0"/>
              <w:rPr>
                <w:sz w:val="14"/>
                <w:szCs w:val="14"/>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1,232,977</w:t>
            </w:r>
          </w:p>
        </w:tc>
        <w:tc>
          <w:tcPr>
            <w:tcW w:w="1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1,250,275</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Wholesome Sweeteners, Inc.</w:t>
            </w:r>
            <w:r>
              <w:rPr>
                <w:rFonts w:ascii="Arial" w:cs="Arial" w:eastAsia="Arial" w:hAnsi="Arial"/>
                <w:sz w:val="19"/>
                <w:szCs w:val="19"/>
                <w:color w:val="auto"/>
                <w:vertAlign w:val="superscript"/>
              </w:rPr>
              <w:t>10</w:t>
            </w:r>
          </w:p>
        </w:tc>
        <w:tc>
          <w:tcPr>
            <w:tcW w:w="372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Junior Secured Loan — Subordinated Note (Second Lien)</w:t>
            </w: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Beverage, Food and Tobacco</w:t>
            </w:r>
          </w:p>
        </w:tc>
        <w:tc>
          <w:tcPr>
            <w:tcW w:w="372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14.0% Cash, Due 10/17</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6,648,596</w:t>
            </w:r>
          </w:p>
        </w:tc>
        <w:tc>
          <w:tcPr>
            <w:tcW w:w="180" w:type="dxa"/>
            <w:vAlign w:val="bottom"/>
            <w:shd w:val="clear" w:color="auto" w:fill="CCFFCC"/>
          </w:tcPr>
          <w:p>
            <w:pPr>
              <w:spacing w:after="0"/>
              <w:rPr>
                <w:sz w:val="14"/>
                <w:szCs w:val="14"/>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6,605,857</w:t>
            </w:r>
          </w:p>
        </w:tc>
        <w:tc>
          <w:tcPr>
            <w:tcW w:w="1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6,715,082</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 xml:space="preserve">WireCo WorldGroup Inc. </w:t>
            </w:r>
            <w:r>
              <w:rPr>
                <w:rFonts w:ascii="Arial" w:cs="Arial" w:eastAsia="Arial" w:hAnsi="Arial"/>
                <w:sz w:val="19"/>
                <w:szCs w:val="19"/>
                <w:color w:val="auto"/>
                <w:vertAlign w:val="superscript"/>
              </w:rPr>
              <w:t>10</w:t>
            </w:r>
          </w:p>
        </w:tc>
        <w:tc>
          <w:tcPr>
            <w:tcW w:w="372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Unsecured Bond — Bond</w:t>
            </w: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Machinery (Non-Agriculture, Non-Construction, Non-Electronic)</w:t>
            </w:r>
          </w:p>
        </w:tc>
        <w:tc>
          <w:tcPr>
            <w:tcW w:w="372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11.8% Cash, Due 5/17</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8,000,000</w:t>
            </w:r>
          </w:p>
        </w:tc>
        <w:tc>
          <w:tcPr>
            <w:tcW w:w="180" w:type="dxa"/>
            <w:vAlign w:val="bottom"/>
            <w:shd w:val="clear" w:color="auto" w:fill="CCFFCC"/>
          </w:tcPr>
          <w:p>
            <w:pPr>
              <w:spacing w:after="0"/>
              <w:rPr>
                <w:sz w:val="15"/>
                <w:szCs w:val="15"/>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7,920,733</w:t>
            </w:r>
          </w:p>
        </w:tc>
        <w:tc>
          <w:tcPr>
            <w:tcW w:w="10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8,320,000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4560" w:type="dxa"/>
            <w:vAlign w:val="bottom"/>
            <w:gridSpan w:val="2"/>
            <w:shd w:val="clear" w:color="auto" w:fill="CCFFCC"/>
          </w:tcPr>
          <w:p>
            <w:pPr>
              <w:spacing w:after="0" w:line="126" w:lineRule="exact"/>
              <w:rPr>
                <w:sz w:val="20"/>
                <w:szCs w:val="20"/>
                <w:color w:val="auto"/>
              </w:rPr>
            </w:pPr>
            <w:r>
              <w:rPr>
                <w:rFonts w:ascii="Arial" w:cs="Arial" w:eastAsia="Arial" w:hAnsi="Arial"/>
                <w:sz w:val="14"/>
                <w:szCs w:val="14"/>
                <w:b w:val="1"/>
                <w:bCs w:val="1"/>
                <w:color w:val="auto"/>
              </w:rPr>
              <w:t>Total Investment in Debt Securities</w:t>
            </w:r>
          </w:p>
        </w:tc>
        <w:tc>
          <w:tcPr>
            <w:tcW w:w="34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b w:val="1"/>
                <w:bCs w:val="1"/>
                <w:color w:val="auto"/>
              </w:rPr>
              <w:t>(53% of net asset value at fair value)</w:t>
            </w:r>
          </w:p>
        </w:tc>
        <w:tc>
          <w:tcPr>
            <w:tcW w:w="3720" w:type="dxa"/>
            <w:vAlign w:val="bottom"/>
            <w:gridSpan w:val="3"/>
            <w:shd w:val="clear" w:color="auto" w:fill="CCFFCC"/>
          </w:tcPr>
          <w:p>
            <w:pPr>
              <w:ind w:left="35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136,283,876</w:t>
            </w:r>
          </w:p>
        </w:tc>
        <w:tc>
          <w:tcPr>
            <w:tcW w:w="1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134,377,151</w:t>
            </w:r>
          </w:p>
        </w:tc>
        <w:tc>
          <w:tcPr>
            <w:tcW w:w="3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111,037,882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Equity Securities Portfolio</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Percentage</w:t>
            </w:r>
          </w:p>
        </w:tc>
        <w:tc>
          <w:tcPr>
            <w:tcW w:w="220" w:type="dxa"/>
            <w:vAlign w:val="bottom"/>
          </w:tcPr>
          <w:p>
            <w:pPr>
              <w:spacing w:after="0"/>
              <w:rPr>
                <w:sz w:val="14"/>
                <w:szCs w:val="14"/>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4580" w:type="dxa"/>
            <w:vAlign w:val="bottom"/>
            <w:gridSpan w:val="3"/>
            <w:vMerge w:val="continue"/>
          </w:tcPr>
          <w:p>
            <w:pPr>
              <w:spacing w:after="0"/>
              <w:rPr>
                <w:sz w:val="14"/>
                <w:szCs w:val="14"/>
                <w:color w:val="auto"/>
              </w:rPr>
            </w:pPr>
          </w:p>
        </w:tc>
        <w:tc>
          <w:tcPr>
            <w:tcW w:w="3560" w:type="dxa"/>
            <w:vAlign w:val="bottom"/>
            <w:gridSpan w:val="2"/>
            <w:vMerge w:val="continue"/>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Interest/Shares</w:t>
            </w:r>
          </w:p>
        </w:tc>
        <w:tc>
          <w:tcPr>
            <w:tcW w:w="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440" w:type="dxa"/>
            <w:vAlign w:val="bottom"/>
            <w:tcBorders>
              <w:top w:val="single" w:sz="8" w:color="auto"/>
            </w:tcBorders>
            <w:shd w:val="clear" w:color="auto" w:fill="CCFFCC"/>
          </w:tcPr>
          <w:p>
            <w:pPr>
              <w:spacing w:after="0" w:line="164" w:lineRule="exact"/>
              <w:rPr>
                <w:sz w:val="20"/>
                <w:szCs w:val="20"/>
                <w:color w:val="auto"/>
              </w:rPr>
            </w:pPr>
            <w:r>
              <w:rPr>
                <w:rFonts w:ascii="Arial" w:cs="Arial" w:eastAsia="Arial" w:hAnsi="Arial"/>
                <w:sz w:val="12"/>
                <w:szCs w:val="12"/>
                <w:color w:val="auto"/>
              </w:rPr>
              <w:t>Aerostructures Holdings L.P.</w:t>
            </w:r>
            <w:r>
              <w:rPr>
                <w:rFonts w:ascii="Arial" w:cs="Arial" w:eastAsia="Arial" w:hAnsi="Arial"/>
                <w:sz w:val="18"/>
                <w:szCs w:val="18"/>
                <w:color w:val="auto"/>
                <w:vertAlign w:val="superscript"/>
              </w:rPr>
              <w:t>6, 10</w:t>
            </w:r>
          </w:p>
        </w:tc>
        <w:tc>
          <w:tcPr>
            <w:tcW w:w="120" w:type="dxa"/>
            <w:vAlign w:val="bottom"/>
            <w:tcBorders>
              <w:top w:val="single" w:sz="8" w:color="CCFFCC"/>
            </w:tcBorders>
            <w:shd w:val="clear" w:color="auto" w:fill="CCFFCC"/>
          </w:tcPr>
          <w:p>
            <w:pPr>
              <w:spacing w:after="0"/>
              <w:rPr>
                <w:sz w:val="14"/>
                <w:szCs w:val="14"/>
                <w:color w:val="auto"/>
              </w:rPr>
            </w:pPr>
          </w:p>
        </w:tc>
        <w:tc>
          <w:tcPr>
            <w:tcW w:w="3440" w:type="dxa"/>
            <w:vAlign w:val="bottom"/>
            <w:tcBorders>
              <w:top w:val="single" w:sz="8" w:color="auto"/>
            </w:tcBorders>
            <w:shd w:val="clear" w:color="auto" w:fill="CCFFCC"/>
          </w:tcPr>
          <w:p>
            <w:pPr>
              <w:spacing w:after="0"/>
              <w:rPr>
                <w:sz w:val="14"/>
                <w:szCs w:val="14"/>
                <w:color w:val="auto"/>
              </w:rPr>
            </w:pPr>
          </w:p>
        </w:tc>
        <w:tc>
          <w:tcPr>
            <w:tcW w:w="120" w:type="dxa"/>
            <w:vAlign w:val="bottom"/>
            <w:tcBorders>
              <w:top w:val="single" w:sz="8" w:color="CCFFCC"/>
            </w:tcBorders>
            <w:shd w:val="clear" w:color="auto" w:fill="CCFFCC"/>
          </w:tcPr>
          <w:p>
            <w:pPr>
              <w:spacing w:after="0"/>
              <w:rPr>
                <w:sz w:val="14"/>
                <w:szCs w:val="14"/>
                <w:color w:val="auto"/>
              </w:rPr>
            </w:pPr>
          </w:p>
        </w:tc>
        <w:tc>
          <w:tcPr>
            <w:tcW w:w="1040" w:type="dxa"/>
            <w:vAlign w:val="bottom"/>
            <w:tcBorders>
              <w:top w:val="single" w:sz="8" w:color="auto"/>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220" w:type="dxa"/>
            <w:vAlign w:val="bottom"/>
            <w:tcBorders>
              <w:top w:val="single" w:sz="8" w:color="auto"/>
            </w:tcBorders>
            <w:shd w:val="clear" w:color="auto" w:fill="CCFFCC"/>
          </w:tcPr>
          <w:p>
            <w:pPr>
              <w:spacing w:after="0"/>
              <w:rPr>
                <w:sz w:val="14"/>
                <w:szCs w:val="14"/>
                <w:color w:val="auto"/>
              </w:rPr>
            </w:pPr>
          </w:p>
        </w:tc>
        <w:tc>
          <w:tcPr>
            <w:tcW w:w="800" w:type="dxa"/>
            <w:vAlign w:val="bottom"/>
            <w:tcBorders>
              <w:top w:val="single" w:sz="8" w:color="auto"/>
            </w:tcBorders>
            <w:shd w:val="clear" w:color="auto" w:fill="CCFFCC"/>
          </w:tcPr>
          <w:p>
            <w:pPr>
              <w:spacing w:after="0"/>
              <w:rPr>
                <w:sz w:val="14"/>
                <w:szCs w:val="14"/>
                <w:color w:val="auto"/>
              </w:rPr>
            </w:pPr>
          </w:p>
        </w:tc>
        <w:tc>
          <w:tcPr>
            <w:tcW w:w="60" w:type="dxa"/>
            <w:vAlign w:val="bottom"/>
            <w:tcBorders>
              <w:top w:val="single" w:sz="8" w:color="CCFFCC"/>
            </w:tcBorders>
            <w:shd w:val="clear" w:color="auto" w:fill="CCFFCC"/>
          </w:tcPr>
          <w:p>
            <w:pPr>
              <w:spacing w:after="0"/>
              <w:rPr>
                <w:sz w:val="14"/>
                <w:szCs w:val="14"/>
                <w:color w:val="auto"/>
              </w:rPr>
            </w:pPr>
          </w:p>
        </w:tc>
        <w:tc>
          <w:tcPr>
            <w:tcW w:w="40" w:type="dxa"/>
            <w:vAlign w:val="bottom"/>
            <w:tcBorders>
              <w:top w:val="single" w:sz="8" w:color="CCFFCC"/>
            </w:tcBorders>
            <w:shd w:val="clear" w:color="auto" w:fill="CCFFCC"/>
          </w:tcPr>
          <w:p>
            <w:pPr>
              <w:spacing w:after="0"/>
              <w:rPr>
                <w:sz w:val="14"/>
                <w:szCs w:val="14"/>
                <w:color w:val="auto"/>
              </w:rPr>
            </w:pPr>
          </w:p>
        </w:tc>
        <w:tc>
          <w:tcPr>
            <w:tcW w:w="200" w:type="dxa"/>
            <w:vAlign w:val="bottom"/>
            <w:tcBorders>
              <w:top w:val="single" w:sz="8" w:color="auto"/>
            </w:tcBorders>
            <w:shd w:val="clear" w:color="auto" w:fill="CCFFCC"/>
          </w:tcPr>
          <w:p>
            <w:pPr>
              <w:spacing w:after="0"/>
              <w:rPr>
                <w:sz w:val="14"/>
                <w:szCs w:val="14"/>
                <w:color w:val="auto"/>
              </w:rPr>
            </w:pPr>
          </w:p>
        </w:tc>
        <w:tc>
          <w:tcPr>
            <w:tcW w:w="820" w:type="dxa"/>
            <w:vAlign w:val="bottom"/>
            <w:tcBorders>
              <w:top w:val="single" w:sz="8" w:color="auto"/>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Aerospace and Defense</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Partnership Interests</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1.2%</w:t>
            </w:r>
          </w:p>
        </w:tc>
        <w:tc>
          <w:tcPr>
            <w:tcW w:w="220" w:type="dxa"/>
            <w:vAlign w:val="bottom"/>
            <w:shd w:val="clear" w:color="auto" w:fill="CCFFCC"/>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1,000,000</w:t>
            </w:r>
          </w:p>
        </w:tc>
        <w:tc>
          <w:tcPr>
            <w:tcW w:w="60" w:type="dxa"/>
            <w:vAlign w:val="bottom"/>
            <w:shd w:val="clear" w:color="auto" w:fill="CCFFCC"/>
          </w:tcPr>
          <w:p>
            <w:pPr>
              <w:spacing w:after="0"/>
              <w:rPr>
                <w:sz w:val="14"/>
                <w:szCs w:val="14"/>
                <w:color w:val="auto"/>
              </w:rPr>
            </w:pPr>
          </w:p>
        </w:tc>
        <w:tc>
          <w:tcPr>
            <w:tcW w:w="2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Aerostructures Holdings L.P.</w:t>
            </w:r>
            <w:r>
              <w:rPr>
                <w:rFonts w:ascii="Arial" w:cs="Arial" w:eastAsia="Arial" w:hAnsi="Arial"/>
                <w:sz w:val="19"/>
                <w:szCs w:val="19"/>
                <w:color w:val="auto"/>
                <w:vertAlign w:val="superscript"/>
              </w:rPr>
              <w:t>6, 10</w:t>
            </w:r>
          </w:p>
        </w:tc>
        <w:tc>
          <w:tcPr>
            <w:tcW w:w="34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Aerospace and Defense</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Series A Preferred Interests</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1.2%</w:t>
            </w:r>
          </w:p>
        </w:tc>
        <w:tc>
          <w:tcPr>
            <w:tcW w:w="22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250,961</w:t>
            </w: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44,112</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Bankruptcy Management Solutions, Inc.</w:t>
            </w:r>
            <w:r>
              <w:rPr>
                <w:rFonts w:ascii="Arial" w:cs="Arial" w:eastAsia="Arial" w:hAnsi="Arial"/>
                <w:sz w:val="19"/>
                <w:szCs w:val="19"/>
                <w:color w:val="auto"/>
                <w:vertAlign w:val="superscript"/>
              </w:rPr>
              <w:t>6, 10</w:t>
            </w:r>
          </w:p>
        </w:tc>
        <w:tc>
          <w:tcPr>
            <w:tcW w:w="34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Diversified/Conglomerate Service</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Common Stock</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1.2%</w:t>
            </w:r>
          </w:p>
        </w:tc>
        <w:tc>
          <w:tcPr>
            <w:tcW w:w="22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218,592</w:t>
            </w: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Bankruptcy Management Solutions, Inc.</w:t>
            </w:r>
            <w:r>
              <w:rPr>
                <w:rFonts w:ascii="Arial" w:cs="Arial" w:eastAsia="Arial" w:hAnsi="Arial"/>
                <w:sz w:val="19"/>
                <w:szCs w:val="19"/>
                <w:color w:val="auto"/>
                <w:vertAlign w:val="superscript"/>
              </w:rPr>
              <w:t>6, 10</w:t>
            </w:r>
          </w:p>
        </w:tc>
        <w:tc>
          <w:tcPr>
            <w:tcW w:w="34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Diversified/Conglomerate Service</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Warrants</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0.1%</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560" w:type="dxa"/>
            <w:vAlign w:val="bottom"/>
            <w:gridSpan w:val="2"/>
            <w:shd w:val="clear" w:color="auto" w:fill="CCFFCC"/>
          </w:tcPr>
          <w:p>
            <w:pPr>
              <w:spacing w:after="0" w:line="181" w:lineRule="exact"/>
              <w:rPr>
                <w:sz w:val="20"/>
                <w:szCs w:val="20"/>
                <w:color w:val="auto"/>
              </w:rPr>
            </w:pPr>
            <w:r>
              <w:rPr>
                <w:rFonts w:ascii="Arial" w:cs="Arial" w:eastAsia="Arial" w:hAnsi="Arial"/>
                <w:sz w:val="13"/>
                <w:szCs w:val="13"/>
                <w:color w:val="auto"/>
              </w:rPr>
              <w:t>Coastal Concrete Holding II, LLC</w:t>
            </w:r>
            <w:r>
              <w:rPr>
                <w:rFonts w:ascii="Arial" w:cs="Arial" w:eastAsia="Arial" w:hAnsi="Arial"/>
                <w:sz w:val="20"/>
                <w:szCs w:val="20"/>
                <w:color w:val="auto"/>
                <w:vertAlign w:val="superscript"/>
              </w:rPr>
              <w:t>6, 10</w:t>
            </w:r>
          </w:p>
        </w:tc>
        <w:tc>
          <w:tcPr>
            <w:tcW w:w="34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04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80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4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gridSpan w:val="2"/>
            <w:shd w:val="clear" w:color="auto" w:fill="CCFFCC"/>
          </w:tcPr>
          <w:p>
            <w:pPr>
              <w:ind w:left="320"/>
              <w:spacing w:after="0" w:line="198" w:lineRule="exact"/>
              <w:rPr>
                <w:sz w:val="20"/>
                <w:szCs w:val="20"/>
                <w:color w:val="auto"/>
              </w:rPr>
            </w:pPr>
            <w:r>
              <w:rPr>
                <w:rFonts w:ascii="Arial" w:cs="Arial" w:eastAsia="Arial" w:hAnsi="Arial"/>
                <w:sz w:val="14"/>
                <w:szCs w:val="14"/>
                <w:i w:val="1"/>
                <w:iCs w:val="1"/>
                <w:color w:val="auto"/>
              </w:rPr>
              <w:t>Buildings and Real Estate</w:t>
            </w:r>
            <w:r>
              <w:rPr>
                <w:rFonts w:ascii="Arial" w:cs="Arial" w:eastAsia="Arial" w:hAnsi="Arial"/>
                <w:sz w:val="22"/>
                <w:szCs w:val="22"/>
                <w:color w:val="auto"/>
                <w:vertAlign w:val="superscript"/>
              </w:rPr>
              <w:t>4</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Class A Units</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10.8%</w:t>
            </w:r>
          </w:p>
        </w:tc>
        <w:tc>
          <w:tcPr>
            <w:tcW w:w="220" w:type="dxa"/>
            <w:vAlign w:val="bottom"/>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8,625,626</w:t>
            </w:r>
          </w:p>
        </w:tc>
        <w:tc>
          <w:tcPr>
            <w:tcW w:w="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eInstruction Acquisition, LLC</w:t>
            </w:r>
            <w:r>
              <w:rPr>
                <w:rFonts w:ascii="Arial" w:cs="Arial" w:eastAsia="Arial" w:hAnsi="Arial"/>
                <w:sz w:val="19"/>
                <w:szCs w:val="19"/>
                <w:color w:val="auto"/>
                <w:vertAlign w:val="superscript"/>
              </w:rPr>
              <w:t>6, 10</w:t>
            </w:r>
          </w:p>
        </w:tc>
        <w:tc>
          <w:tcPr>
            <w:tcW w:w="34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Healthcare, Education and Childcare</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Membership Units</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1.1%</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1,079,617</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FP WRCA Coinvestment Fund VII, Ltd.</w:t>
            </w:r>
            <w:r>
              <w:rPr>
                <w:rFonts w:ascii="Arial" w:cs="Arial" w:eastAsia="Arial" w:hAnsi="Arial"/>
                <w:sz w:val="19"/>
                <w:szCs w:val="19"/>
                <w:color w:val="auto"/>
                <w:vertAlign w:val="superscript"/>
              </w:rPr>
              <w:t>3, 6,</w:t>
            </w:r>
          </w:p>
        </w:tc>
        <w:tc>
          <w:tcPr>
            <w:tcW w:w="34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Machinery (Non-Agriculture, Non-Construction, Non-Electronic)</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Class A Shares</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1,500</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1,500,000</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1,961,550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International Architectural Products, Inc.</w:t>
            </w:r>
            <w:r>
              <w:rPr>
                <w:rFonts w:ascii="Arial" w:cs="Arial" w:eastAsia="Arial" w:hAnsi="Arial"/>
                <w:sz w:val="19"/>
                <w:szCs w:val="19"/>
                <w:color w:val="auto"/>
                <w:vertAlign w:val="superscript"/>
              </w:rPr>
              <w:t>6, 10</w:t>
            </w:r>
          </w:p>
        </w:tc>
        <w:tc>
          <w:tcPr>
            <w:tcW w:w="34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Mining, Steel, Iron and Non-Precious Metals</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Common Stock</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2.5%</w:t>
            </w:r>
          </w:p>
        </w:tc>
        <w:tc>
          <w:tcPr>
            <w:tcW w:w="22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292,851</w:t>
            </w: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Legacy Cabinets, Inc.</w:t>
            </w:r>
            <w:r>
              <w:rPr>
                <w:rFonts w:ascii="Arial" w:cs="Arial" w:eastAsia="Arial" w:hAnsi="Arial"/>
                <w:sz w:val="19"/>
                <w:szCs w:val="19"/>
                <w:color w:val="auto"/>
                <w:vertAlign w:val="superscript"/>
              </w:rPr>
              <w:t>6, 10</w:t>
            </w:r>
          </w:p>
        </w:tc>
        <w:tc>
          <w:tcPr>
            <w:tcW w:w="34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2"/>
            <w:shd w:val="clear" w:color="auto" w:fill="CCFFCC"/>
          </w:tcPr>
          <w:p>
            <w:pPr>
              <w:ind w:left="320"/>
              <w:spacing w:after="0" w:line="149" w:lineRule="exact"/>
              <w:rPr>
                <w:sz w:val="20"/>
                <w:szCs w:val="20"/>
                <w:color w:val="auto"/>
              </w:rPr>
            </w:pPr>
            <w:r>
              <w:rPr>
                <w:rFonts w:ascii="Arial" w:cs="Arial" w:eastAsia="Arial" w:hAnsi="Arial"/>
                <w:sz w:val="14"/>
                <w:szCs w:val="14"/>
                <w:i w:val="1"/>
                <w:iCs w:val="1"/>
                <w:color w:val="auto"/>
              </w:rPr>
              <w:t>Home and Office Furnishings, Housewares, and Durable Consumer</w:t>
            </w:r>
          </w:p>
        </w:tc>
        <w:tc>
          <w:tcPr>
            <w:tcW w:w="34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Products</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Equity</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4.0%</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115,580</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Perseus Holding Corp.</w:t>
            </w:r>
            <w:r>
              <w:rPr>
                <w:rFonts w:ascii="Arial" w:cs="Arial" w:eastAsia="Arial" w:hAnsi="Arial"/>
                <w:sz w:val="19"/>
                <w:szCs w:val="19"/>
                <w:color w:val="auto"/>
                <w:vertAlign w:val="superscript"/>
              </w:rPr>
              <w:t>6, 10</w:t>
            </w:r>
          </w:p>
        </w:tc>
        <w:tc>
          <w:tcPr>
            <w:tcW w:w="34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Leisure, Amusement, Motion Pictures, Entertainment</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Common Stock</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0.2%</w:t>
            </w:r>
          </w:p>
        </w:tc>
        <w:tc>
          <w:tcPr>
            <w:tcW w:w="22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400,000</w:t>
            </w: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10,930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Plumbing Holdings Corporation</w:t>
            </w:r>
            <w:r>
              <w:rPr>
                <w:rFonts w:ascii="Arial" w:cs="Arial" w:eastAsia="Arial" w:hAnsi="Arial"/>
                <w:sz w:val="19"/>
                <w:szCs w:val="19"/>
                <w:color w:val="auto"/>
                <w:vertAlign w:val="superscript"/>
              </w:rPr>
              <w:t>6, 10</w:t>
            </w:r>
          </w:p>
        </w:tc>
        <w:tc>
          <w:tcPr>
            <w:tcW w:w="34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2"/>
            <w:shd w:val="clear" w:color="auto" w:fill="CCFFCC"/>
          </w:tcPr>
          <w:p>
            <w:pPr>
              <w:ind w:left="320"/>
              <w:spacing w:after="0" w:line="149" w:lineRule="exact"/>
              <w:rPr>
                <w:sz w:val="20"/>
                <w:szCs w:val="20"/>
                <w:color w:val="auto"/>
              </w:rPr>
            </w:pPr>
            <w:r>
              <w:rPr>
                <w:rFonts w:ascii="Arial" w:cs="Arial" w:eastAsia="Arial" w:hAnsi="Arial"/>
                <w:sz w:val="14"/>
                <w:szCs w:val="14"/>
                <w:i w:val="1"/>
                <w:iCs w:val="1"/>
                <w:color w:val="auto"/>
              </w:rPr>
              <w:t>Home and Office Furnishings, Housewares, and Durable Consumer</w:t>
            </w:r>
          </w:p>
        </w:tc>
        <w:tc>
          <w:tcPr>
            <w:tcW w:w="34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Products</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Common Stock</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7.8%</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644,937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Percentage</w:t>
            </w:r>
          </w:p>
        </w:tc>
        <w:tc>
          <w:tcPr>
            <w:tcW w:w="220" w:type="dxa"/>
            <w:vAlign w:val="bottom"/>
          </w:tcPr>
          <w:p>
            <w:pPr>
              <w:spacing w:after="0"/>
              <w:rPr>
                <w:sz w:val="14"/>
                <w:szCs w:val="14"/>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4580" w:type="dxa"/>
            <w:vAlign w:val="bottom"/>
            <w:gridSpan w:val="3"/>
            <w:vMerge w:val="continue"/>
          </w:tcPr>
          <w:p>
            <w:pPr>
              <w:spacing w:after="0"/>
              <w:rPr>
                <w:sz w:val="14"/>
                <w:szCs w:val="14"/>
                <w:color w:val="auto"/>
              </w:rPr>
            </w:pPr>
          </w:p>
        </w:tc>
        <w:tc>
          <w:tcPr>
            <w:tcW w:w="3560" w:type="dxa"/>
            <w:vAlign w:val="bottom"/>
            <w:gridSpan w:val="2"/>
            <w:vMerge w:val="continue"/>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Interest/Shares</w:t>
            </w:r>
          </w:p>
        </w:tc>
        <w:tc>
          <w:tcPr>
            <w:tcW w:w="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440" w:type="dxa"/>
            <w:vAlign w:val="bottom"/>
            <w:tcBorders>
              <w:top w:val="single" w:sz="8" w:color="auto"/>
            </w:tcBorders>
            <w:shd w:val="clear" w:color="auto" w:fill="CCFFCC"/>
          </w:tcPr>
          <w:p>
            <w:pPr>
              <w:spacing w:after="0" w:line="164" w:lineRule="exact"/>
              <w:rPr>
                <w:sz w:val="20"/>
                <w:szCs w:val="20"/>
                <w:color w:val="auto"/>
              </w:rPr>
            </w:pPr>
            <w:r>
              <w:rPr>
                <w:rFonts w:ascii="Arial" w:cs="Arial" w:eastAsia="Arial" w:hAnsi="Arial"/>
                <w:sz w:val="12"/>
                <w:szCs w:val="12"/>
                <w:color w:val="auto"/>
              </w:rPr>
              <w:t>Plumbing Holdings Corporation</w:t>
            </w:r>
            <w:r>
              <w:rPr>
                <w:rFonts w:ascii="Arial" w:cs="Arial" w:eastAsia="Arial" w:hAnsi="Arial"/>
                <w:sz w:val="18"/>
                <w:szCs w:val="18"/>
                <w:color w:val="auto"/>
                <w:vertAlign w:val="superscript"/>
              </w:rPr>
              <w:t>6, 10</w:t>
            </w:r>
          </w:p>
        </w:tc>
        <w:tc>
          <w:tcPr>
            <w:tcW w:w="120" w:type="dxa"/>
            <w:vAlign w:val="bottom"/>
            <w:tcBorders>
              <w:top w:val="single" w:sz="8" w:color="CCFFCC"/>
            </w:tcBorders>
            <w:shd w:val="clear" w:color="auto" w:fill="CCFFCC"/>
          </w:tcPr>
          <w:p>
            <w:pPr>
              <w:spacing w:after="0"/>
              <w:rPr>
                <w:sz w:val="14"/>
                <w:szCs w:val="14"/>
                <w:color w:val="auto"/>
              </w:rPr>
            </w:pPr>
          </w:p>
        </w:tc>
        <w:tc>
          <w:tcPr>
            <w:tcW w:w="3440" w:type="dxa"/>
            <w:vAlign w:val="bottom"/>
            <w:tcBorders>
              <w:top w:val="single" w:sz="8" w:color="auto"/>
            </w:tcBorders>
            <w:shd w:val="clear" w:color="auto" w:fill="CCFFCC"/>
          </w:tcPr>
          <w:p>
            <w:pPr>
              <w:spacing w:after="0"/>
              <w:rPr>
                <w:sz w:val="14"/>
                <w:szCs w:val="14"/>
                <w:color w:val="auto"/>
              </w:rPr>
            </w:pPr>
          </w:p>
        </w:tc>
        <w:tc>
          <w:tcPr>
            <w:tcW w:w="120" w:type="dxa"/>
            <w:vAlign w:val="bottom"/>
            <w:tcBorders>
              <w:top w:val="single" w:sz="8" w:color="CCFFCC"/>
            </w:tcBorders>
            <w:shd w:val="clear" w:color="auto" w:fill="CCFFCC"/>
          </w:tcPr>
          <w:p>
            <w:pPr>
              <w:spacing w:after="0"/>
              <w:rPr>
                <w:sz w:val="14"/>
                <w:szCs w:val="14"/>
                <w:color w:val="auto"/>
              </w:rPr>
            </w:pPr>
          </w:p>
        </w:tc>
        <w:tc>
          <w:tcPr>
            <w:tcW w:w="1040" w:type="dxa"/>
            <w:vAlign w:val="bottom"/>
            <w:tcBorders>
              <w:top w:val="single" w:sz="8" w:color="auto"/>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220" w:type="dxa"/>
            <w:vAlign w:val="bottom"/>
            <w:tcBorders>
              <w:top w:val="single" w:sz="8" w:color="auto"/>
            </w:tcBorders>
            <w:shd w:val="clear" w:color="auto" w:fill="CCFFCC"/>
          </w:tcPr>
          <w:p>
            <w:pPr>
              <w:spacing w:after="0"/>
              <w:rPr>
                <w:sz w:val="14"/>
                <w:szCs w:val="14"/>
                <w:color w:val="auto"/>
              </w:rPr>
            </w:pPr>
          </w:p>
        </w:tc>
        <w:tc>
          <w:tcPr>
            <w:tcW w:w="800" w:type="dxa"/>
            <w:vAlign w:val="bottom"/>
            <w:tcBorders>
              <w:top w:val="single" w:sz="8" w:color="auto"/>
            </w:tcBorders>
            <w:shd w:val="clear" w:color="auto" w:fill="CCFFCC"/>
          </w:tcPr>
          <w:p>
            <w:pPr>
              <w:spacing w:after="0"/>
              <w:rPr>
                <w:sz w:val="14"/>
                <w:szCs w:val="14"/>
                <w:color w:val="auto"/>
              </w:rPr>
            </w:pPr>
          </w:p>
        </w:tc>
        <w:tc>
          <w:tcPr>
            <w:tcW w:w="60" w:type="dxa"/>
            <w:vAlign w:val="bottom"/>
            <w:tcBorders>
              <w:top w:val="single" w:sz="8" w:color="CCFFCC"/>
            </w:tcBorders>
            <w:shd w:val="clear" w:color="auto" w:fill="CCFFCC"/>
          </w:tcPr>
          <w:p>
            <w:pPr>
              <w:spacing w:after="0"/>
              <w:rPr>
                <w:sz w:val="14"/>
                <w:szCs w:val="14"/>
                <w:color w:val="auto"/>
              </w:rPr>
            </w:pPr>
          </w:p>
        </w:tc>
        <w:tc>
          <w:tcPr>
            <w:tcW w:w="40" w:type="dxa"/>
            <w:vAlign w:val="bottom"/>
            <w:tcBorders>
              <w:top w:val="single" w:sz="8" w:color="CCFFCC"/>
            </w:tcBorders>
            <w:shd w:val="clear" w:color="auto" w:fill="CCFFCC"/>
          </w:tcPr>
          <w:p>
            <w:pPr>
              <w:spacing w:after="0"/>
              <w:rPr>
                <w:sz w:val="14"/>
                <w:szCs w:val="14"/>
                <w:color w:val="auto"/>
              </w:rPr>
            </w:pPr>
          </w:p>
        </w:tc>
        <w:tc>
          <w:tcPr>
            <w:tcW w:w="200" w:type="dxa"/>
            <w:vAlign w:val="bottom"/>
            <w:tcBorders>
              <w:top w:val="single" w:sz="8" w:color="auto"/>
            </w:tcBorders>
            <w:shd w:val="clear" w:color="auto" w:fill="CCFFCC"/>
          </w:tcPr>
          <w:p>
            <w:pPr>
              <w:spacing w:after="0"/>
              <w:rPr>
                <w:sz w:val="14"/>
                <w:szCs w:val="14"/>
                <w:color w:val="auto"/>
              </w:rPr>
            </w:pPr>
          </w:p>
        </w:tc>
        <w:tc>
          <w:tcPr>
            <w:tcW w:w="820" w:type="dxa"/>
            <w:vAlign w:val="bottom"/>
            <w:tcBorders>
              <w:top w:val="single" w:sz="8" w:color="auto"/>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2"/>
            <w:shd w:val="clear" w:color="auto" w:fill="CCFFCC"/>
          </w:tcPr>
          <w:p>
            <w:pPr>
              <w:ind w:left="320"/>
              <w:spacing w:after="0" w:line="149" w:lineRule="exact"/>
              <w:rPr>
                <w:sz w:val="20"/>
                <w:szCs w:val="20"/>
                <w:color w:val="auto"/>
              </w:rPr>
            </w:pPr>
            <w:r>
              <w:rPr>
                <w:rFonts w:ascii="Arial" w:cs="Arial" w:eastAsia="Arial" w:hAnsi="Arial"/>
                <w:sz w:val="14"/>
                <w:szCs w:val="14"/>
                <w:i w:val="1"/>
                <w:iCs w:val="1"/>
                <w:color w:val="auto"/>
              </w:rPr>
              <w:t>Home and Office Furnishings, Housewares, and Durable Consumer</w:t>
            </w:r>
          </w:p>
        </w:tc>
        <w:tc>
          <w:tcPr>
            <w:tcW w:w="34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Products</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Preferred Stock</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9.0%</w:t>
            </w:r>
          </w:p>
        </w:tc>
        <w:tc>
          <w:tcPr>
            <w:tcW w:w="220" w:type="dxa"/>
            <w:vAlign w:val="bottom"/>
            <w:shd w:val="clear" w:color="auto" w:fill="CCFFCC"/>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3,032,596</w:t>
            </w:r>
          </w:p>
        </w:tc>
        <w:tc>
          <w:tcPr>
            <w:tcW w:w="60" w:type="dxa"/>
            <w:vAlign w:val="bottom"/>
            <w:shd w:val="clear" w:color="auto" w:fill="CCFFCC"/>
          </w:tcPr>
          <w:p>
            <w:pPr>
              <w:spacing w:after="0"/>
              <w:rPr>
                <w:sz w:val="14"/>
                <w:szCs w:val="14"/>
                <w:color w:val="auto"/>
              </w:rPr>
            </w:pPr>
          </w:p>
        </w:tc>
        <w:tc>
          <w:tcPr>
            <w:tcW w:w="24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3,240,496</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Caribe Media Inc. (fka Caribe Information Investments Incorporated)</w:t>
            </w:r>
            <w:r>
              <w:rPr>
                <w:rFonts w:ascii="Arial" w:cs="Arial" w:eastAsia="Arial" w:hAnsi="Arial"/>
                <w:sz w:val="19"/>
                <w:szCs w:val="19"/>
                <w:color w:val="auto"/>
                <w:vertAlign w:val="superscript"/>
              </w:rPr>
              <w:t>6, 10</w:t>
            </w:r>
          </w:p>
        </w:tc>
        <w:tc>
          <w:tcPr>
            <w:tcW w:w="34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Printing and Publishing</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Common Stock</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1.3%</w:t>
            </w:r>
          </w:p>
        </w:tc>
        <w:tc>
          <w:tcPr>
            <w:tcW w:w="22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359,765</w:t>
            </w: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612,691</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TRSO II, Inc.</w:t>
            </w:r>
            <w:r>
              <w:rPr>
                <w:rFonts w:ascii="Arial" w:cs="Arial" w:eastAsia="Arial" w:hAnsi="Arial"/>
                <w:sz w:val="19"/>
                <w:szCs w:val="19"/>
                <w:color w:val="auto"/>
                <w:vertAlign w:val="superscript"/>
              </w:rPr>
              <w:t>6, 10</w:t>
            </w:r>
          </w:p>
        </w:tc>
        <w:tc>
          <w:tcPr>
            <w:tcW w:w="34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i w:val="1"/>
                <w:iCs w:val="1"/>
                <w:color w:val="auto"/>
              </w:rPr>
              <w:t>Oil and Gas</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Common Stock</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5.4%</w:t>
            </w:r>
          </w:p>
        </w:tc>
        <w:tc>
          <w:tcPr>
            <w:tcW w:w="220" w:type="dxa"/>
            <w:vAlign w:val="bottom"/>
            <w:tcBorders>
              <w:bottom w:val="single" w:sz="8" w:color="auto"/>
            </w:tcBorders>
            <w:shd w:val="clear" w:color="auto" w:fill="CCFFCC"/>
          </w:tcPr>
          <w:p>
            <w:pPr>
              <w:spacing w:after="0"/>
              <w:rPr>
                <w:sz w:val="15"/>
                <w:szCs w:val="15"/>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1,500,000</w:t>
            </w:r>
          </w:p>
        </w:tc>
        <w:tc>
          <w:tcPr>
            <w:tcW w:w="60" w:type="dxa"/>
            <w:vAlign w:val="bottom"/>
            <w:shd w:val="clear" w:color="auto" w:fill="CCFFCC"/>
          </w:tcPr>
          <w:p>
            <w:pPr>
              <w:spacing w:after="0"/>
              <w:rPr>
                <w:sz w:val="15"/>
                <w:szCs w:val="15"/>
                <w:color w:val="auto"/>
              </w:rPr>
            </w:pPr>
          </w:p>
        </w:tc>
        <w:tc>
          <w:tcPr>
            <w:tcW w:w="40" w:type="dxa"/>
            <w:vAlign w:val="bottom"/>
            <w:shd w:val="clear" w:color="auto" w:fill="CCFFCC"/>
          </w:tcPr>
          <w:p>
            <w:pPr>
              <w:spacing w:after="0"/>
              <w:rPr>
                <w:sz w:val="15"/>
                <w:szCs w:val="15"/>
                <w:color w:val="auto"/>
              </w:rPr>
            </w:pPr>
          </w:p>
        </w:tc>
        <w:tc>
          <w:tcPr>
            <w:tcW w:w="200" w:type="dxa"/>
            <w:vAlign w:val="bottom"/>
            <w:tcBorders>
              <w:bottom w:val="single" w:sz="8" w:color="auto"/>
            </w:tcBorders>
            <w:shd w:val="clear" w:color="auto" w:fill="CCFFCC"/>
          </w:tcPr>
          <w:p>
            <w:pPr>
              <w:spacing w:after="0"/>
              <w:rPr>
                <w:sz w:val="15"/>
                <w:szCs w:val="15"/>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1,500,000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4560" w:type="dxa"/>
            <w:vAlign w:val="bottom"/>
            <w:gridSpan w:val="2"/>
            <w:shd w:val="clear" w:color="auto" w:fill="CCFFCC"/>
          </w:tcPr>
          <w:p>
            <w:pPr>
              <w:spacing w:after="0" w:line="126" w:lineRule="exact"/>
              <w:rPr>
                <w:sz w:val="20"/>
                <w:szCs w:val="20"/>
                <w:color w:val="auto"/>
              </w:rPr>
            </w:pPr>
            <w:r>
              <w:rPr>
                <w:rFonts w:ascii="Arial" w:cs="Arial" w:eastAsia="Arial" w:hAnsi="Arial"/>
                <w:sz w:val="14"/>
                <w:szCs w:val="14"/>
                <w:b w:val="1"/>
                <w:bCs w:val="1"/>
                <w:color w:val="auto"/>
              </w:rPr>
              <w:t>Total Investment in Equity Securities</w:t>
            </w:r>
          </w:p>
        </w:tc>
        <w:tc>
          <w:tcPr>
            <w:tcW w:w="34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b w:val="1"/>
                <w:bCs w:val="1"/>
                <w:color w:val="auto"/>
              </w:rPr>
              <w:t>(4% of net asset value at fair value)</w:t>
            </w:r>
          </w:p>
        </w:tc>
        <w:tc>
          <w:tcPr>
            <w:tcW w:w="34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220" w:type="dxa"/>
            <w:vAlign w:val="bottom"/>
            <w:tcBorders>
              <w:bottom w:val="single" w:sz="8" w:color="auto"/>
            </w:tcBorders>
            <w:shd w:val="clear" w:color="auto" w:fill="CCFFCC"/>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18,375,588</w:t>
            </w:r>
          </w:p>
        </w:tc>
        <w:tc>
          <w:tcPr>
            <w:tcW w:w="60" w:type="dxa"/>
            <w:vAlign w:val="bottom"/>
            <w:shd w:val="clear" w:color="auto" w:fill="CCFFCC"/>
          </w:tcPr>
          <w:p>
            <w:pPr>
              <w:spacing w:after="0"/>
              <w:rPr>
                <w:sz w:val="16"/>
                <w:szCs w:val="16"/>
                <w:color w:val="auto"/>
              </w:rPr>
            </w:pPr>
          </w:p>
        </w:tc>
        <w:tc>
          <w:tcPr>
            <w:tcW w:w="40" w:type="dxa"/>
            <w:vAlign w:val="bottom"/>
            <w:shd w:val="clear" w:color="auto" w:fill="CCFFCC"/>
          </w:tcPr>
          <w:p>
            <w:pPr>
              <w:spacing w:after="0"/>
              <w:rPr>
                <w:sz w:val="16"/>
                <w:szCs w:val="16"/>
                <w:color w:val="auto"/>
              </w:rPr>
            </w:pPr>
          </w:p>
        </w:tc>
        <w:tc>
          <w:tcPr>
            <w:tcW w:w="20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8,020,716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 Fund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 Equity Investments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Percentage</w:t>
            </w:r>
          </w:p>
        </w:tc>
        <w:tc>
          <w:tcPr>
            <w:tcW w:w="220" w:type="dxa"/>
            <w:vAlign w:val="bottom"/>
          </w:tcPr>
          <w:p>
            <w:pPr>
              <w:spacing w:after="0"/>
              <w:rPr>
                <w:sz w:val="14"/>
                <w:szCs w:val="14"/>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4580" w:type="dxa"/>
            <w:vAlign w:val="bottom"/>
            <w:gridSpan w:val="3"/>
            <w:vMerge w:val="continue"/>
          </w:tcPr>
          <w:p>
            <w:pPr>
              <w:spacing w:after="0"/>
              <w:rPr>
                <w:sz w:val="14"/>
                <w:szCs w:val="14"/>
                <w:color w:val="auto"/>
              </w:rPr>
            </w:pPr>
          </w:p>
        </w:tc>
        <w:tc>
          <w:tcPr>
            <w:tcW w:w="3560" w:type="dxa"/>
            <w:vAlign w:val="bottom"/>
            <w:gridSpan w:val="2"/>
            <w:vMerge w:val="continue"/>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Interest</w:t>
            </w:r>
          </w:p>
        </w:tc>
        <w:tc>
          <w:tcPr>
            <w:tcW w:w="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40" w:type="dxa"/>
            <w:vAlign w:val="bottom"/>
            <w:tcBorders>
              <w:top w:val="single" w:sz="8" w:color="auto"/>
            </w:tcBorders>
            <w:shd w:val="clear" w:color="auto" w:fill="CCFFCC"/>
          </w:tcPr>
          <w:p>
            <w:pPr>
              <w:spacing w:after="0" w:line="183" w:lineRule="exact"/>
              <w:rPr>
                <w:sz w:val="20"/>
                <w:szCs w:val="20"/>
                <w:color w:val="auto"/>
              </w:rPr>
            </w:pPr>
            <w:r>
              <w:rPr>
                <w:rFonts w:ascii="Arial" w:cs="Arial" w:eastAsia="Arial" w:hAnsi="Arial"/>
                <w:sz w:val="13"/>
                <w:szCs w:val="13"/>
                <w:color w:val="auto"/>
              </w:rPr>
              <w:t>Grant Grove CLO, Ltd.</w:t>
            </w:r>
            <w:r>
              <w:rPr>
                <w:rFonts w:ascii="Arial" w:cs="Arial" w:eastAsia="Arial" w:hAnsi="Arial"/>
                <w:sz w:val="21"/>
                <w:szCs w:val="21"/>
                <w:color w:val="auto"/>
                <w:vertAlign w:val="superscript"/>
              </w:rPr>
              <w:t>3</w:t>
            </w:r>
          </w:p>
        </w:tc>
        <w:tc>
          <w:tcPr>
            <w:tcW w:w="120" w:type="dxa"/>
            <w:vAlign w:val="bottom"/>
            <w:tcBorders>
              <w:top w:val="single" w:sz="8" w:color="CCFFCC"/>
            </w:tcBorders>
            <w:shd w:val="clear" w:color="auto" w:fill="CCFFCC"/>
          </w:tcPr>
          <w:p>
            <w:pPr>
              <w:spacing w:after="0"/>
              <w:rPr>
                <w:sz w:val="15"/>
                <w:szCs w:val="15"/>
                <w:color w:val="auto"/>
              </w:rPr>
            </w:pPr>
          </w:p>
        </w:tc>
        <w:tc>
          <w:tcPr>
            <w:tcW w:w="34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4"/>
                <w:szCs w:val="14"/>
                <w:color w:val="auto"/>
              </w:rPr>
              <w:t>Subordinated Securities</w:t>
            </w:r>
          </w:p>
        </w:tc>
        <w:tc>
          <w:tcPr>
            <w:tcW w:w="120" w:type="dxa"/>
            <w:vAlign w:val="bottom"/>
            <w:tcBorders>
              <w:top w:val="single" w:sz="8" w:color="CCFFCC"/>
            </w:tcBorders>
            <w:shd w:val="clear" w:color="auto" w:fill="CCFFCC"/>
          </w:tcPr>
          <w:p>
            <w:pPr>
              <w:spacing w:after="0"/>
              <w:rPr>
                <w:sz w:val="15"/>
                <w:szCs w:val="15"/>
                <w:color w:val="auto"/>
              </w:rPr>
            </w:pP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Borders>
              <w:top w:val="single" w:sz="8" w:color="CCFFCC"/>
            </w:tcBorders>
            <w:shd w:val="clear" w:color="auto" w:fill="CCFFCC"/>
          </w:tcPr>
          <w:p>
            <w:pPr>
              <w:spacing w:after="0"/>
              <w:rPr>
                <w:sz w:val="15"/>
                <w:szCs w:val="15"/>
                <w:color w:val="auto"/>
              </w:rPr>
            </w:pPr>
          </w:p>
        </w:tc>
        <w:tc>
          <w:tcPr>
            <w:tcW w:w="220" w:type="dxa"/>
            <w:vAlign w:val="bottom"/>
            <w:tcBorders>
              <w:top w:val="single" w:sz="8" w:color="auto"/>
            </w:tcBorders>
            <w:shd w:val="clear" w:color="auto" w:fill="CCFFCC"/>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4,925,009</w:t>
            </w:r>
          </w:p>
        </w:tc>
        <w:tc>
          <w:tcPr>
            <w:tcW w:w="60" w:type="dxa"/>
            <w:vAlign w:val="bottom"/>
            <w:tcBorders>
              <w:top w:val="single" w:sz="8" w:color="CCFFCC"/>
            </w:tcBorders>
            <w:shd w:val="clear" w:color="auto" w:fill="CCFFCC"/>
          </w:tcPr>
          <w:p>
            <w:pPr>
              <w:spacing w:after="0"/>
              <w:rPr>
                <w:sz w:val="15"/>
                <w:szCs w:val="15"/>
                <w:color w:val="auto"/>
              </w:rPr>
            </w:pPr>
          </w:p>
        </w:tc>
        <w:tc>
          <w:tcPr>
            <w:tcW w:w="40" w:type="dxa"/>
            <w:vAlign w:val="bottom"/>
            <w:tcBorders>
              <w:top w:val="single" w:sz="8" w:color="CCFFCC"/>
            </w:tcBorders>
            <w:shd w:val="clear" w:color="auto" w:fill="CCFFCC"/>
          </w:tcPr>
          <w:p>
            <w:pPr>
              <w:spacing w:after="0"/>
              <w:rPr>
                <w:sz w:val="15"/>
                <w:szCs w:val="15"/>
                <w:color w:val="auto"/>
              </w:rPr>
            </w:pPr>
          </w:p>
        </w:tc>
        <w:tc>
          <w:tcPr>
            <w:tcW w:w="200" w:type="dxa"/>
            <w:vAlign w:val="bottom"/>
            <w:tcBorders>
              <w:top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3,124,924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gridSpan w:val="2"/>
          </w:tcPr>
          <w:p>
            <w:pPr>
              <w:spacing w:after="0" w:line="189" w:lineRule="exact"/>
              <w:rPr>
                <w:sz w:val="20"/>
                <w:szCs w:val="20"/>
                <w:color w:val="auto"/>
              </w:rPr>
            </w:pPr>
            <w:r>
              <w:rPr>
                <w:rFonts w:ascii="Arial" w:cs="Arial" w:eastAsia="Arial" w:hAnsi="Arial"/>
                <w:sz w:val="13"/>
                <w:szCs w:val="13"/>
                <w:color w:val="auto"/>
              </w:rPr>
              <w:t>Katonah III, Ltd.</w:t>
            </w:r>
            <w:r>
              <w:rPr>
                <w:rFonts w:ascii="Arial" w:cs="Arial" w:eastAsia="Arial" w:hAnsi="Arial"/>
                <w:sz w:val="21"/>
                <w:szCs w:val="21"/>
                <w:color w:val="auto"/>
                <w:vertAlign w:val="superscript"/>
              </w:rPr>
              <w:t>3, 11</w:t>
            </w:r>
          </w:p>
        </w:tc>
        <w:tc>
          <w:tcPr>
            <w:tcW w:w="3560" w:type="dxa"/>
            <w:vAlign w:val="bottom"/>
            <w:gridSpan w:val="2"/>
          </w:tcPr>
          <w:p>
            <w:pPr>
              <w:spacing w:after="0"/>
              <w:rPr>
                <w:sz w:val="20"/>
                <w:szCs w:val="20"/>
                <w:color w:val="auto"/>
              </w:rPr>
            </w:pPr>
            <w:r>
              <w:rPr>
                <w:rFonts w:ascii="Arial" w:cs="Arial" w:eastAsia="Arial" w:hAnsi="Arial"/>
                <w:sz w:val="14"/>
                <w:szCs w:val="14"/>
                <w:color w:val="auto"/>
              </w:rPr>
              <w:t>Preferred Shares</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23.1%</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2,242,014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600,000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gridSpan w:val="2"/>
            <w:shd w:val="clear" w:color="auto" w:fill="CCFFCC"/>
          </w:tcPr>
          <w:p>
            <w:pPr>
              <w:spacing w:after="0" w:line="189" w:lineRule="exact"/>
              <w:rPr>
                <w:sz w:val="20"/>
                <w:szCs w:val="20"/>
                <w:color w:val="auto"/>
              </w:rPr>
            </w:pPr>
            <w:r>
              <w:rPr>
                <w:rFonts w:ascii="Arial" w:cs="Arial" w:eastAsia="Arial" w:hAnsi="Arial"/>
                <w:sz w:val="13"/>
                <w:szCs w:val="13"/>
                <w:color w:val="auto"/>
              </w:rPr>
              <w:t>Katonah V, Ltd.</w:t>
            </w:r>
            <w:r>
              <w:rPr>
                <w:rFonts w:ascii="Arial" w:cs="Arial" w:eastAsia="Arial" w:hAnsi="Arial"/>
                <w:sz w:val="21"/>
                <w:szCs w:val="21"/>
                <w:color w:val="auto"/>
                <w:vertAlign w:val="superscript"/>
              </w:rPr>
              <w:t>3, 11</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Preferred Shares</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26.7%</w:t>
            </w:r>
          </w:p>
        </w:tc>
        <w:tc>
          <w:tcPr>
            <w:tcW w:w="220" w:type="dxa"/>
            <w:vAlign w:val="bottom"/>
            <w:shd w:val="clear" w:color="auto" w:fill="CCFFCC"/>
          </w:tcPr>
          <w:p>
            <w:pPr>
              <w:spacing w:after="0"/>
              <w:rPr>
                <w:sz w:val="16"/>
                <w:szCs w:val="16"/>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3,320,000</w:t>
            </w:r>
          </w:p>
        </w:tc>
        <w:tc>
          <w:tcPr>
            <w:tcW w:w="60" w:type="dxa"/>
            <w:vAlign w:val="bottom"/>
            <w:shd w:val="clear" w:color="auto" w:fill="CCFFCC"/>
          </w:tcPr>
          <w:p>
            <w:pPr>
              <w:spacing w:after="0"/>
              <w:rPr>
                <w:sz w:val="16"/>
                <w:szCs w:val="16"/>
                <w:color w:val="auto"/>
              </w:rPr>
            </w:pPr>
          </w:p>
        </w:tc>
        <w:tc>
          <w:tcPr>
            <w:tcW w:w="4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gridSpan w:val="2"/>
          </w:tcPr>
          <w:p>
            <w:pPr>
              <w:spacing w:after="0" w:line="189" w:lineRule="exact"/>
              <w:rPr>
                <w:sz w:val="20"/>
                <w:szCs w:val="20"/>
                <w:color w:val="auto"/>
              </w:rPr>
            </w:pPr>
            <w:r>
              <w:rPr>
                <w:rFonts w:ascii="Arial" w:cs="Arial" w:eastAsia="Arial" w:hAnsi="Arial"/>
                <w:sz w:val="13"/>
                <w:szCs w:val="13"/>
                <w:color w:val="auto"/>
              </w:rPr>
              <w:t>Katonah VII CLO Ltd.</w:t>
            </w:r>
            <w:r>
              <w:rPr>
                <w:rFonts w:ascii="Arial" w:cs="Arial" w:eastAsia="Arial" w:hAnsi="Arial"/>
                <w:sz w:val="21"/>
                <w:szCs w:val="21"/>
                <w:color w:val="auto"/>
                <w:vertAlign w:val="superscript"/>
              </w:rPr>
              <w:t>3, 7</w:t>
            </w:r>
          </w:p>
        </w:tc>
        <w:tc>
          <w:tcPr>
            <w:tcW w:w="3560" w:type="dxa"/>
            <w:vAlign w:val="bottom"/>
            <w:gridSpan w:val="2"/>
          </w:tcPr>
          <w:p>
            <w:pPr>
              <w:spacing w:after="0"/>
              <w:rPr>
                <w:sz w:val="20"/>
                <w:szCs w:val="20"/>
                <w:color w:val="auto"/>
              </w:rPr>
            </w:pPr>
            <w:r>
              <w:rPr>
                <w:rFonts w:ascii="Arial" w:cs="Arial" w:eastAsia="Arial" w:hAnsi="Arial"/>
                <w:sz w:val="14"/>
                <w:szCs w:val="14"/>
                <w:color w:val="auto"/>
              </w:rPr>
              <w:t>Subordinated Securities</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16.4%</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4,574,393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2,120,168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gridSpan w:val="2"/>
            <w:shd w:val="clear" w:color="auto" w:fill="CCFFCC"/>
          </w:tcPr>
          <w:p>
            <w:pPr>
              <w:spacing w:after="0" w:line="189" w:lineRule="exact"/>
              <w:rPr>
                <w:sz w:val="20"/>
                <w:szCs w:val="20"/>
                <w:color w:val="auto"/>
              </w:rPr>
            </w:pPr>
            <w:r>
              <w:rPr>
                <w:rFonts w:ascii="Arial" w:cs="Arial" w:eastAsia="Arial" w:hAnsi="Arial"/>
                <w:sz w:val="13"/>
                <w:szCs w:val="13"/>
                <w:color w:val="auto"/>
              </w:rPr>
              <w:t>Katonah VIII CLO Ltd</w:t>
            </w:r>
            <w:r>
              <w:rPr>
                <w:rFonts w:ascii="Arial" w:cs="Arial" w:eastAsia="Arial" w:hAnsi="Arial"/>
                <w:sz w:val="21"/>
                <w:szCs w:val="21"/>
                <w:color w:val="auto"/>
                <w:vertAlign w:val="superscript"/>
              </w:rPr>
              <w:t>3, 7</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Subordinated Securities</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10.3%</w:t>
            </w:r>
          </w:p>
        </w:tc>
        <w:tc>
          <w:tcPr>
            <w:tcW w:w="220" w:type="dxa"/>
            <w:vAlign w:val="bottom"/>
            <w:shd w:val="clear" w:color="auto" w:fill="CCFFCC"/>
          </w:tcPr>
          <w:p>
            <w:pPr>
              <w:spacing w:after="0"/>
              <w:rPr>
                <w:sz w:val="16"/>
                <w:szCs w:val="16"/>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3,450,705</w:t>
            </w:r>
          </w:p>
        </w:tc>
        <w:tc>
          <w:tcPr>
            <w:tcW w:w="60" w:type="dxa"/>
            <w:vAlign w:val="bottom"/>
            <w:shd w:val="clear" w:color="auto" w:fill="CCFFCC"/>
          </w:tcPr>
          <w:p>
            <w:pPr>
              <w:spacing w:after="0"/>
              <w:rPr>
                <w:sz w:val="16"/>
                <w:szCs w:val="16"/>
                <w:color w:val="auto"/>
              </w:rPr>
            </w:pPr>
          </w:p>
        </w:tc>
        <w:tc>
          <w:tcPr>
            <w:tcW w:w="4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2,171,998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gridSpan w:val="2"/>
          </w:tcPr>
          <w:p>
            <w:pPr>
              <w:spacing w:after="0" w:line="189" w:lineRule="exact"/>
              <w:rPr>
                <w:sz w:val="20"/>
                <w:szCs w:val="20"/>
                <w:color w:val="auto"/>
              </w:rPr>
            </w:pPr>
            <w:r>
              <w:rPr>
                <w:rFonts w:ascii="Arial" w:cs="Arial" w:eastAsia="Arial" w:hAnsi="Arial"/>
                <w:sz w:val="13"/>
                <w:szCs w:val="13"/>
                <w:color w:val="auto"/>
              </w:rPr>
              <w:t>Katonah IX CLO Ltd</w:t>
            </w:r>
            <w:r>
              <w:rPr>
                <w:rFonts w:ascii="Arial" w:cs="Arial" w:eastAsia="Arial" w:hAnsi="Arial"/>
                <w:sz w:val="21"/>
                <w:szCs w:val="21"/>
                <w:color w:val="auto"/>
                <w:vertAlign w:val="superscript"/>
              </w:rPr>
              <w:t>3, 7</w:t>
            </w:r>
          </w:p>
        </w:tc>
        <w:tc>
          <w:tcPr>
            <w:tcW w:w="3560" w:type="dxa"/>
            <w:vAlign w:val="bottom"/>
            <w:gridSpan w:val="2"/>
          </w:tcPr>
          <w:p>
            <w:pPr>
              <w:spacing w:after="0"/>
              <w:rPr>
                <w:sz w:val="20"/>
                <w:szCs w:val="20"/>
                <w:color w:val="auto"/>
              </w:rPr>
            </w:pPr>
            <w:r>
              <w:rPr>
                <w:rFonts w:ascii="Arial" w:cs="Arial" w:eastAsia="Arial" w:hAnsi="Arial"/>
                <w:sz w:val="14"/>
                <w:szCs w:val="14"/>
                <w:color w:val="auto"/>
              </w:rPr>
              <w:t>Preferred Shares</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6.9%</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2,082,987</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1,488,895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gridSpan w:val="2"/>
            <w:shd w:val="clear" w:color="auto" w:fill="CCFFCC"/>
          </w:tcPr>
          <w:p>
            <w:pPr>
              <w:spacing w:after="0" w:line="189" w:lineRule="exact"/>
              <w:rPr>
                <w:sz w:val="20"/>
                <w:szCs w:val="20"/>
                <w:color w:val="auto"/>
              </w:rPr>
            </w:pPr>
            <w:r>
              <w:rPr>
                <w:rFonts w:ascii="Arial" w:cs="Arial" w:eastAsia="Arial" w:hAnsi="Arial"/>
                <w:sz w:val="13"/>
                <w:szCs w:val="13"/>
                <w:color w:val="auto"/>
              </w:rPr>
              <w:t xml:space="preserve">Katonah X CLO Ltd </w:t>
            </w:r>
            <w:r>
              <w:rPr>
                <w:rFonts w:ascii="Arial" w:cs="Arial" w:eastAsia="Arial" w:hAnsi="Arial"/>
                <w:sz w:val="21"/>
                <w:szCs w:val="21"/>
                <w:color w:val="auto"/>
                <w:vertAlign w:val="superscript"/>
              </w:rPr>
              <w:t>3, 7</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Subordinated Securities</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33.3%</w:t>
            </w:r>
          </w:p>
        </w:tc>
        <w:tc>
          <w:tcPr>
            <w:tcW w:w="220" w:type="dxa"/>
            <w:vAlign w:val="bottom"/>
            <w:shd w:val="clear" w:color="auto" w:fill="CCFFCC"/>
          </w:tcPr>
          <w:p>
            <w:pPr>
              <w:spacing w:after="0"/>
              <w:rPr>
                <w:sz w:val="16"/>
                <w:szCs w:val="16"/>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11,934,600</w:t>
            </w:r>
          </w:p>
        </w:tc>
        <w:tc>
          <w:tcPr>
            <w:tcW w:w="4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9,455,511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gridSpan w:val="2"/>
          </w:tcPr>
          <w:p>
            <w:pPr>
              <w:spacing w:after="0" w:line="189" w:lineRule="exact"/>
              <w:rPr>
                <w:sz w:val="20"/>
                <w:szCs w:val="20"/>
                <w:color w:val="auto"/>
              </w:rPr>
            </w:pPr>
            <w:r>
              <w:rPr>
                <w:rFonts w:ascii="Arial" w:cs="Arial" w:eastAsia="Arial" w:hAnsi="Arial"/>
                <w:sz w:val="13"/>
                <w:szCs w:val="13"/>
                <w:color w:val="auto"/>
              </w:rPr>
              <w:t>Katonah 2007-I CLO Ltd.</w:t>
            </w:r>
            <w:r>
              <w:rPr>
                <w:rFonts w:ascii="Arial" w:cs="Arial" w:eastAsia="Arial" w:hAnsi="Arial"/>
                <w:sz w:val="21"/>
                <w:szCs w:val="21"/>
                <w:color w:val="auto"/>
                <w:vertAlign w:val="superscript"/>
              </w:rPr>
              <w:t>3, 7</w:t>
            </w:r>
          </w:p>
        </w:tc>
        <w:tc>
          <w:tcPr>
            <w:tcW w:w="3560" w:type="dxa"/>
            <w:vAlign w:val="bottom"/>
            <w:gridSpan w:val="2"/>
          </w:tcPr>
          <w:p>
            <w:pPr>
              <w:spacing w:after="0"/>
              <w:rPr>
                <w:sz w:val="20"/>
                <w:szCs w:val="20"/>
                <w:color w:val="auto"/>
              </w:rPr>
            </w:pPr>
            <w:r>
              <w:rPr>
                <w:rFonts w:ascii="Arial" w:cs="Arial" w:eastAsia="Arial" w:hAnsi="Arial"/>
                <w:sz w:val="14"/>
                <w:szCs w:val="14"/>
                <w:color w:val="auto"/>
              </w:rPr>
              <w:t>Preferred Shares</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100.0%</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31,189,147</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30,091,886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gridSpan w:val="2"/>
            <w:shd w:val="clear" w:color="auto" w:fill="CCFFCC"/>
          </w:tcPr>
          <w:p>
            <w:pPr>
              <w:spacing w:after="0" w:line="189" w:lineRule="exact"/>
              <w:rPr>
                <w:sz w:val="20"/>
                <w:szCs w:val="20"/>
                <w:color w:val="auto"/>
              </w:rPr>
            </w:pPr>
            <w:r>
              <w:rPr>
                <w:rFonts w:ascii="Arial" w:cs="Arial" w:eastAsia="Arial" w:hAnsi="Arial"/>
                <w:sz w:val="13"/>
                <w:szCs w:val="13"/>
                <w:color w:val="auto"/>
              </w:rPr>
              <w:t>Trimaran CLO IV, Ltd.</w:t>
            </w:r>
            <w:r>
              <w:rPr>
                <w:rFonts w:ascii="Arial" w:cs="Arial" w:eastAsia="Arial" w:hAnsi="Arial"/>
                <w:sz w:val="21"/>
                <w:szCs w:val="21"/>
                <w:color w:val="auto"/>
                <w:vertAlign w:val="superscript"/>
              </w:rPr>
              <w:t>3, 7</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Preferred Shares</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19.0%</w:t>
            </w:r>
          </w:p>
        </w:tc>
        <w:tc>
          <w:tcPr>
            <w:tcW w:w="220" w:type="dxa"/>
            <w:vAlign w:val="bottom"/>
            <w:shd w:val="clear" w:color="auto" w:fill="CCFFCC"/>
          </w:tcPr>
          <w:p>
            <w:pPr>
              <w:spacing w:after="0"/>
              <w:rPr>
                <w:sz w:val="16"/>
                <w:szCs w:val="16"/>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3,616,600</w:t>
            </w:r>
          </w:p>
        </w:tc>
        <w:tc>
          <w:tcPr>
            <w:tcW w:w="60" w:type="dxa"/>
            <w:vAlign w:val="bottom"/>
            <w:shd w:val="clear" w:color="auto" w:fill="CCFFCC"/>
          </w:tcPr>
          <w:p>
            <w:pPr>
              <w:spacing w:after="0"/>
              <w:rPr>
                <w:sz w:val="16"/>
                <w:szCs w:val="16"/>
                <w:color w:val="auto"/>
              </w:rPr>
            </w:pPr>
          </w:p>
        </w:tc>
        <w:tc>
          <w:tcPr>
            <w:tcW w:w="4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3,575,571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gridSpan w:val="2"/>
          </w:tcPr>
          <w:p>
            <w:pPr>
              <w:spacing w:after="0" w:line="189" w:lineRule="exact"/>
              <w:rPr>
                <w:sz w:val="20"/>
                <w:szCs w:val="20"/>
                <w:color w:val="auto"/>
              </w:rPr>
            </w:pPr>
            <w:r>
              <w:rPr>
                <w:rFonts w:ascii="Arial" w:cs="Arial" w:eastAsia="Arial" w:hAnsi="Arial"/>
                <w:sz w:val="13"/>
                <w:szCs w:val="13"/>
                <w:color w:val="auto"/>
              </w:rPr>
              <w:t>Trimaran CLO V, Ltd.</w:t>
            </w:r>
            <w:r>
              <w:rPr>
                <w:rFonts w:ascii="Arial" w:cs="Arial" w:eastAsia="Arial" w:hAnsi="Arial"/>
                <w:sz w:val="21"/>
                <w:szCs w:val="21"/>
                <w:color w:val="auto"/>
                <w:vertAlign w:val="superscript"/>
              </w:rPr>
              <w:t>3, 7</w:t>
            </w:r>
          </w:p>
        </w:tc>
        <w:tc>
          <w:tcPr>
            <w:tcW w:w="3560" w:type="dxa"/>
            <w:vAlign w:val="bottom"/>
            <w:gridSpan w:val="2"/>
          </w:tcPr>
          <w:p>
            <w:pPr>
              <w:spacing w:after="0"/>
              <w:rPr>
                <w:sz w:val="20"/>
                <w:szCs w:val="20"/>
                <w:color w:val="auto"/>
              </w:rPr>
            </w:pPr>
            <w:r>
              <w:rPr>
                <w:rFonts w:ascii="Arial" w:cs="Arial" w:eastAsia="Arial" w:hAnsi="Arial"/>
                <w:sz w:val="14"/>
                <w:szCs w:val="14"/>
                <w:color w:val="auto"/>
              </w:rPr>
              <w:t>Subordinate Notes</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20.8%</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2,757,100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2,930,004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gridSpan w:val="2"/>
            <w:shd w:val="clear" w:color="auto" w:fill="CCFFCC"/>
          </w:tcPr>
          <w:p>
            <w:pPr>
              <w:spacing w:after="0" w:line="189" w:lineRule="exact"/>
              <w:rPr>
                <w:sz w:val="20"/>
                <w:szCs w:val="20"/>
                <w:color w:val="auto"/>
              </w:rPr>
            </w:pPr>
            <w:r>
              <w:rPr>
                <w:rFonts w:ascii="Arial" w:cs="Arial" w:eastAsia="Arial" w:hAnsi="Arial"/>
                <w:sz w:val="13"/>
                <w:szCs w:val="13"/>
                <w:color w:val="auto"/>
              </w:rPr>
              <w:t>Trimaran CLO VI, Ltd.</w:t>
            </w:r>
            <w:r>
              <w:rPr>
                <w:rFonts w:ascii="Arial" w:cs="Arial" w:eastAsia="Arial" w:hAnsi="Arial"/>
                <w:sz w:val="21"/>
                <w:szCs w:val="21"/>
                <w:color w:val="auto"/>
                <w:vertAlign w:val="superscript"/>
              </w:rPr>
              <w:t>3, 7</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Income Notes</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16.2%</w:t>
            </w:r>
          </w:p>
        </w:tc>
        <w:tc>
          <w:tcPr>
            <w:tcW w:w="220" w:type="dxa"/>
            <w:vAlign w:val="bottom"/>
            <w:shd w:val="clear" w:color="auto" w:fill="CCFFCC"/>
          </w:tcPr>
          <w:p>
            <w:pPr>
              <w:spacing w:after="0"/>
              <w:rPr>
                <w:sz w:val="16"/>
                <w:szCs w:val="16"/>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2,894,700</w:t>
            </w:r>
          </w:p>
        </w:tc>
        <w:tc>
          <w:tcPr>
            <w:tcW w:w="60" w:type="dxa"/>
            <w:vAlign w:val="bottom"/>
            <w:shd w:val="clear" w:color="auto" w:fill="CCFFCC"/>
          </w:tcPr>
          <w:p>
            <w:pPr>
              <w:spacing w:after="0"/>
              <w:rPr>
                <w:sz w:val="16"/>
                <w:szCs w:val="16"/>
                <w:color w:val="auto"/>
              </w:rPr>
            </w:pPr>
          </w:p>
        </w:tc>
        <w:tc>
          <w:tcPr>
            <w:tcW w:w="4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2,936,626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gridSpan w:val="2"/>
          </w:tcPr>
          <w:p>
            <w:pPr>
              <w:spacing w:after="0" w:line="189" w:lineRule="exact"/>
              <w:rPr>
                <w:sz w:val="20"/>
                <w:szCs w:val="20"/>
                <w:color w:val="auto"/>
              </w:rPr>
            </w:pPr>
            <w:r>
              <w:rPr>
                <w:rFonts w:ascii="Arial" w:cs="Arial" w:eastAsia="Arial" w:hAnsi="Arial"/>
                <w:sz w:val="13"/>
                <w:szCs w:val="13"/>
                <w:color w:val="auto"/>
              </w:rPr>
              <w:t>Trimaran CLO VII, Ltd.</w:t>
            </w:r>
            <w:r>
              <w:rPr>
                <w:rFonts w:ascii="Arial" w:cs="Arial" w:eastAsia="Arial" w:hAnsi="Arial"/>
                <w:sz w:val="21"/>
                <w:szCs w:val="21"/>
                <w:color w:val="auto"/>
                <w:vertAlign w:val="superscript"/>
              </w:rPr>
              <w:t>3, 7</w:t>
            </w:r>
          </w:p>
        </w:tc>
        <w:tc>
          <w:tcPr>
            <w:tcW w:w="3560" w:type="dxa"/>
            <w:vAlign w:val="bottom"/>
            <w:gridSpan w:val="2"/>
          </w:tcPr>
          <w:p>
            <w:pPr>
              <w:spacing w:after="0"/>
              <w:rPr>
                <w:sz w:val="20"/>
                <w:szCs w:val="20"/>
                <w:color w:val="auto"/>
              </w:rPr>
            </w:pPr>
            <w:r>
              <w:rPr>
                <w:rFonts w:ascii="Arial" w:cs="Arial" w:eastAsia="Arial" w:hAnsi="Arial"/>
                <w:sz w:val="14"/>
                <w:szCs w:val="14"/>
                <w:color w:val="auto"/>
              </w:rPr>
              <w:t>Income Notes</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10.5%</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3,146,900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3,357,924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gridSpan w:val="2"/>
            <w:shd w:val="clear" w:color="auto" w:fill="CCFFCC"/>
          </w:tcPr>
          <w:p>
            <w:pPr>
              <w:spacing w:after="0" w:line="202" w:lineRule="exact"/>
              <w:rPr>
                <w:sz w:val="20"/>
                <w:szCs w:val="20"/>
                <w:color w:val="auto"/>
              </w:rPr>
            </w:pPr>
            <w:r>
              <w:rPr>
                <w:rFonts w:ascii="Arial" w:cs="Arial" w:eastAsia="Arial" w:hAnsi="Arial"/>
                <w:sz w:val="14"/>
                <w:szCs w:val="14"/>
                <w:color w:val="auto"/>
              </w:rPr>
              <w:t>Catamaran CLO 2012-1 Ltd.</w:t>
            </w:r>
            <w:r>
              <w:rPr>
                <w:rFonts w:ascii="Arial" w:cs="Arial" w:eastAsia="Arial" w:hAnsi="Arial"/>
                <w:sz w:val="23"/>
                <w:szCs w:val="23"/>
                <w:color w:val="auto"/>
                <w:vertAlign w:val="superscript"/>
              </w:rPr>
              <w:t>3, 7</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Subordinated Notes</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24.9%</w:t>
            </w:r>
          </w:p>
        </w:tc>
        <w:tc>
          <w:tcPr>
            <w:tcW w:w="220" w:type="dxa"/>
            <w:vAlign w:val="bottom"/>
            <w:tcBorders>
              <w:bottom w:val="single" w:sz="8" w:color="auto"/>
            </w:tcBorders>
            <w:shd w:val="clear" w:color="auto" w:fill="CCFFCC"/>
          </w:tcPr>
          <w:p>
            <w:pPr>
              <w:spacing w:after="0"/>
              <w:rPr>
                <w:sz w:val="17"/>
                <w:szCs w:val="17"/>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8,982,400</w:t>
            </w:r>
          </w:p>
        </w:tc>
        <w:tc>
          <w:tcPr>
            <w:tcW w:w="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200" w:type="dxa"/>
            <w:vAlign w:val="bottom"/>
            <w:tcBorders>
              <w:bottom w:val="single" w:sz="8" w:color="auto"/>
            </w:tcBorders>
            <w:shd w:val="clear" w:color="auto" w:fill="CCFFCC"/>
          </w:tcPr>
          <w:p>
            <w:pPr>
              <w:spacing w:after="0"/>
              <w:rPr>
                <w:sz w:val="17"/>
                <w:szCs w:val="17"/>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8,493,000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rPr>
                <w:sz w:val="20"/>
                <w:szCs w:val="20"/>
                <w:color w:val="auto"/>
              </w:rPr>
            </w:pPr>
            <w:r>
              <w:rPr>
                <w:rFonts w:ascii="Arial" w:cs="Arial" w:eastAsia="Arial" w:hAnsi="Arial"/>
                <w:sz w:val="14"/>
                <w:szCs w:val="14"/>
                <w:b w:val="1"/>
                <w:bCs w:val="1"/>
                <w:color w:val="auto"/>
              </w:rPr>
              <w:t>Total Investment in CLO Equity Securities</w:t>
            </w:r>
          </w:p>
        </w:tc>
        <w:tc>
          <w:tcPr>
            <w:tcW w:w="34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tcBorders>
              <w:bottom w:val="single" w:sz="8" w:color="auto"/>
            </w:tcBorders>
            <w:shd w:val="clear" w:color="auto" w:fill="CCFFCC"/>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85,116,555</w:t>
            </w: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70,347,507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CLO Rated-Note Investment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w:t>
            </w:r>
          </w:p>
        </w:tc>
        <w:tc>
          <w:tcPr>
            <w:tcW w:w="1360" w:type="dxa"/>
            <w:vAlign w:val="bottom"/>
            <w:gridSpan w:val="3"/>
          </w:tcPr>
          <w:p>
            <w:pPr>
              <w:jc w:val="right"/>
              <w:ind w:right="428"/>
              <w:spacing w:after="0"/>
              <w:rPr>
                <w:sz w:val="20"/>
                <w:szCs w:val="20"/>
                <w:color w:val="auto"/>
              </w:rPr>
            </w:pPr>
            <w:r>
              <w:rPr>
                <w:rFonts w:ascii="Arial" w:cs="Arial" w:eastAsia="Arial" w:hAnsi="Arial"/>
                <w:sz w:val="14"/>
                <w:szCs w:val="14"/>
                <w:b w:val="1"/>
                <w:bCs w:val="1"/>
                <w:color w:val="auto"/>
              </w:rPr>
              <w:t>Percentage</w:t>
            </w:r>
          </w:p>
        </w:tc>
        <w:tc>
          <w:tcPr>
            <w:tcW w:w="9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4580" w:type="dxa"/>
            <w:vAlign w:val="bottom"/>
            <w:gridSpan w:val="3"/>
            <w:vMerge w:val="continue"/>
          </w:tcPr>
          <w:p>
            <w:pPr>
              <w:spacing w:after="0"/>
              <w:rPr>
                <w:sz w:val="14"/>
                <w:szCs w:val="14"/>
                <w:color w:val="auto"/>
              </w:rPr>
            </w:pPr>
          </w:p>
        </w:tc>
        <w:tc>
          <w:tcPr>
            <w:tcW w:w="3560" w:type="dxa"/>
            <w:vAlign w:val="bottom"/>
            <w:gridSpan w:val="2"/>
            <w:vMerge w:val="continue"/>
          </w:tcPr>
          <w:p>
            <w:pPr>
              <w:spacing w:after="0"/>
              <w:rPr>
                <w:sz w:val="14"/>
                <w:szCs w:val="14"/>
                <w:color w:val="auto"/>
              </w:rPr>
            </w:pPr>
          </w:p>
        </w:tc>
        <w:tc>
          <w:tcPr>
            <w:tcW w:w="1360" w:type="dxa"/>
            <w:vAlign w:val="bottom"/>
            <w:gridSpan w:val="3"/>
          </w:tcPr>
          <w:p>
            <w:pPr>
              <w:jc w:val="right"/>
              <w:ind w:right="528"/>
              <w:spacing w:after="0"/>
              <w:rPr>
                <w:sz w:val="20"/>
                <w:szCs w:val="20"/>
                <w:color w:val="auto"/>
              </w:rPr>
            </w:pPr>
            <w:r>
              <w:rPr>
                <w:rFonts w:ascii="Arial" w:cs="Arial" w:eastAsia="Arial" w:hAnsi="Arial"/>
                <w:sz w:val="14"/>
                <w:szCs w:val="14"/>
                <w:b w:val="1"/>
                <w:bCs w:val="1"/>
                <w:color w:val="auto"/>
              </w:rPr>
              <w:t>Interest</w:t>
            </w:r>
          </w:p>
        </w:tc>
        <w:tc>
          <w:tcPr>
            <w:tcW w:w="9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40" w:type="dxa"/>
            <w:vAlign w:val="bottom"/>
            <w:tcBorders>
              <w:top w:val="single" w:sz="8" w:color="auto"/>
            </w:tcBorders>
            <w:shd w:val="clear" w:color="auto" w:fill="CCFFCC"/>
          </w:tcPr>
          <w:p>
            <w:pPr>
              <w:spacing w:after="0" w:line="156" w:lineRule="exact"/>
              <w:rPr>
                <w:sz w:val="20"/>
                <w:szCs w:val="20"/>
                <w:color w:val="auto"/>
              </w:rPr>
            </w:pPr>
            <w:r>
              <w:rPr>
                <w:rFonts w:ascii="Arial" w:cs="Arial" w:eastAsia="Arial" w:hAnsi="Arial"/>
                <w:sz w:val="12"/>
                <w:szCs w:val="12"/>
                <w:color w:val="auto"/>
              </w:rPr>
              <w:t>Katonah 2007-I CLO Ltd.</w:t>
            </w:r>
            <w:r>
              <w:rPr>
                <w:rFonts w:ascii="Arial" w:cs="Arial" w:eastAsia="Arial" w:hAnsi="Arial"/>
                <w:sz w:val="18"/>
                <w:szCs w:val="18"/>
                <w:color w:val="auto"/>
                <w:vertAlign w:val="superscript"/>
              </w:rPr>
              <w:t>3, 7</w:t>
            </w:r>
          </w:p>
        </w:tc>
        <w:tc>
          <w:tcPr>
            <w:tcW w:w="120" w:type="dxa"/>
            <w:vAlign w:val="bottom"/>
            <w:tcBorders>
              <w:top w:val="single" w:sz="8" w:color="CCFFCC"/>
            </w:tcBorders>
            <w:shd w:val="clear" w:color="auto" w:fill="CCFFCC"/>
          </w:tcPr>
          <w:p>
            <w:pPr>
              <w:spacing w:after="0"/>
              <w:rPr>
                <w:sz w:val="13"/>
                <w:szCs w:val="13"/>
                <w:color w:val="auto"/>
              </w:rPr>
            </w:pPr>
          </w:p>
        </w:tc>
        <w:tc>
          <w:tcPr>
            <w:tcW w:w="3440" w:type="dxa"/>
            <w:vAlign w:val="bottom"/>
            <w:tcBorders>
              <w:top w:val="single" w:sz="8" w:color="auto"/>
            </w:tcBorders>
            <w:shd w:val="clear" w:color="auto" w:fill="CCFFCC"/>
          </w:tcPr>
          <w:p>
            <w:pPr>
              <w:spacing w:after="0" w:line="155" w:lineRule="exact"/>
              <w:rPr>
                <w:sz w:val="20"/>
                <w:szCs w:val="20"/>
                <w:color w:val="auto"/>
              </w:rPr>
            </w:pPr>
            <w:r>
              <w:rPr>
                <w:rFonts w:ascii="Arial" w:cs="Arial" w:eastAsia="Arial" w:hAnsi="Arial"/>
                <w:sz w:val="14"/>
                <w:szCs w:val="14"/>
                <w:color w:val="auto"/>
              </w:rPr>
              <w:t>Class B-2L Notes</w:t>
            </w:r>
          </w:p>
        </w:tc>
        <w:tc>
          <w:tcPr>
            <w:tcW w:w="120" w:type="dxa"/>
            <w:vAlign w:val="bottom"/>
            <w:tcBorders>
              <w:top w:val="single" w:sz="8" w:color="CCFFCC"/>
            </w:tcBorders>
            <w:shd w:val="clear" w:color="auto" w:fill="CCFFCC"/>
          </w:tcPr>
          <w:p>
            <w:pPr>
              <w:spacing w:after="0"/>
              <w:rPr>
                <w:sz w:val="13"/>
                <w:szCs w:val="13"/>
                <w:color w:val="auto"/>
              </w:rPr>
            </w:pPr>
          </w:p>
        </w:tc>
        <w:tc>
          <w:tcPr>
            <w:tcW w:w="1040" w:type="dxa"/>
            <w:vAlign w:val="bottom"/>
            <w:tcBorders>
              <w:top w:val="single" w:sz="8" w:color="auto"/>
            </w:tcBorders>
            <w:shd w:val="clear" w:color="auto" w:fill="CCFFCC"/>
          </w:tcPr>
          <w:p>
            <w:pPr>
              <w:spacing w:after="0"/>
              <w:rPr>
                <w:sz w:val="13"/>
                <w:szCs w:val="13"/>
                <w:color w:val="auto"/>
              </w:rPr>
            </w:pPr>
          </w:p>
        </w:tc>
        <w:tc>
          <w:tcPr>
            <w:tcW w:w="100" w:type="dxa"/>
            <w:vAlign w:val="bottom"/>
            <w:tcBorders>
              <w:top w:val="single" w:sz="8" w:color="CCFFCC"/>
            </w:tcBorders>
            <w:shd w:val="clear" w:color="auto" w:fill="CCFFCC"/>
          </w:tcPr>
          <w:p>
            <w:pPr>
              <w:spacing w:after="0"/>
              <w:rPr>
                <w:sz w:val="13"/>
                <w:szCs w:val="13"/>
                <w:color w:val="auto"/>
              </w:rPr>
            </w:pPr>
          </w:p>
        </w:tc>
        <w:tc>
          <w:tcPr>
            <w:tcW w:w="220" w:type="dxa"/>
            <w:vAlign w:val="bottom"/>
            <w:tcBorders>
              <w:top w:val="single" w:sz="8" w:color="auto"/>
            </w:tcBorders>
            <w:shd w:val="clear" w:color="auto" w:fill="CCFFCC"/>
          </w:tcPr>
          <w:p>
            <w:pPr>
              <w:spacing w:after="0"/>
              <w:rPr>
                <w:sz w:val="13"/>
                <w:szCs w:val="13"/>
                <w:color w:val="auto"/>
              </w:rPr>
            </w:pPr>
          </w:p>
        </w:tc>
        <w:tc>
          <w:tcPr>
            <w:tcW w:w="800" w:type="dxa"/>
            <w:vAlign w:val="bottom"/>
            <w:tcBorders>
              <w:top w:val="single" w:sz="8" w:color="auto"/>
            </w:tcBorders>
            <w:shd w:val="clear" w:color="auto" w:fill="CCFFCC"/>
          </w:tcPr>
          <w:p>
            <w:pPr>
              <w:spacing w:after="0"/>
              <w:rPr>
                <w:sz w:val="13"/>
                <w:szCs w:val="13"/>
                <w:color w:val="auto"/>
              </w:rPr>
            </w:pPr>
          </w:p>
        </w:tc>
        <w:tc>
          <w:tcPr>
            <w:tcW w:w="100" w:type="dxa"/>
            <w:vAlign w:val="bottom"/>
            <w:tcBorders>
              <w:top w:val="single" w:sz="8" w:color="CCFFCC"/>
            </w:tcBorders>
            <w:shd w:val="clear" w:color="auto" w:fill="CCFFCC"/>
          </w:tcPr>
          <w:p>
            <w:pPr>
              <w:spacing w:after="0"/>
              <w:rPr>
                <w:sz w:val="13"/>
                <w:szCs w:val="13"/>
                <w:color w:val="auto"/>
              </w:rPr>
            </w:pPr>
          </w:p>
        </w:tc>
        <w:tc>
          <w:tcPr>
            <w:tcW w:w="200" w:type="dxa"/>
            <w:vAlign w:val="bottom"/>
            <w:tcBorders>
              <w:top w:val="single" w:sz="8" w:color="auto"/>
            </w:tcBorders>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4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560" w:type="dxa"/>
            <w:vAlign w:val="bottom"/>
            <w:gridSpan w:val="2"/>
            <w:shd w:val="clear" w:color="auto" w:fill="CCFFCC"/>
          </w:tcPr>
          <w:p>
            <w:pPr>
              <w:ind w:left="340"/>
              <w:spacing w:after="0" w:line="116" w:lineRule="exact"/>
              <w:rPr>
                <w:sz w:val="20"/>
                <w:szCs w:val="20"/>
                <w:color w:val="auto"/>
              </w:rPr>
            </w:pPr>
            <w:r>
              <w:rPr>
                <w:rFonts w:ascii="Arial" w:cs="Arial" w:eastAsia="Arial" w:hAnsi="Arial"/>
                <w:sz w:val="13"/>
                <w:szCs w:val="13"/>
                <w:color w:val="auto"/>
              </w:rPr>
              <w:t>Par Value of $10,500,000</w:t>
            </w:r>
          </w:p>
        </w:tc>
        <w:tc>
          <w:tcPr>
            <w:tcW w:w="10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3560" w:type="dxa"/>
            <w:vAlign w:val="bottom"/>
            <w:gridSpan w:val="2"/>
            <w:shd w:val="clear" w:color="auto" w:fill="CCFFCC"/>
          </w:tcPr>
          <w:p>
            <w:pPr>
              <w:ind w:left="340"/>
              <w:spacing w:after="0"/>
              <w:rPr>
                <w:sz w:val="20"/>
                <w:szCs w:val="20"/>
                <w:color w:val="auto"/>
              </w:rPr>
            </w:pPr>
            <w:r>
              <w:rPr>
                <w:rFonts w:ascii="Arial" w:cs="Arial" w:eastAsia="Arial" w:hAnsi="Arial"/>
                <w:sz w:val="14"/>
                <w:szCs w:val="14"/>
                <w:color w:val="auto"/>
              </w:rPr>
              <w:t>5.3%, Due 4/22</w:t>
            </w:r>
          </w:p>
        </w:tc>
        <w:tc>
          <w:tcPr>
            <w:tcW w:w="1360" w:type="dxa"/>
            <w:vAlign w:val="bottom"/>
            <w:gridSpan w:val="3"/>
            <w:shd w:val="clear" w:color="auto" w:fill="CCFFCC"/>
          </w:tcPr>
          <w:p>
            <w:pPr>
              <w:jc w:val="right"/>
              <w:ind w:right="68"/>
              <w:spacing w:after="0"/>
              <w:rPr>
                <w:sz w:val="20"/>
                <w:szCs w:val="20"/>
                <w:color w:val="auto"/>
              </w:rPr>
            </w:pPr>
            <w:r>
              <w:rPr>
                <w:rFonts w:ascii="Arial" w:cs="Arial" w:eastAsia="Arial" w:hAnsi="Arial"/>
                <w:sz w:val="14"/>
                <w:szCs w:val="14"/>
                <w:color w:val="auto"/>
              </w:rPr>
              <w:t>100.0%  $</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1,252,191</w:t>
            </w:r>
          </w:p>
        </w:tc>
        <w:tc>
          <w:tcPr>
            <w:tcW w:w="100" w:type="dxa"/>
            <w:vAlign w:val="bottom"/>
            <w:shd w:val="clear" w:color="auto" w:fill="CCFFCC"/>
          </w:tcPr>
          <w:p>
            <w:pPr>
              <w:spacing w:after="0"/>
              <w:rPr>
                <w:sz w:val="14"/>
                <w:szCs w:val="14"/>
                <w:color w:val="auto"/>
              </w:rPr>
            </w:pPr>
          </w:p>
        </w:tc>
        <w:tc>
          <w:tcPr>
            <w:tcW w:w="20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9,140,000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60" w:type="dxa"/>
            <w:vAlign w:val="bottom"/>
            <w:gridSpan w:val="2"/>
          </w:tcPr>
          <w:p>
            <w:pPr>
              <w:spacing w:after="0" w:line="162" w:lineRule="exact"/>
              <w:rPr>
                <w:sz w:val="20"/>
                <w:szCs w:val="20"/>
                <w:color w:val="auto"/>
              </w:rPr>
            </w:pPr>
            <w:r>
              <w:rPr>
                <w:rFonts w:ascii="Arial" w:cs="Arial" w:eastAsia="Arial" w:hAnsi="Arial"/>
                <w:sz w:val="12"/>
                <w:szCs w:val="12"/>
                <w:color w:val="auto"/>
              </w:rPr>
              <w:t>Catamaran CLO 2012-1 Ltd.</w:t>
            </w:r>
            <w:r>
              <w:rPr>
                <w:rFonts w:ascii="Arial" w:cs="Arial" w:eastAsia="Arial" w:hAnsi="Arial"/>
                <w:sz w:val="18"/>
                <w:szCs w:val="18"/>
                <w:color w:val="auto"/>
                <w:vertAlign w:val="superscript"/>
              </w:rPr>
              <w:t>3, 7</w:t>
            </w:r>
          </w:p>
        </w:tc>
        <w:tc>
          <w:tcPr>
            <w:tcW w:w="3560" w:type="dxa"/>
            <w:vAlign w:val="bottom"/>
            <w:gridSpan w:val="2"/>
          </w:tcPr>
          <w:p>
            <w:pPr>
              <w:spacing w:after="0"/>
              <w:rPr>
                <w:sz w:val="20"/>
                <w:szCs w:val="20"/>
                <w:color w:val="auto"/>
              </w:rPr>
            </w:pPr>
            <w:r>
              <w:rPr>
                <w:rFonts w:ascii="Arial" w:cs="Arial" w:eastAsia="Arial" w:hAnsi="Arial"/>
                <w:sz w:val="14"/>
                <w:szCs w:val="14"/>
                <w:color w:val="auto"/>
              </w:rPr>
              <w:t>Class F Notes</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560" w:type="dxa"/>
            <w:vAlign w:val="bottom"/>
            <w:gridSpan w:val="2"/>
          </w:tcPr>
          <w:p>
            <w:pPr>
              <w:ind w:left="340"/>
              <w:spacing w:after="0" w:line="116" w:lineRule="exact"/>
              <w:rPr>
                <w:sz w:val="20"/>
                <w:szCs w:val="20"/>
                <w:color w:val="auto"/>
              </w:rPr>
            </w:pPr>
            <w:r>
              <w:rPr>
                <w:rFonts w:ascii="Arial" w:cs="Arial" w:eastAsia="Arial" w:hAnsi="Arial"/>
                <w:sz w:val="13"/>
                <w:szCs w:val="13"/>
                <w:color w:val="auto"/>
              </w:rPr>
              <w:t>Par Value of $4,500,000</w:t>
            </w: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60" w:type="dxa"/>
            <w:vAlign w:val="bottom"/>
            <w:gridSpan w:val="2"/>
          </w:tcPr>
          <w:p>
            <w:pPr>
              <w:ind w:left="340"/>
              <w:spacing w:after="0"/>
              <w:rPr>
                <w:sz w:val="20"/>
                <w:szCs w:val="20"/>
                <w:color w:val="auto"/>
              </w:rPr>
            </w:pPr>
            <w:r>
              <w:rPr>
                <w:rFonts w:ascii="Arial" w:cs="Arial" w:eastAsia="Arial" w:hAnsi="Arial"/>
                <w:sz w:val="14"/>
                <w:szCs w:val="14"/>
                <w:color w:val="auto"/>
              </w:rPr>
              <w:t>6.8%, Due 12/23</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42.9%</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3,777,664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3,770,000</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440" w:type="dxa"/>
            <w:vAlign w:val="bottom"/>
            <w:tcBorders>
              <w:top w:val="single" w:sz="8" w:color="CCFFCC"/>
            </w:tcBorders>
            <w:shd w:val="clear" w:color="auto" w:fill="CCFFCC"/>
          </w:tcPr>
          <w:p>
            <w:pPr>
              <w:spacing w:after="0"/>
              <w:rPr>
                <w:sz w:val="15"/>
                <w:szCs w:val="15"/>
                <w:color w:val="auto"/>
              </w:rPr>
            </w:pPr>
          </w:p>
        </w:tc>
        <w:tc>
          <w:tcPr>
            <w:tcW w:w="120" w:type="dxa"/>
            <w:vAlign w:val="bottom"/>
            <w:tcBorders>
              <w:top w:val="single" w:sz="8" w:color="CCFFCC"/>
            </w:tcBorders>
            <w:shd w:val="clear" w:color="auto" w:fill="CCFFCC"/>
          </w:tcPr>
          <w:p>
            <w:pPr>
              <w:spacing w:after="0"/>
              <w:rPr>
                <w:sz w:val="15"/>
                <w:szCs w:val="15"/>
                <w:color w:val="auto"/>
              </w:rPr>
            </w:pPr>
          </w:p>
        </w:tc>
        <w:tc>
          <w:tcPr>
            <w:tcW w:w="3440" w:type="dxa"/>
            <w:vAlign w:val="bottom"/>
            <w:tcBorders>
              <w:top w:val="single" w:sz="8" w:color="CCFFCC"/>
            </w:tcBorders>
            <w:shd w:val="clear" w:color="auto" w:fill="CCFFCC"/>
          </w:tcPr>
          <w:p>
            <w:pPr>
              <w:spacing w:after="0"/>
              <w:rPr>
                <w:sz w:val="15"/>
                <w:szCs w:val="15"/>
                <w:color w:val="auto"/>
              </w:rPr>
            </w:pPr>
          </w:p>
        </w:tc>
        <w:tc>
          <w:tcPr>
            <w:tcW w:w="120" w:type="dxa"/>
            <w:vAlign w:val="bottom"/>
            <w:tcBorders>
              <w:top w:val="single" w:sz="8" w:color="CCFFCC"/>
            </w:tcBorders>
            <w:shd w:val="clear" w:color="auto" w:fill="CCFFCC"/>
          </w:tcPr>
          <w:p>
            <w:pPr>
              <w:spacing w:after="0"/>
              <w:rPr>
                <w:sz w:val="15"/>
                <w:szCs w:val="15"/>
                <w:color w:val="auto"/>
              </w:rPr>
            </w:pPr>
          </w:p>
        </w:tc>
        <w:tc>
          <w:tcPr>
            <w:tcW w:w="1040" w:type="dxa"/>
            <w:vAlign w:val="bottom"/>
            <w:tcBorders>
              <w:top w:val="single" w:sz="8" w:color="CCFFCC"/>
            </w:tcBorders>
            <w:shd w:val="clear" w:color="auto" w:fill="CCFFCC"/>
          </w:tcPr>
          <w:p>
            <w:pPr>
              <w:spacing w:after="0"/>
              <w:rPr>
                <w:sz w:val="15"/>
                <w:szCs w:val="15"/>
                <w:color w:val="auto"/>
              </w:rPr>
            </w:pPr>
          </w:p>
        </w:tc>
        <w:tc>
          <w:tcPr>
            <w:tcW w:w="100" w:type="dxa"/>
            <w:vAlign w:val="bottom"/>
            <w:tcBorders>
              <w:top w:val="single" w:sz="8" w:color="CCFFCC"/>
            </w:tcBorders>
            <w:shd w:val="clear" w:color="auto" w:fill="CCFFCC"/>
          </w:tcPr>
          <w:p>
            <w:pPr>
              <w:spacing w:after="0"/>
              <w:rPr>
                <w:sz w:val="15"/>
                <w:szCs w:val="15"/>
                <w:color w:val="auto"/>
              </w:rPr>
            </w:pPr>
          </w:p>
        </w:tc>
        <w:tc>
          <w:tcPr>
            <w:tcW w:w="220" w:type="dxa"/>
            <w:vAlign w:val="bottom"/>
            <w:tcBorders>
              <w:top w:val="single" w:sz="8" w:color="auto"/>
            </w:tcBorders>
            <w:shd w:val="clear" w:color="auto" w:fill="CCFFCC"/>
          </w:tcPr>
          <w:p>
            <w:pPr>
              <w:spacing w:after="0"/>
              <w:rPr>
                <w:sz w:val="15"/>
                <w:szCs w:val="15"/>
                <w:color w:val="auto"/>
              </w:rPr>
            </w:pPr>
          </w:p>
        </w:tc>
        <w:tc>
          <w:tcPr>
            <w:tcW w:w="800" w:type="dxa"/>
            <w:vAlign w:val="bottom"/>
            <w:tcBorders>
              <w:top w:val="single" w:sz="8" w:color="auto"/>
            </w:tcBorders>
            <w:shd w:val="clear" w:color="auto" w:fill="CCFFCC"/>
          </w:tcPr>
          <w:p>
            <w:pPr>
              <w:spacing w:after="0"/>
              <w:rPr>
                <w:sz w:val="15"/>
                <w:szCs w:val="15"/>
                <w:color w:val="auto"/>
              </w:rPr>
            </w:pPr>
          </w:p>
        </w:tc>
        <w:tc>
          <w:tcPr>
            <w:tcW w:w="100" w:type="dxa"/>
            <w:vAlign w:val="bottom"/>
            <w:tcBorders>
              <w:top w:val="single" w:sz="8" w:color="CCFFCC"/>
            </w:tcBorders>
            <w:shd w:val="clear" w:color="auto" w:fill="CCFFCC"/>
          </w:tcPr>
          <w:p>
            <w:pPr>
              <w:spacing w:after="0"/>
              <w:rPr>
                <w:sz w:val="15"/>
                <w:szCs w:val="15"/>
                <w:color w:val="auto"/>
              </w:rPr>
            </w:pPr>
          </w:p>
        </w:tc>
        <w:tc>
          <w:tcPr>
            <w:tcW w:w="200" w:type="dxa"/>
            <w:vAlign w:val="bottom"/>
            <w:tcBorders>
              <w:top w:val="single" w:sz="8" w:color="auto"/>
            </w:tcBorders>
            <w:shd w:val="clear" w:color="auto" w:fill="CCFFCC"/>
          </w:tcPr>
          <w:p>
            <w:pPr>
              <w:spacing w:after="0"/>
              <w:rPr>
                <w:sz w:val="15"/>
                <w:szCs w:val="15"/>
                <w:color w:val="auto"/>
              </w:rPr>
            </w:pPr>
          </w:p>
        </w:tc>
        <w:tc>
          <w:tcPr>
            <w:tcW w:w="820" w:type="dxa"/>
            <w:vAlign w:val="bottom"/>
            <w:tcBorders>
              <w:top w:val="single" w:sz="8" w:color="auto"/>
            </w:tcBorders>
            <w:shd w:val="clear" w:color="auto" w:fill="CCFFCC"/>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Total Investment in CLO Rated-Note</w:t>
            </w:r>
          </w:p>
        </w:tc>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5,029,855</w:t>
            </w:r>
          </w:p>
        </w:tc>
        <w:tc>
          <w:tcPr>
            <w:tcW w:w="10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12,910,000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44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344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04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220" w:type="dxa"/>
            <w:vAlign w:val="bottom"/>
            <w:tcBorders>
              <w:top w:val="single" w:sz="8" w:color="auto"/>
            </w:tcBorders>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200" w:type="dxa"/>
            <w:vAlign w:val="bottom"/>
            <w:tcBorders>
              <w:top w:val="single" w:sz="8" w:color="auto"/>
            </w:tcBorders>
            <w:shd w:val="clear" w:color="auto" w:fill="CCFFCC"/>
          </w:tcPr>
          <w:p>
            <w:pPr>
              <w:spacing w:after="0"/>
              <w:rPr>
                <w:sz w:val="12"/>
                <w:szCs w:val="12"/>
                <w:color w:val="auto"/>
              </w:rPr>
            </w:pPr>
          </w:p>
        </w:tc>
        <w:tc>
          <w:tcPr>
            <w:tcW w:w="820" w:type="dxa"/>
            <w:vAlign w:val="bottom"/>
            <w:tcBorders>
              <w:top w:val="single" w:sz="8" w:color="auto"/>
            </w:tcBorders>
            <w:shd w:val="clear" w:color="auto" w:fill="CCFFC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456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rPr>
              <w:t>Total Investment in CLO Fund Securities</w:t>
            </w:r>
          </w:p>
        </w:tc>
        <w:tc>
          <w:tcPr>
            <w:tcW w:w="3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560" w:type="dxa"/>
            <w:vAlign w:val="bottom"/>
            <w:gridSpan w:val="2"/>
          </w:tcPr>
          <w:p>
            <w:pPr>
              <w:ind w:left="320"/>
              <w:spacing w:after="0"/>
              <w:rPr>
                <w:sz w:val="20"/>
                <w:szCs w:val="20"/>
                <w:color w:val="auto"/>
              </w:rPr>
            </w:pPr>
            <w:r>
              <w:rPr>
                <w:rFonts w:ascii="Arial" w:cs="Arial" w:eastAsia="Arial" w:hAnsi="Arial"/>
                <w:sz w:val="14"/>
                <w:szCs w:val="14"/>
                <w:b w:val="1"/>
                <w:bCs w:val="1"/>
                <w:color w:val="auto"/>
              </w:rPr>
              <w:t>(40% of net asset value at fair value)</w:t>
            </w: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90,146,410</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83,257,507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Manager Affiliates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w:t>
            </w:r>
          </w:p>
        </w:tc>
        <w:tc>
          <w:tcPr>
            <w:tcW w:w="1360" w:type="dxa"/>
            <w:vAlign w:val="bottom"/>
            <w:gridSpan w:val="3"/>
          </w:tcPr>
          <w:p>
            <w:pPr>
              <w:jc w:val="right"/>
              <w:ind w:right="428"/>
              <w:spacing w:after="0"/>
              <w:rPr>
                <w:sz w:val="20"/>
                <w:szCs w:val="20"/>
                <w:color w:val="auto"/>
              </w:rPr>
            </w:pPr>
            <w:r>
              <w:rPr>
                <w:rFonts w:ascii="Arial" w:cs="Arial" w:eastAsia="Arial" w:hAnsi="Arial"/>
                <w:sz w:val="14"/>
                <w:szCs w:val="14"/>
                <w:b w:val="1"/>
                <w:bCs w:val="1"/>
                <w:color w:val="auto"/>
              </w:rPr>
              <w:t>Percentage</w:t>
            </w:r>
          </w:p>
        </w:tc>
        <w:tc>
          <w:tcPr>
            <w:tcW w:w="8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4580" w:type="dxa"/>
            <w:vAlign w:val="bottom"/>
            <w:gridSpan w:val="3"/>
            <w:vMerge w:val="continue"/>
          </w:tcPr>
          <w:p>
            <w:pPr>
              <w:spacing w:after="0"/>
              <w:rPr>
                <w:sz w:val="14"/>
                <w:szCs w:val="14"/>
                <w:color w:val="auto"/>
              </w:rPr>
            </w:pPr>
          </w:p>
        </w:tc>
        <w:tc>
          <w:tcPr>
            <w:tcW w:w="3560" w:type="dxa"/>
            <w:vAlign w:val="bottom"/>
            <w:gridSpan w:val="2"/>
            <w:vMerge w:val="continue"/>
          </w:tcPr>
          <w:p>
            <w:pPr>
              <w:spacing w:after="0"/>
              <w:rPr>
                <w:sz w:val="14"/>
                <w:szCs w:val="14"/>
                <w:color w:val="auto"/>
              </w:rPr>
            </w:pPr>
          </w:p>
        </w:tc>
        <w:tc>
          <w:tcPr>
            <w:tcW w:w="1360" w:type="dxa"/>
            <w:vAlign w:val="bottom"/>
            <w:gridSpan w:val="3"/>
          </w:tcPr>
          <w:p>
            <w:pPr>
              <w:jc w:val="right"/>
              <w:ind w:right="528"/>
              <w:spacing w:after="0"/>
              <w:rPr>
                <w:sz w:val="20"/>
                <w:szCs w:val="20"/>
                <w:color w:val="auto"/>
              </w:rPr>
            </w:pPr>
            <w:r>
              <w:rPr>
                <w:rFonts w:ascii="Arial" w:cs="Arial" w:eastAsia="Arial" w:hAnsi="Arial"/>
                <w:sz w:val="14"/>
                <w:szCs w:val="14"/>
                <w:b w:val="1"/>
                <w:bCs w:val="1"/>
                <w:color w:val="auto"/>
              </w:rPr>
              <w:t>Interest</w:t>
            </w: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FFCC"/>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440" w:type="dxa"/>
            <w:vAlign w:val="bottom"/>
            <w:shd w:val="clear" w:color="auto" w:fill="CCFFCC"/>
          </w:tcPr>
          <w:p>
            <w:pPr>
              <w:spacing w:after="0" w:line="183" w:lineRule="exact"/>
              <w:rPr>
                <w:sz w:val="20"/>
                <w:szCs w:val="20"/>
                <w:color w:val="auto"/>
              </w:rPr>
            </w:pPr>
            <w:r>
              <w:rPr>
                <w:rFonts w:ascii="Arial" w:cs="Arial" w:eastAsia="Arial" w:hAnsi="Arial"/>
                <w:sz w:val="13"/>
                <w:szCs w:val="13"/>
                <w:color w:val="auto"/>
              </w:rPr>
              <w:t>Asset Manager Affiliates</w:t>
            </w:r>
            <w:r>
              <w:rPr>
                <w:rFonts w:ascii="Arial" w:cs="Arial" w:eastAsia="Arial" w:hAnsi="Arial"/>
                <w:sz w:val="21"/>
                <w:szCs w:val="21"/>
                <w:color w:val="auto"/>
                <w:vertAlign w:val="superscript"/>
              </w:rPr>
              <w:t>10</w:t>
            </w:r>
          </w:p>
        </w:tc>
        <w:tc>
          <w:tcPr>
            <w:tcW w:w="120" w:type="dxa"/>
            <w:vAlign w:val="bottom"/>
            <w:vMerge w:val="continue"/>
            <w:shd w:val="clear" w:color="auto" w:fill="CCFFCC"/>
          </w:tcPr>
          <w:p>
            <w:pPr>
              <w:spacing w:after="0"/>
              <w:rPr>
                <w:sz w:val="15"/>
                <w:szCs w:val="15"/>
                <w:color w:val="auto"/>
              </w:rPr>
            </w:pPr>
          </w:p>
        </w:tc>
        <w:tc>
          <w:tcPr>
            <w:tcW w:w="3440" w:type="dxa"/>
            <w:vAlign w:val="bottom"/>
            <w:shd w:val="clear" w:color="auto" w:fill="CCFFCC"/>
          </w:tcPr>
          <w:p>
            <w:pPr>
              <w:spacing w:after="0"/>
              <w:rPr>
                <w:sz w:val="20"/>
                <w:szCs w:val="20"/>
                <w:color w:val="auto"/>
              </w:rPr>
            </w:pPr>
            <w:r>
              <w:rPr>
                <w:rFonts w:ascii="Arial" w:cs="Arial" w:eastAsia="Arial" w:hAnsi="Arial"/>
                <w:sz w:val="14"/>
                <w:szCs w:val="14"/>
                <w:color w:val="auto"/>
              </w:rPr>
              <w:t>Asset Management Company</w:t>
            </w:r>
          </w:p>
        </w:tc>
        <w:tc>
          <w:tcPr>
            <w:tcW w:w="120" w:type="dxa"/>
            <w:vAlign w:val="bottom"/>
            <w:shd w:val="clear" w:color="auto" w:fill="CCFFCC"/>
          </w:tcPr>
          <w:p>
            <w:pPr>
              <w:spacing w:after="0"/>
              <w:rPr>
                <w:sz w:val="15"/>
                <w:szCs w:val="15"/>
                <w:color w:val="auto"/>
              </w:rPr>
            </w:pPr>
          </w:p>
        </w:tc>
        <w:tc>
          <w:tcPr>
            <w:tcW w:w="1360" w:type="dxa"/>
            <w:vAlign w:val="bottom"/>
            <w:gridSpan w:val="3"/>
            <w:shd w:val="clear" w:color="auto" w:fill="CCFFCC"/>
          </w:tcPr>
          <w:p>
            <w:pPr>
              <w:jc w:val="right"/>
              <w:ind w:right="68"/>
              <w:spacing w:after="0"/>
              <w:rPr>
                <w:sz w:val="20"/>
                <w:szCs w:val="20"/>
                <w:color w:val="auto"/>
              </w:rPr>
            </w:pPr>
            <w:r>
              <w:rPr>
                <w:rFonts w:ascii="Arial" w:cs="Arial" w:eastAsia="Arial" w:hAnsi="Arial"/>
                <w:sz w:val="14"/>
                <w:szCs w:val="14"/>
                <w:color w:val="auto"/>
              </w:rPr>
              <w:t>100.0%  $</w:t>
            </w:r>
          </w:p>
        </w:tc>
        <w:tc>
          <w:tcPr>
            <w:tcW w:w="800" w:type="dxa"/>
            <w:vAlign w:val="bottom"/>
            <w:shd w:val="clear" w:color="auto" w:fill="CCFFCC"/>
          </w:tcPr>
          <w:p>
            <w:pPr>
              <w:ind w:left="160"/>
              <w:spacing w:after="0"/>
              <w:rPr>
                <w:sz w:val="20"/>
                <w:szCs w:val="20"/>
                <w:color w:val="auto"/>
              </w:rPr>
            </w:pPr>
            <w:r>
              <w:rPr>
                <w:rFonts w:ascii="Arial" w:cs="Arial" w:eastAsia="Arial" w:hAnsi="Arial"/>
                <w:sz w:val="14"/>
                <w:szCs w:val="14"/>
                <w:color w:val="auto"/>
                <w:w w:val="88"/>
              </w:rPr>
              <w:t>83,161,529</w:t>
            </w:r>
          </w:p>
        </w:tc>
        <w:tc>
          <w:tcPr>
            <w:tcW w:w="30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77,242,000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4560" w:type="dxa"/>
            <w:vAlign w:val="bottom"/>
            <w:gridSpan w:val="2"/>
            <w:shd w:val="clear" w:color="auto" w:fill="CCFFCC"/>
          </w:tcPr>
          <w:p>
            <w:pPr>
              <w:spacing w:after="0" w:line="126" w:lineRule="exact"/>
              <w:rPr>
                <w:sz w:val="20"/>
                <w:szCs w:val="20"/>
                <w:color w:val="auto"/>
              </w:rPr>
            </w:pPr>
            <w:r>
              <w:rPr>
                <w:rFonts w:ascii="Arial" w:cs="Arial" w:eastAsia="Arial" w:hAnsi="Arial"/>
                <w:sz w:val="14"/>
                <w:szCs w:val="14"/>
                <w:b w:val="1"/>
                <w:bCs w:val="1"/>
                <w:color w:val="auto"/>
              </w:rPr>
              <w:t>Total Investment in Asset Manager Affiliates</w:t>
            </w:r>
          </w:p>
        </w:tc>
        <w:tc>
          <w:tcPr>
            <w:tcW w:w="34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b w:val="1"/>
                <w:bCs w:val="1"/>
                <w:color w:val="auto"/>
              </w:rPr>
              <w:t>(37% of net asset value at fair value)</w:t>
            </w:r>
          </w:p>
        </w:tc>
        <w:tc>
          <w:tcPr>
            <w:tcW w:w="34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140" w:type="dxa"/>
            <w:vAlign w:val="bottom"/>
            <w:gridSpan w:val="2"/>
            <w:shd w:val="clear" w:color="auto" w:fill="CCFFCC"/>
          </w:tcPr>
          <w:p>
            <w:pPr>
              <w:spacing w:after="0"/>
              <w:rPr>
                <w:sz w:val="16"/>
                <w:szCs w:val="16"/>
                <w:color w:val="auto"/>
              </w:rPr>
            </w:pPr>
          </w:p>
        </w:tc>
        <w:tc>
          <w:tcPr>
            <w:tcW w:w="220" w:type="dxa"/>
            <w:vAlign w:val="bottom"/>
            <w:tcBorders>
              <w:bottom w:val="single" w:sz="8" w:color="auto"/>
            </w:tcBorders>
            <w:shd w:val="clear" w:color="auto" w:fill="CCFFCC"/>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FFCC"/>
          </w:tcPr>
          <w:p>
            <w:pPr>
              <w:ind w:left="160"/>
              <w:spacing w:after="0"/>
              <w:rPr>
                <w:sz w:val="20"/>
                <w:szCs w:val="20"/>
                <w:color w:val="auto"/>
              </w:rPr>
            </w:pPr>
            <w:r>
              <w:rPr>
                <w:rFonts w:ascii="Arial" w:cs="Arial" w:eastAsia="Arial" w:hAnsi="Arial"/>
                <w:sz w:val="14"/>
                <w:szCs w:val="14"/>
                <w:color w:val="auto"/>
                <w:w w:val="88"/>
              </w:rPr>
              <w:t>83,161,529</w:t>
            </w:r>
          </w:p>
        </w:tc>
        <w:tc>
          <w:tcPr>
            <w:tcW w:w="100" w:type="dxa"/>
            <w:vAlign w:val="bottom"/>
            <w:shd w:val="clear" w:color="auto" w:fill="CCFFCC"/>
          </w:tcPr>
          <w:p>
            <w:pPr>
              <w:spacing w:after="0"/>
              <w:rPr>
                <w:sz w:val="16"/>
                <w:szCs w:val="16"/>
                <w:color w:val="auto"/>
              </w:rPr>
            </w:pPr>
          </w:p>
        </w:tc>
        <w:tc>
          <w:tcPr>
            <w:tcW w:w="20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77,242,000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Deposits and Money Market Account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580" w:type="dxa"/>
            <w:vAlign w:val="bottom"/>
            <w:gridSpan w:val="3"/>
          </w:tcPr>
          <w:p>
            <w:pPr>
              <w:spacing w:after="0"/>
              <w:rPr>
                <w:sz w:val="20"/>
                <w:szCs w:val="20"/>
                <w:color w:val="auto"/>
              </w:rPr>
            </w:pPr>
            <w:r>
              <w:rPr>
                <w:rFonts w:ascii="Arial" w:cs="Arial" w:eastAsia="Arial" w:hAnsi="Arial"/>
                <w:sz w:val="14"/>
                <w:szCs w:val="14"/>
                <w:b w:val="1"/>
                <w:bCs w:val="1"/>
                <w:color w:val="auto"/>
              </w:rPr>
              <w:t>Time Deposit and Money Market Accounts</w:t>
            </w:r>
          </w:p>
        </w:tc>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Investment</w:t>
            </w:r>
          </w:p>
        </w:tc>
        <w:tc>
          <w:tcPr>
            <w:tcW w:w="1140" w:type="dxa"/>
            <w:vAlign w:val="bottom"/>
            <w:gridSpan w:val="2"/>
          </w:tcPr>
          <w:p>
            <w:pPr>
              <w:ind w:left="360"/>
              <w:spacing w:after="0"/>
              <w:rPr>
                <w:sz w:val="20"/>
                <w:szCs w:val="20"/>
                <w:color w:val="auto"/>
              </w:rPr>
            </w:pPr>
            <w:r>
              <w:rPr>
                <w:rFonts w:ascii="Arial" w:cs="Arial" w:eastAsia="Arial" w:hAnsi="Arial"/>
                <w:sz w:val="14"/>
                <w:szCs w:val="14"/>
                <w:b w:val="1"/>
                <w:bCs w:val="1"/>
                <w:color w:val="auto"/>
              </w:rPr>
              <w:t>Yield</w:t>
            </w:r>
          </w:p>
        </w:tc>
        <w:tc>
          <w:tcPr>
            <w:tcW w:w="160" w:type="dxa"/>
            <w:vAlign w:val="bottom"/>
          </w:tcPr>
          <w:p>
            <w:pPr>
              <w:spacing w:after="0"/>
              <w:rPr>
                <w:sz w:val="22"/>
                <w:szCs w:val="22"/>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Par / Cost</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2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40" w:type="dxa"/>
            <w:vAlign w:val="bottom"/>
            <w:tcBorders>
              <w:top w:val="single" w:sz="8" w:color="auto"/>
            </w:tcBorders>
            <w:shd w:val="clear" w:color="auto" w:fill="CCFFCC"/>
          </w:tcPr>
          <w:p>
            <w:pPr>
              <w:spacing w:after="0" w:line="183" w:lineRule="exact"/>
              <w:rPr>
                <w:sz w:val="20"/>
                <w:szCs w:val="20"/>
                <w:color w:val="auto"/>
              </w:rPr>
            </w:pPr>
            <w:r>
              <w:rPr>
                <w:rFonts w:ascii="Arial" w:cs="Arial" w:eastAsia="Arial" w:hAnsi="Arial"/>
                <w:sz w:val="13"/>
                <w:szCs w:val="13"/>
                <w:color w:val="auto"/>
              </w:rPr>
              <w:t>JP Morgan Asset Account</w:t>
            </w:r>
            <w:r>
              <w:rPr>
                <w:rFonts w:ascii="Arial" w:cs="Arial" w:eastAsia="Arial" w:hAnsi="Arial"/>
                <w:sz w:val="21"/>
                <w:szCs w:val="21"/>
                <w:color w:val="auto"/>
                <w:vertAlign w:val="superscript"/>
              </w:rPr>
              <w:t>10</w:t>
            </w:r>
          </w:p>
        </w:tc>
        <w:tc>
          <w:tcPr>
            <w:tcW w:w="120" w:type="dxa"/>
            <w:vAlign w:val="bottom"/>
            <w:tcBorders>
              <w:top w:val="single" w:sz="8" w:color="CCFFCC"/>
            </w:tcBorders>
            <w:shd w:val="clear" w:color="auto" w:fill="CCFFCC"/>
          </w:tcPr>
          <w:p>
            <w:pPr>
              <w:spacing w:after="0"/>
              <w:rPr>
                <w:sz w:val="15"/>
                <w:szCs w:val="15"/>
                <w:color w:val="auto"/>
              </w:rPr>
            </w:pPr>
          </w:p>
        </w:tc>
        <w:tc>
          <w:tcPr>
            <w:tcW w:w="34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4"/>
                <w:szCs w:val="14"/>
                <w:color w:val="auto"/>
              </w:rPr>
              <w:t>Time Deposit</w:t>
            </w:r>
          </w:p>
        </w:tc>
        <w:tc>
          <w:tcPr>
            <w:tcW w:w="120" w:type="dxa"/>
            <w:vAlign w:val="bottom"/>
            <w:tcBorders>
              <w:top w:val="single" w:sz="8" w:color="CCFFCC"/>
            </w:tcBorders>
            <w:shd w:val="clear" w:color="auto" w:fill="CCFFCC"/>
          </w:tcPr>
          <w:p>
            <w:pPr>
              <w:spacing w:after="0"/>
              <w:rPr>
                <w:sz w:val="15"/>
                <w:szCs w:val="15"/>
                <w:color w:val="auto"/>
              </w:rPr>
            </w:pP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Borders>
              <w:top w:val="single" w:sz="8" w:color="CCFFCC"/>
            </w:tcBorders>
            <w:shd w:val="clear" w:color="auto" w:fill="CCFFCC"/>
          </w:tcPr>
          <w:p>
            <w:pPr>
              <w:spacing w:after="0"/>
              <w:rPr>
                <w:sz w:val="15"/>
                <w:szCs w:val="15"/>
                <w:color w:val="auto"/>
              </w:rPr>
            </w:pPr>
          </w:p>
        </w:tc>
        <w:tc>
          <w:tcPr>
            <w:tcW w:w="160" w:type="dxa"/>
            <w:vAlign w:val="bottom"/>
            <w:tcBorders>
              <w:top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1,942,834</w:t>
            </w:r>
          </w:p>
        </w:tc>
        <w:tc>
          <w:tcPr>
            <w:tcW w:w="60" w:type="dxa"/>
            <w:vAlign w:val="bottom"/>
            <w:tcBorders>
              <w:top w:val="single" w:sz="8" w:color="CCFFCC"/>
            </w:tcBorders>
            <w:shd w:val="clear" w:color="auto" w:fill="CCFFCC"/>
          </w:tcPr>
          <w:p>
            <w:pPr>
              <w:spacing w:after="0"/>
              <w:rPr>
                <w:sz w:val="15"/>
                <w:szCs w:val="15"/>
                <w:color w:val="auto"/>
              </w:rPr>
            </w:pPr>
          </w:p>
        </w:tc>
        <w:tc>
          <w:tcPr>
            <w:tcW w:w="40" w:type="dxa"/>
            <w:vAlign w:val="bottom"/>
            <w:tcBorders>
              <w:top w:val="single" w:sz="8" w:color="CCFFCC"/>
            </w:tcBorders>
            <w:shd w:val="clear" w:color="auto" w:fill="CCFFCC"/>
          </w:tcPr>
          <w:p>
            <w:pPr>
              <w:spacing w:after="0"/>
              <w:rPr>
                <w:sz w:val="15"/>
                <w:szCs w:val="15"/>
                <w:color w:val="auto"/>
              </w:rPr>
            </w:pPr>
          </w:p>
        </w:tc>
        <w:tc>
          <w:tcPr>
            <w:tcW w:w="200" w:type="dxa"/>
            <w:vAlign w:val="bottom"/>
            <w:tcBorders>
              <w:top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1,942,834</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60" w:type="dxa"/>
            <w:vAlign w:val="bottom"/>
            <w:gridSpan w:val="2"/>
            <w:shd w:val="clear" w:color="auto" w:fill="CCFFCC"/>
          </w:tcPr>
          <w:p>
            <w:pPr>
              <w:spacing w:after="0" w:line="189" w:lineRule="exact"/>
              <w:rPr>
                <w:sz w:val="20"/>
                <w:szCs w:val="20"/>
                <w:color w:val="auto"/>
              </w:rPr>
            </w:pPr>
            <w:r>
              <w:rPr>
                <w:rFonts w:ascii="Arial" w:cs="Arial" w:eastAsia="Arial" w:hAnsi="Arial"/>
                <w:sz w:val="13"/>
                <w:szCs w:val="13"/>
                <w:color w:val="auto"/>
              </w:rPr>
              <w:t>JP Morgan Business Money Market Account</w:t>
            </w:r>
            <w:r>
              <w:rPr>
                <w:rFonts w:ascii="Arial" w:cs="Arial" w:eastAsia="Arial" w:hAnsi="Arial"/>
                <w:sz w:val="21"/>
                <w:szCs w:val="21"/>
                <w:color w:val="auto"/>
                <w:vertAlign w:val="superscript"/>
              </w:rPr>
              <w:t>9, 10</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Money Market Account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0.15%</w:t>
            </w:r>
          </w:p>
        </w:tc>
        <w:tc>
          <w:tcPr>
            <w:tcW w:w="160" w:type="dxa"/>
            <w:vAlign w:val="bottom"/>
            <w:shd w:val="clear" w:color="auto" w:fill="CCFFCC"/>
          </w:tcPr>
          <w:p>
            <w:pPr>
              <w:spacing w:after="0"/>
              <w:rPr>
                <w:sz w:val="16"/>
                <w:szCs w:val="16"/>
                <w:color w:val="auto"/>
              </w:rPr>
            </w:pP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195,856</w:t>
            </w:r>
          </w:p>
        </w:tc>
        <w:tc>
          <w:tcPr>
            <w:tcW w:w="4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195,856</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gridSpan w:val="2"/>
            <w:shd w:val="clear" w:color="auto" w:fill="CCFFCC"/>
          </w:tcPr>
          <w:p>
            <w:pPr>
              <w:spacing w:after="0" w:line="202" w:lineRule="exact"/>
              <w:rPr>
                <w:sz w:val="20"/>
                <w:szCs w:val="20"/>
                <w:color w:val="auto"/>
              </w:rPr>
            </w:pPr>
            <w:r>
              <w:rPr>
                <w:rFonts w:ascii="Arial" w:cs="Arial" w:eastAsia="Arial" w:hAnsi="Arial"/>
                <w:sz w:val="14"/>
                <w:szCs w:val="14"/>
                <w:color w:val="auto"/>
              </w:rPr>
              <w:t>US Bank Money Market Account</w:t>
            </w:r>
            <w:r>
              <w:rPr>
                <w:rFonts w:ascii="Arial" w:cs="Arial" w:eastAsia="Arial" w:hAnsi="Arial"/>
                <w:sz w:val="23"/>
                <w:szCs w:val="23"/>
                <w:color w:val="auto"/>
                <w:vertAlign w:val="superscript"/>
              </w:rPr>
              <w:t>10</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Money Market Account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0.40%</w:t>
            </w:r>
          </w:p>
        </w:tc>
        <w:tc>
          <w:tcPr>
            <w:tcW w:w="160" w:type="dxa"/>
            <w:vAlign w:val="bottom"/>
            <w:tcBorders>
              <w:bottom w:val="single" w:sz="8" w:color="auto"/>
            </w:tcBorders>
            <w:shd w:val="clear" w:color="auto" w:fill="CCFFCC"/>
          </w:tcPr>
          <w:p>
            <w:pPr>
              <w:spacing w:after="0"/>
              <w:rPr>
                <w:sz w:val="17"/>
                <w:szCs w:val="17"/>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30,347,968</w:t>
            </w:r>
          </w:p>
        </w:tc>
        <w:tc>
          <w:tcPr>
            <w:tcW w:w="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200" w:type="dxa"/>
            <w:vAlign w:val="bottom"/>
            <w:tcBorders>
              <w:bottom w:val="single" w:sz="8" w:color="auto"/>
            </w:tcBorders>
            <w:shd w:val="clear" w:color="auto" w:fill="CCFFCC"/>
          </w:tcPr>
          <w:p>
            <w:pPr>
              <w:spacing w:after="0"/>
              <w:rPr>
                <w:sz w:val="17"/>
                <w:szCs w:val="17"/>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30,347,968</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4560" w:type="dxa"/>
            <w:vAlign w:val="bottom"/>
            <w:gridSpan w:val="2"/>
            <w:shd w:val="clear" w:color="auto" w:fill="CCFFCC"/>
          </w:tcPr>
          <w:p>
            <w:pPr>
              <w:spacing w:after="0" w:line="126" w:lineRule="exact"/>
              <w:rPr>
                <w:sz w:val="20"/>
                <w:szCs w:val="20"/>
                <w:color w:val="auto"/>
              </w:rPr>
            </w:pPr>
            <w:r>
              <w:rPr>
                <w:rFonts w:ascii="Arial" w:cs="Arial" w:eastAsia="Arial" w:hAnsi="Arial"/>
                <w:sz w:val="14"/>
                <w:szCs w:val="14"/>
                <w:b w:val="1"/>
                <w:bCs w:val="1"/>
                <w:color w:val="auto"/>
              </w:rPr>
              <w:t>Total Investment in Time Deposit and Money Market Accounts</w:t>
            </w:r>
          </w:p>
        </w:tc>
        <w:tc>
          <w:tcPr>
            <w:tcW w:w="34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86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b w:val="1"/>
                <w:bCs w:val="1"/>
                <w:color w:val="auto"/>
              </w:rPr>
              <w:t>(16% of net asset value at fair value)</w:t>
            </w:r>
          </w:p>
        </w:tc>
        <w:tc>
          <w:tcPr>
            <w:tcW w:w="34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32,486,658</w:t>
            </w:r>
          </w:p>
        </w:tc>
        <w:tc>
          <w:tcPr>
            <w:tcW w:w="60" w:type="dxa"/>
            <w:vAlign w:val="bottom"/>
            <w:shd w:val="clear" w:color="auto" w:fill="CCFFCC"/>
          </w:tcPr>
          <w:p>
            <w:pPr>
              <w:spacing w:after="0"/>
              <w:rPr>
                <w:sz w:val="16"/>
                <w:szCs w:val="16"/>
                <w:color w:val="auto"/>
              </w:rPr>
            </w:pPr>
          </w:p>
        </w:tc>
        <w:tc>
          <w:tcPr>
            <w:tcW w:w="240" w:type="dxa"/>
            <w:vAlign w:val="bottom"/>
            <w:gridSpan w:val="2"/>
            <w:shd w:val="clear" w:color="auto" w:fill="CCFFCC"/>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32,486,658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4560" w:type="dxa"/>
            <w:vAlign w:val="bottom"/>
            <w:gridSpan w:val="2"/>
            <w:shd w:val="clear" w:color="auto" w:fill="CCFFCC"/>
          </w:tcPr>
          <w:p>
            <w:pPr>
              <w:spacing w:after="0" w:line="166" w:lineRule="exact"/>
              <w:rPr>
                <w:sz w:val="20"/>
                <w:szCs w:val="20"/>
                <w:color w:val="auto"/>
              </w:rPr>
            </w:pPr>
            <w:r>
              <w:rPr>
                <w:rFonts w:ascii="Arial" w:cs="Arial" w:eastAsia="Arial" w:hAnsi="Arial"/>
                <w:sz w:val="12"/>
                <w:szCs w:val="12"/>
                <w:b w:val="1"/>
                <w:bCs w:val="1"/>
                <w:color w:val="auto"/>
              </w:rPr>
              <w:t>Total Investments</w:t>
            </w:r>
            <w:r>
              <w:rPr>
                <w:rFonts w:ascii="Arial" w:cs="Arial" w:eastAsia="Arial" w:hAnsi="Arial"/>
                <w:sz w:val="19"/>
                <w:szCs w:val="19"/>
                <w:color w:val="auto"/>
                <w:vertAlign w:val="superscript"/>
              </w:rPr>
              <w:t>5</w:t>
            </w:r>
          </w:p>
        </w:tc>
        <w:tc>
          <w:tcPr>
            <w:tcW w:w="34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6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gridSpan w:val="2"/>
            <w:shd w:val="clear" w:color="auto" w:fill="CCFFCC"/>
          </w:tcPr>
          <w:p>
            <w:pPr>
              <w:ind w:left="320"/>
              <w:spacing w:after="0"/>
              <w:rPr>
                <w:sz w:val="20"/>
                <w:szCs w:val="20"/>
                <w:color w:val="auto"/>
              </w:rPr>
            </w:pPr>
            <w:r>
              <w:rPr>
                <w:rFonts w:ascii="Arial" w:cs="Arial" w:eastAsia="Arial" w:hAnsi="Arial"/>
                <w:sz w:val="14"/>
                <w:szCs w:val="14"/>
                <w:b w:val="1"/>
                <w:bCs w:val="1"/>
                <w:color w:val="auto"/>
              </w:rPr>
              <w:t>(150% of net asset value at fair value)</w:t>
            </w:r>
          </w:p>
        </w:tc>
        <w:tc>
          <w:tcPr>
            <w:tcW w:w="34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6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358,547,336</w:t>
            </w:r>
          </w:p>
        </w:tc>
        <w:tc>
          <w:tcPr>
            <w:tcW w:w="60" w:type="dxa"/>
            <w:vAlign w:val="bottom"/>
            <w:shd w:val="clear" w:color="auto" w:fill="CCFFCC"/>
          </w:tcPr>
          <w:p>
            <w:pPr>
              <w:spacing w:after="0"/>
              <w:rPr>
                <w:sz w:val="17"/>
                <w:szCs w:val="17"/>
                <w:color w:val="auto"/>
              </w:rPr>
            </w:pPr>
          </w:p>
        </w:tc>
        <w:tc>
          <w:tcPr>
            <w:tcW w:w="24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312,044,763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44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4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ind w:left="452" w:hanging="430"/>
        <w:spacing w:after="0" w:line="238" w:lineRule="auto"/>
        <w:tabs>
          <w:tab w:leader="none" w:pos="452" w:val="left"/>
        </w:tabs>
        <w:numPr>
          <w:ilvl w:val="0"/>
          <w:numId w:val="14"/>
        </w:numPr>
        <w:rPr>
          <w:rFonts w:ascii="Arial" w:cs="Arial" w:eastAsia="Arial" w:hAnsi="Arial"/>
          <w:sz w:val="26"/>
          <w:szCs w:val="26"/>
          <w:color w:val="auto"/>
          <w:vertAlign w:val="superscript"/>
        </w:rPr>
      </w:pPr>
      <w:r>
        <w:rPr>
          <w:rFonts w:ascii="Arial" w:cs="Arial" w:eastAsia="Arial" w:hAnsi="Arial"/>
          <w:sz w:val="16"/>
          <w:szCs w:val="16"/>
          <w:color w:val="auto"/>
        </w:rPr>
        <w:t>A majority of the variable rate loans to the Company’s portfolio companies bear interest at a rate that may be determined by reference to either LIBOR or an alternate Base Rate (commonly based on the Federal Funds Rate or the Prime Rate), which typically resets semi-annually, quarterly, or monthly. For each such loan, the Company has provided the weighted average annual stated interest rate in effect at December 31, 2012.</w:t>
      </w:r>
    </w:p>
    <w:p>
      <w:pPr>
        <w:spacing w:after="0" w:line="88" w:lineRule="exact"/>
        <w:rPr>
          <w:sz w:val="20"/>
          <w:szCs w:val="20"/>
          <w:color w:val="auto"/>
        </w:rPr>
      </w:pPr>
    </w:p>
    <w:p>
      <w:pPr>
        <w:ind w:left="452" w:hanging="452"/>
        <w:spacing w:after="0"/>
        <w:tabs>
          <w:tab w:leader="none" w:pos="452"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Reflects the fair market value of all investments as of December 31, 2012, as determined by the Company’s Board of Directors.</w:t>
      </w:r>
    </w:p>
    <w:p>
      <w:pPr>
        <w:spacing w:after="0" w:line="87" w:lineRule="exact"/>
        <w:rPr>
          <w:sz w:val="20"/>
          <w:szCs w:val="20"/>
          <w:color w:val="auto"/>
        </w:rPr>
      </w:pPr>
    </w:p>
    <w:p>
      <w:pPr>
        <w:ind w:left="452" w:hanging="452"/>
        <w:spacing w:after="0"/>
        <w:tabs>
          <w:tab w:leader="none" w:pos="452" w:val="left"/>
        </w:tabs>
        <w:numPr>
          <w:ilvl w:val="0"/>
          <w:numId w:val="16"/>
        </w:numPr>
        <w:rPr>
          <w:rFonts w:ascii="Arial" w:cs="Arial" w:eastAsia="Arial" w:hAnsi="Arial"/>
          <w:sz w:val="30"/>
          <w:szCs w:val="30"/>
          <w:color w:val="auto"/>
          <w:vertAlign w:val="superscript"/>
        </w:rPr>
      </w:pPr>
      <w:r>
        <w:rPr>
          <w:rFonts w:ascii="Arial" w:cs="Arial" w:eastAsia="Arial" w:hAnsi="Arial"/>
          <w:sz w:val="18"/>
          <w:szCs w:val="18"/>
          <w:color w:val="auto"/>
        </w:rPr>
        <w:t>Non-U.S. company or principal place of business outside the U.S.</w:t>
      </w:r>
    </w:p>
    <w:p>
      <w:pPr>
        <w:spacing w:after="0" w:line="87" w:lineRule="exact"/>
        <w:rPr>
          <w:sz w:val="20"/>
          <w:szCs w:val="20"/>
          <w:color w:val="auto"/>
        </w:rPr>
      </w:pPr>
    </w:p>
    <w:p>
      <w:pPr>
        <w:ind w:left="452" w:hanging="452"/>
        <w:spacing w:after="0"/>
        <w:tabs>
          <w:tab w:leader="none" w:pos="452" w:val="left"/>
        </w:tabs>
        <w:numPr>
          <w:ilvl w:val="0"/>
          <w:numId w:val="17"/>
        </w:numPr>
        <w:rPr>
          <w:rFonts w:ascii="Arial" w:cs="Arial" w:eastAsia="Arial" w:hAnsi="Arial"/>
          <w:sz w:val="30"/>
          <w:szCs w:val="30"/>
          <w:color w:val="auto"/>
          <w:vertAlign w:val="superscript"/>
        </w:rPr>
      </w:pPr>
      <w:r>
        <w:rPr>
          <w:rFonts w:ascii="Arial" w:cs="Arial" w:eastAsia="Arial" w:hAnsi="Arial"/>
          <w:sz w:val="18"/>
          <w:szCs w:val="18"/>
          <w:color w:val="auto"/>
        </w:rPr>
        <w:t>Buildings and real estate relate to real estate ownership, builders, managers and developers.</w:t>
      </w:r>
    </w:p>
    <w:p>
      <w:pPr>
        <w:spacing w:after="0" w:line="202" w:lineRule="exact"/>
        <w:rPr>
          <w:sz w:val="20"/>
          <w:szCs w:val="20"/>
          <w:color w:val="auto"/>
        </w:rPr>
      </w:pPr>
    </w:p>
    <w:p>
      <w:pPr>
        <w:ind w:left="452" w:right="420" w:hanging="452"/>
        <w:spacing w:after="0" w:line="209" w:lineRule="auto"/>
        <w:tabs>
          <w:tab w:leader="none" w:pos="452" w:val="left"/>
        </w:tabs>
        <w:numPr>
          <w:ilvl w:val="0"/>
          <w:numId w:val="18"/>
        </w:numPr>
        <w:rPr>
          <w:rFonts w:ascii="Arial" w:cs="Arial" w:eastAsia="Arial" w:hAnsi="Arial"/>
          <w:sz w:val="30"/>
          <w:szCs w:val="30"/>
          <w:color w:val="auto"/>
          <w:vertAlign w:val="superscript"/>
        </w:rPr>
      </w:pPr>
      <w:r>
        <w:rPr>
          <w:rFonts w:ascii="Arial" w:cs="Arial" w:eastAsia="Arial" w:hAnsi="Arial"/>
          <w:sz w:val="18"/>
          <w:szCs w:val="18"/>
          <w:color w:val="auto"/>
        </w:rPr>
        <w:t>The aggregate cost of investments for federal income tax purposes is approximately $359 million. The aggregate gross unrealized appreciation is approximately $11 million, the aggregate gross unrealized depreciation is approximately $58 million, and the net unrealized depreciation is approximately $47 million.</w:t>
      </w:r>
    </w:p>
    <w:p>
      <w:pPr>
        <w:spacing w:after="0" w:line="89" w:lineRule="exact"/>
        <w:rPr>
          <w:sz w:val="20"/>
          <w:szCs w:val="20"/>
          <w:color w:val="auto"/>
        </w:rPr>
      </w:pPr>
    </w:p>
    <w:p>
      <w:pPr>
        <w:ind w:left="452" w:hanging="452"/>
        <w:spacing w:after="0"/>
        <w:tabs>
          <w:tab w:leader="none" w:pos="452" w:val="left"/>
        </w:tabs>
        <w:numPr>
          <w:ilvl w:val="0"/>
          <w:numId w:val="19"/>
        </w:numPr>
        <w:rPr>
          <w:rFonts w:ascii="Arial" w:cs="Arial" w:eastAsia="Arial" w:hAnsi="Arial"/>
          <w:sz w:val="30"/>
          <w:szCs w:val="30"/>
          <w:color w:val="auto"/>
          <w:vertAlign w:val="superscript"/>
        </w:rPr>
      </w:pPr>
      <w:r>
        <w:rPr>
          <w:rFonts w:ascii="Arial" w:cs="Arial" w:eastAsia="Arial" w:hAnsi="Arial"/>
          <w:sz w:val="18"/>
          <w:szCs w:val="18"/>
          <w:color w:val="auto"/>
        </w:rPr>
        <w:t>Non-income producing.</w:t>
      </w:r>
    </w:p>
    <w:p>
      <w:pPr>
        <w:spacing w:after="0" w:line="87" w:lineRule="exact"/>
        <w:rPr>
          <w:sz w:val="20"/>
          <w:szCs w:val="20"/>
          <w:color w:val="auto"/>
        </w:rPr>
      </w:pPr>
    </w:p>
    <w:p>
      <w:pPr>
        <w:ind w:left="452" w:hanging="452"/>
        <w:spacing w:after="0"/>
        <w:tabs>
          <w:tab w:leader="none" w:pos="452" w:val="left"/>
        </w:tabs>
        <w:numPr>
          <w:ilvl w:val="0"/>
          <w:numId w:val="20"/>
        </w:numPr>
        <w:rPr>
          <w:rFonts w:ascii="Arial" w:cs="Arial" w:eastAsia="Arial" w:hAnsi="Arial"/>
          <w:sz w:val="30"/>
          <w:szCs w:val="30"/>
          <w:color w:val="auto"/>
          <w:vertAlign w:val="superscript"/>
        </w:rPr>
      </w:pPr>
      <w:r>
        <w:rPr>
          <w:rFonts w:ascii="Arial" w:cs="Arial" w:eastAsia="Arial" w:hAnsi="Arial"/>
          <w:sz w:val="18"/>
          <w:szCs w:val="18"/>
          <w:color w:val="auto"/>
        </w:rPr>
        <w:t>An affiliate CLO Fund managed by an Asset Manager Affiliate (as such term is defined in the notes to the financial statements).</w:t>
      </w:r>
    </w:p>
    <w:p>
      <w:pPr>
        <w:spacing w:after="0" w:line="87" w:lineRule="exact"/>
        <w:rPr>
          <w:sz w:val="20"/>
          <w:szCs w:val="20"/>
          <w:color w:val="auto"/>
        </w:rPr>
      </w:pPr>
    </w:p>
    <w:p>
      <w:pPr>
        <w:ind w:left="452" w:hanging="452"/>
        <w:spacing w:after="0"/>
        <w:tabs>
          <w:tab w:leader="none" w:pos="452" w:val="left"/>
        </w:tabs>
        <w:numPr>
          <w:ilvl w:val="0"/>
          <w:numId w:val="21"/>
        </w:numPr>
        <w:rPr>
          <w:rFonts w:ascii="Arial" w:cs="Arial" w:eastAsia="Arial" w:hAnsi="Arial"/>
          <w:sz w:val="30"/>
          <w:szCs w:val="30"/>
          <w:color w:val="auto"/>
          <w:vertAlign w:val="superscript"/>
        </w:rPr>
      </w:pPr>
      <w:r>
        <w:rPr>
          <w:rFonts w:ascii="Arial" w:cs="Arial" w:eastAsia="Arial" w:hAnsi="Arial"/>
          <w:sz w:val="18"/>
          <w:szCs w:val="18"/>
          <w:color w:val="auto"/>
        </w:rPr>
        <w:t>Loan or debt security is on non-accrual status and therefore is considered non-income producing.</w:t>
      </w:r>
    </w:p>
    <w:p>
      <w:pPr>
        <w:spacing w:after="0" w:line="87" w:lineRule="exact"/>
        <w:rPr>
          <w:sz w:val="20"/>
          <w:szCs w:val="20"/>
          <w:color w:val="auto"/>
        </w:rPr>
      </w:pPr>
    </w:p>
    <w:p>
      <w:pPr>
        <w:ind w:left="452" w:hanging="452"/>
        <w:spacing w:after="0"/>
        <w:tabs>
          <w:tab w:leader="none" w:pos="452" w:val="left"/>
        </w:tabs>
        <w:numPr>
          <w:ilvl w:val="0"/>
          <w:numId w:val="22"/>
        </w:numPr>
        <w:rPr>
          <w:rFonts w:ascii="Arial" w:cs="Arial" w:eastAsia="Arial" w:hAnsi="Arial"/>
          <w:sz w:val="30"/>
          <w:szCs w:val="30"/>
          <w:color w:val="auto"/>
          <w:vertAlign w:val="superscript"/>
        </w:rPr>
      </w:pPr>
      <w:r>
        <w:rPr>
          <w:rFonts w:ascii="Arial" w:cs="Arial" w:eastAsia="Arial" w:hAnsi="Arial"/>
          <w:sz w:val="18"/>
          <w:szCs w:val="18"/>
          <w:color w:val="auto"/>
        </w:rPr>
        <w:t>Money market account holding restricted cash and security deposits for employee flexible spending and payroll related accounts.</w:t>
      </w:r>
    </w:p>
    <w:p>
      <w:pPr>
        <w:spacing w:after="0" w:line="87" w:lineRule="exact"/>
        <w:rPr>
          <w:sz w:val="20"/>
          <w:szCs w:val="20"/>
          <w:color w:val="auto"/>
        </w:rPr>
      </w:pPr>
    </w:p>
    <w:p>
      <w:pPr>
        <w:ind w:left="452" w:hanging="452"/>
        <w:spacing w:after="0"/>
        <w:tabs>
          <w:tab w:leader="none" w:pos="452" w:val="left"/>
        </w:tabs>
        <w:numPr>
          <w:ilvl w:val="0"/>
          <w:numId w:val="23"/>
        </w:numPr>
        <w:rPr>
          <w:rFonts w:ascii="Arial" w:cs="Arial" w:eastAsia="Arial" w:hAnsi="Arial"/>
          <w:sz w:val="30"/>
          <w:szCs w:val="30"/>
          <w:color w:val="auto"/>
          <w:vertAlign w:val="superscript"/>
        </w:rPr>
      </w:pPr>
      <w:r>
        <w:rPr>
          <w:rFonts w:ascii="Arial" w:cs="Arial" w:eastAsia="Arial" w:hAnsi="Arial"/>
          <w:sz w:val="18"/>
          <w:szCs w:val="18"/>
          <w:color w:val="auto"/>
        </w:rPr>
        <w:t>Qualified asset for purposes of section 55(a) of the Investment Company Act of 1940.</w:t>
      </w:r>
    </w:p>
    <w:p>
      <w:pPr>
        <w:spacing w:after="0" w:line="163" w:lineRule="exact"/>
        <w:rPr>
          <w:rFonts w:ascii="Arial" w:cs="Arial" w:eastAsia="Arial" w:hAnsi="Arial"/>
          <w:sz w:val="30"/>
          <w:szCs w:val="30"/>
          <w:color w:val="auto"/>
          <w:vertAlign w:val="superscript"/>
        </w:rPr>
      </w:pPr>
    </w:p>
    <w:p>
      <w:pPr>
        <w:ind w:left="452" w:hanging="452"/>
        <w:spacing w:after="0" w:line="186" w:lineRule="auto"/>
        <w:tabs>
          <w:tab w:leader="none" w:pos="452" w:val="left"/>
        </w:tabs>
        <w:numPr>
          <w:ilvl w:val="0"/>
          <w:numId w:val="23"/>
        </w:numPr>
        <w:rPr>
          <w:rFonts w:ascii="Arial" w:cs="Arial" w:eastAsia="Arial" w:hAnsi="Arial"/>
          <w:sz w:val="30"/>
          <w:szCs w:val="30"/>
          <w:color w:val="auto"/>
          <w:vertAlign w:val="superscript"/>
        </w:rPr>
      </w:pPr>
      <w:r>
        <w:rPr>
          <w:rFonts w:ascii="Arial" w:cs="Arial" w:eastAsia="Arial" w:hAnsi="Arial"/>
          <w:sz w:val="18"/>
          <w:szCs w:val="18"/>
          <w:color w:val="auto"/>
        </w:rPr>
        <w:t>As of December 31, 2012, this CLO Fund Security was not providing a dividend distribution.</w:t>
      </w:r>
    </w:p>
    <w:p>
      <w:pPr>
        <w:spacing w:after="0" w:line="200" w:lineRule="exact"/>
        <w:rPr>
          <w:sz w:val="20"/>
          <w:szCs w:val="20"/>
          <w:color w:val="auto"/>
        </w:rPr>
      </w:pPr>
    </w:p>
    <w:p>
      <w:pPr>
        <w:spacing w:after="0" w:line="246"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12"/>
          </w:cols>
          <w:pgMar w:left="248" w:top="908"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HIGHLIGHTS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20" w:type="dxa"/>
            <w:vAlign w:val="bottom"/>
            <w:gridSpan w:val="6"/>
          </w:tcPr>
          <w:p>
            <w:pPr>
              <w:jc w:val="right"/>
              <w:ind w:right="108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78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8"/>
                <w:szCs w:val="18"/>
                <w:b w:val="1"/>
                <w:bCs w:val="1"/>
                <w:color w:val="auto"/>
              </w:rPr>
              <w:t>March 31,</w:t>
            </w:r>
          </w:p>
        </w:tc>
        <w:tc>
          <w:tcPr>
            <w:tcW w:w="10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78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9"/>
                <w:szCs w:val="19"/>
                <w:color w:val="auto"/>
              </w:rPr>
            </w:pPr>
          </w:p>
        </w:tc>
      </w:tr>
      <w:tr>
        <w:trPr>
          <w:trHeight w:val="210"/>
        </w:trPr>
        <w:tc>
          <w:tcPr>
            <w:tcW w:w="7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57"/>
        </w:trPr>
        <w:tc>
          <w:tcPr>
            <w:tcW w:w="78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Per Share Data:</w:t>
            </w:r>
          </w:p>
        </w:tc>
        <w:tc>
          <w:tcPr>
            <w:tcW w:w="320" w:type="dxa"/>
            <w:vAlign w:val="bottom"/>
            <w:shd w:val="clear" w:color="auto" w:fill="CCFFCC"/>
          </w:tcPr>
          <w:p>
            <w:pPr>
              <w:spacing w:after="0"/>
              <w:rPr>
                <w:sz w:val="22"/>
                <w:szCs w:val="22"/>
                <w:color w:val="auto"/>
              </w:rPr>
            </w:pPr>
          </w:p>
        </w:tc>
        <w:tc>
          <w:tcPr>
            <w:tcW w:w="1160" w:type="dxa"/>
            <w:vAlign w:val="bottom"/>
            <w:shd w:val="clear" w:color="auto" w:fill="CCFFCC"/>
          </w:tcPr>
          <w:p>
            <w:pPr>
              <w:spacing w:after="0"/>
              <w:rPr>
                <w:sz w:val="22"/>
                <w:szCs w:val="22"/>
                <w:color w:val="auto"/>
              </w:rPr>
            </w:pPr>
          </w:p>
        </w:tc>
        <w:tc>
          <w:tcPr>
            <w:tcW w:w="2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380" w:type="dxa"/>
            <w:vAlign w:val="bottom"/>
            <w:shd w:val="clear" w:color="auto" w:fill="CCFFCC"/>
          </w:tcPr>
          <w:p>
            <w:pPr>
              <w:spacing w:after="0"/>
              <w:rPr>
                <w:sz w:val="22"/>
                <w:szCs w:val="22"/>
                <w:color w:val="auto"/>
              </w:rPr>
            </w:pPr>
          </w:p>
        </w:tc>
        <w:tc>
          <w:tcPr>
            <w:tcW w:w="108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7.85</w:t>
            </w:r>
          </w:p>
        </w:tc>
        <w:tc>
          <w:tcPr>
            <w:tcW w:w="50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7.85</w:t>
            </w:r>
          </w:p>
        </w:tc>
      </w:tr>
      <w:tr>
        <w:trPr>
          <w:trHeight w:val="257"/>
        </w:trPr>
        <w:tc>
          <w:tcPr>
            <w:tcW w:w="7880" w:type="dxa"/>
            <w:vAlign w:val="bottom"/>
            <w:shd w:val="clear" w:color="auto" w:fill="CCFFCC"/>
          </w:tcPr>
          <w:p>
            <w:pPr>
              <w:ind w:left="320"/>
              <w:spacing w:after="0" w:line="256" w:lineRule="exact"/>
              <w:rPr>
                <w:sz w:val="20"/>
                <w:szCs w:val="20"/>
                <w:color w:val="auto"/>
              </w:rPr>
            </w:pPr>
            <w:r>
              <w:rPr>
                <w:rFonts w:ascii="Arial" w:cs="Arial" w:eastAsia="Arial" w:hAnsi="Arial"/>
                <w:sz w:val="18"/>
                <w:szCs w:val="18"/>
                <w:color w:val="auto"/>
              </w:rPr>
              <w:t>Net investment income</w:t>
            </w:r>
            <w:r>
              <w:rPr>
                <w:rFonts w:ascii="Arial" w:cs="Arial" w:eastAsia="Arial" w:hAnsi="Arial"/>
                <w:sz w:val="29"/>
                <w:szCs w:val="29"/>
                <w:color w:val="auto"/>
                <w:vertAlign w:val="superscript"/>
              </w:rPr>
              <w:t>1</w:t>
            </w:r>
          </w:p>
        </w:tc>
        <w:tc>
          <w:tcPr>
            <w:tcW w:w="320" w:type="dxa"/>
            <w:vAlign w:val="bottom"/>
            <w:shd w:val="clear" w:color="auto" w:fill="CCFFCC"/>
          </w:tcPr>
          <w:p>
            <w:pPr>
              <w:spacing w:after="0"/>
              <w:rPr>
                <w:sz w:val="22"/>
                <w:szCs w:val="22"/>
                <w:color w:val="auto"/>
              </w:rPr>
            </w:pPr>
          </w:p>
        </w:tc>
        <w:tc>
          <w:tcPr>
            <w:tcW w:w="14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FFCC"/>
          </w:tcPr>
          <w:p>
            <w:pPr>
              <w:spacing w:after="0"/>
              <w:rPr>
                <w:sz w:val="22"/>
                <w:szCs w:val="22"/>
                <w:color w:val="auto"/>
              </w:rPr>
            </w:pPr>
          </w:p>
        </w:tc>
        <w:tc>
          <w:tcPr>
            <w:tcW w:w="380" w:type="dxa"/>
            <w:vAlign w:val="bottom"/>
            <w:shd w:val="clear" w:color="auto" w:fill="CCFFCC"/>
          </w:tcPr>
          <w:p>
            <w:pPr>
              <w:spacing w:after="0"/>
              <w:rPr>
                <w:sz w:val="22"/>
                <w:szCs w:val="22"/>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0.15</w:t>
            </w:r>
          </w:p>
        </w:tc>
      </w:tr>
      <w:tr>
        <w:trPr>
          <w:trHeight w:val="257"/>
        </w:trPr>
        <w:tc>
          <w:tcPr>
            <w:tcW w:w="7880" w:type="dxa"/>
            <w:vAlign w:val="bottom"/>
          </w:tcPr>
          <w:p>
            <w:pPr>
              <w:ind w:left="320"/>
              <w:spacing w:after="0" w:line="256" w:lineRule="exact"/>
              <w:rPr>
                <w:sz w:val="20"/>
                <w:szCs w:val="20"/>
                <w:color w:val="auto"/>
              </w:rPr>
            </w:pPr>
            <w:r>
              <w:rPr>
                <w:rFonts w:ascii="Arial" w:cs="Arial" w:eastAsia="Arial" w:hAnsi="Arial"/>
                <w:sz w:val="18"/>
                <w:szCs w:val="18"/>
                <w:color w:val="auto"/>
              </w:rPr>
              <w:t>Net realized gain</w:t>
            </w:r>
            <w:r>
              <w:rPr>
                <w:rFonts w:ascii="Arial" w:cs="Arial" w:eastAsia="Arial" w:hAnsi="Arial"/>
                <w:sz w:val="29"/>
                <w:szCs w:val="29"/>
                <w:color w:val="auto"/>
                <w:vertAlign w:val="superscript"/>
              </w:rPr>
              <w:t>1</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0.01</w:t>
            </w:r>
          </w:p>
        </w:tc>
      </w:tr>
      <w:tr>
        <w:trPr>
          <w:trHeight w:val="270"/>
        </w:trPr>
        <w:tc>
          <w:tcPr>
            <w:tcW w:w="7880" w:type="dxa"/>
            <w:vAlign w:val="bottom"/>
            <w:shd w:val="clear" w:color="auto" w:fill="CCFFCC"/>
          </w:tcPr>
          <w:p>
            <w:pPr>
              <w:ind w:left="320"/>
              <w:spacing w:after="0" w:line="269" w:lineRule="exact"/>
              <w:rPr>
                <w:sz w:val="20"/>
                <w:szCs w:val="20"/>
                <w:color w:val="auto"/>
              </w:rPr>
            </w:pPr>
            <w:r>
              <w:rPr>
                <w:rFonts w:ascii="Arial" w:cs="Arial" w:eastAsia="Arial" w:hAnsi="Arial"/>
                <w:sz w:val="18"/>
                <w:szCs w:val="18"/>
                <w:color w:val="auto"/>
              </w:rPr>
              <w:t>Net change in unrealized apreciation (depreciation) on investments</w:t>
            </w:r>
            <w:r>
              <w:rPr>
                <w:rFonts w:ascii="Arial" w:cs="Arial" w:eastAsia="Arial" w:hAnsi="Arial"/>
                <w:sz w:val="30"/>
                <w:szCs w:val="30"/>
                <w:color w:val="auto"/>
                <w:vertAlign w:val="superscript"/>
              </w:rPr>
              <w:t>1</w:t>
            </w:r>
          </w:p>
        </w:tc>
        <w:tc>
          <w:tcPr>
            <w:tcW w:w="320" w:type="dxa"/>
            <w:vAlign w:val="bottom"/>
            <w:shd w:val="clear" w:color="auto" w:fill="CCFFCC"/>
          </w:tcPr>
          <w:p>
            <w:pPr>
              <w:spacing w:after="0"/>
              <w:rPr>
                <w:sz w:val="23"/>
                <w:szCs w:val="23"/>
                <w:color w:val="auto"/>
              </w:rPr>
            </w:pPr>
          </w:p>
        </w:tc>
        <w:tc>
          <w:tcPr>
            <w:tcW w:w="14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FFCC"/>
          </w:tcPr>
          <w:p>
            <w:pPr>
              <w:spacing w:after="0"/>
              <w:rPr>
                <w:sz w:val="23"/>
                <w:szCs w:val="23"/>
                <w:color w:val="auto"/>
              </w:rPr>
            </w:pPr>
          </w:p>
        </w:tc>
        <w:tc>
          <w:tcPr>
            <w:tcW w:w="380" w:type="dxa"/>
            <w:vAlign w:val="bottom"/>
            <w:shd w:val="clear" w:color="auto" w:fill="CCFFCC"/>
          </w:tcPr>
          <w:p>
            <w:pPr>
              <w:spacing w:after="0"/>
              <w:rPr>
                <w:sz w:val="23"/>
                <w:szCs w:val="23"/>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(0.25)</w:t>
            </w:r>
          </w:p>
        </w:tc>
      </w:tr>
      <w:tr>
        <w:trPr>
          <w:trHeight w:val="210"/>
        </w:trPr>
        <w:tc>
          <w:tcPr>
            <w:tcW w:w="7880" w:type="dxa"/>
            <w:vAlign w:val="bottom"/>
          </w:tcPr>
          <w:p>
            <w:pPr>
              <w:ind w:left="540"/>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220" w:type="dxa"/>
            <w:vAlign w:val="bottom"/>
          </w:tcPr>
          <w:p>
            <w:pPr>
              <w:spacing w:after="0"/>
              <w:rPr>
                <w:sz w:val="18"/>
                <w:szCs w:val="18"/>
                <w:color w:val="auto"/>
              </w:rPr>
            </w:pPr>
          </w:p>
        </w:tc>
      </w:tr>
      <w:tr>
        <w:trPr>
          <w:trHeight w:val="216"/>
        </w:trPr>
        <w:tc>
          <w:tcPr>
            <w:tcW w:w="78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Issuance of common stock (not including dividend reinvestment plan)</w:t>
            </w:r>
          </w:p>
        </w:tc>
        <w:tc>
          <w:tcPr>
            <w:tcW w:w="32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r>
      <w:tr>
        <w:trPr>
          <w:trHeight w:val="216"/>
        </w:trPr>
        <w:tc>
          <w:tcPr>
            <w:tcW w:w="7880" w:type="dxa"/>
            <w:vAlign w:val="bottom"/>
          </w:tcPr>
          <w:p>
            <w:pPr>
              <w:ind w:left="320"/>
              <w:spacing w:after="0"/>
              <w:rPr>
                <w:sz w:val="20"/>
                <w:szCs w:val="20"/>
                <w:color w:val="auto"/>
              </w:rPr>
            </w:pPr>
            <w:r>
              <w:rPr>
                <w:rFonts w:ascii="Arial" w:cs="Arial" w:eastAsia="Arial" w:hAnsi="Arial"/>
                <w:sz w:val="18"/>
                <w:szCs w:val="18"/>
                <w:color w:val="auto"/>
              </w:rPr>
              <w:t>Issuance of common stock under dividend reinvestment plan</w:t>
            </w:r>
          </w:p>
        </w:tc>
        <w:tc>
          <w:tcPr>
            <w:tcW w:w="3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0.01</w:t>
            </w:r>
          </w:p>
        </w:tc>
      </w:tr>
      <w:tr>
        <w:trPr>
          <w:trHeight w:val="230"/>
        </w:trPr>
        <w:tc>
          <w:tcPr>
            <w:tcW w:w="78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Stock based compensation expense</w:t>
            </w:r>
          </w:p>
        </w:tc>
        <w:tc>
          <w:tcPr>
            <w:tcW w:w="320" w:type="dxa"/>
            <w:vAlign w:val="bottom"/>
            <w:shd w:val="clear" w:color="auto" w:fill="CCFFCC"/>
          </w:tcPr>
          <w:p>
            <w:pPr>
              <w:spacing w:after="0"/>
              <w:rPr>
                <w:sz w:val="19"/>
                <w:szCs w:val="19"/>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38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0.01</w:t>
            </w:r>
          </w:p>
        </w:tc>
      </w:tr>
      <w:tr>
        <w:trPr>
          <w:trHeight w:val="210"/>
        </w:trPr>
        <w:tc>
          <w:tcPr>
            <w:tcW w:w="7880" w:type="dxa"/>
            <w:vAlign w:val="bottom"/>
          </w:tcPr>
          <w:p>
            <w:pPr>
              <w:ind w:left="540"/>
              <w:spacing w:after="0"/>
              <w:rPr>
                <w:sz w:val="20"/>
                <w:szCs w:val="20"/>
                <w:color w:val="auto"/>
              </w:rPr>
            </w:pPr>
            <w:r>
              <w:rPr>
                <w:rFonts w:ascii="Arial" w:cs="Arial" w:eastAsia="Arial" w:hAnsi="Arial"/>
                <w:sz w:val="18"/>
                <w:szCs w:val="18"/>
                <w:color w:val="auto"/>
              </w:rPr>
              <w:t>Net increase in net assets relating to stock-based transactions</w:t>
            </w: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Pr>
          <w:p>
            <w:pPr>
              <w:spacing w:after="0"/>
              <w:rPr>
                <w:sz w:val="18"/>
                <w:szCs w:val="18"/>
                <w:color w:val="auto"/>
              </w:rPr>
            </w:pPr>
          </w:p>
        </w:tc>
      </w:tr>
      <w:tr>
        <w:trPr>
          <w:trHeight w:val="230"/>
        </w:trPr>
        <w:tc>
          <w:tcPr>
            <w:tcW w:w="7880" w:type="dxa"/>
            <w:vAlign w:val="bottom"/>
            <w:shd w:val="clear" w:color="auto" w:fill="CCFFCC"/>
          </w:tcPr>
          <w:p>
            <w:pPr>
              <w:spacing w:after="0"/>
              <w:rPr>
                <w:sz w:val="19"/>
                <w:szCs w:val="19"/>
                <w:color w:val="auto"/>
              </w:rPr>
            </w:pPr>
          </w:p>
        </w:tc>
        <w:tc>
          <w:tcPr>
            <w:tcW w:w="320" w:type="dxa"/>
            <w:vAlign w:val="bottom"/>
            <w:tcBorders>
              <w:bottom w:val="single" w:sz="8" w:color="auto"/>
            </w:tcBorders>
            <w:shd w:val="clear" w:color="auto" w:fill="CCFFCC"/>
          </w:tcPr>
          <w:p>
            <w:pPr>
              <w:spacing w:after="0"/>
              <w:rPr>
                <w:sz w:val="19"/>
                <w:szCs w:val="19"/>
                <w:color w:val="auto"/>
              </w:rPr>
            </w:pPr>
          </w:p>
        </w:tc>
        <w:tc>
          <w:tcPr>
            <w:tcW w:w="1160" w:type="dxa"/>
            <w:vAlign w:val="bottom"/>
            <w:tcBorders>
              <w:bottom w:val="single" w:sz="8" w:color="auto"/>
            </w:tcBorders>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380" w:type="dxa"/>
            <w:vAlign w:val="bottom"/>
            <w:tcBorders>
              <w:bottom w:val="single" w:sz="8" w:color="auto"/>
            </w:tcBorders>
            <w:shd w:val="clear" w:color="auto" w:fill="CCFFCC"/>
          </w:tcPr>
          <w:p>
            <w:pPr>
              <w:spacing w:after="0"/>
              <w:rPr>
                <w:sz w:val="19"/>
                <w:szCs w:val="19"/>
                <w:color w:val="auto"/>
              </w:rPr>
            </w:pPr>
          </w:p>
        </w:tc>
        <w:tc>
          <w:tcPr>
            <w:tcW w:w="1080" w:type="dxa"/>
            <w:vAlign w:val="bottom"/>
            <w:tcBorders>
              <w:bottom w:val="single" w:sz="8" w:color="auto"/>
            </w:tcBorders>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r>
      <w:tr>
        <w:trPr>
          <w:trHeight w:val="263"/>
        </w:trPr>
        <w:tc>
          <w:tcPr>
            <w:tcW w:w="78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Net asset value, end of period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260" w:type="dxa"/>
            <w:vAlign w:val="bottom"/>
            <w:tcBorders>
              <w:bottom w:val="single" w:sz="8" w:color="CCFFCC"/>
            </w:tcBorders>
          </w:tcPr>
          <w:p>
            <w:pPr>
              <w:spacing w:after="0"/>
              <w:rPr>
                <w:sz w:val="22"/>
                <w:szCs w:val="22"/>
                <w:color w:val="auto"/>
              </w:rPr>
            </w:pPr>
          </w:p>
        </w:tc>
        <w:tc>
          <w:tcPr>
            <w:tcW w:w="120" w:type="dxa"/>
            <w:vAlign w:val="bottom"/>
            <w:tcBorders>
              <w:bottom w:val="single" w:sz="8" w:color="CCFFCC"/>
            </w:tcBorders>
          </w:tcPr>
          <w:p>
            <w:pPr>
              <w:spacing w:after="0"/>
              <w:rPr>
                <w:sz w:val="22"/>
                <w:szCs w:val="22"/>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220" w:type="dxa"/>
            <w:vAlign w:val="bottom"/>
            <w:tcBorders>
              <w:bottom w:val="single" w:sz="8" w:color="CCFFCC"/>
            </w:tcBorders>
          </w:tcPr>
          <w:p>
            <w:pPr>
              <w:spacing w:after="0"/>
              <w:rPr>
                <w:sz w:val="22"/>
                <w:szCs w:val="22"/>
                <w:color w:val="auto"/>
              </w:rPr>
            </w:pPr>
          </w:p>
        </w:tc>
      </w:tr>
      <w:tr>
        <w:trPr>
          <w:trHeight w:val="210"/>
        </w:trPr>
        <w:tc>
          <w:tcPr>
            <w:tcW w:w="7880" w:type="dxa"/>
            <w:vAlign w:val="bottom"/>
            <w:shd w:val="clear" w:color="auto" w:fill="CCFFCC"/>
          </w:tcPr>
          <w:p>
            <w:pPr>
              <w:spacing w:after="0" w:line="210" w:lineRule="exact"/>
              <w:rPr>
                <w:sz w:val="20"/>
                <w:szCs w:val="20"/>
                <w:color w:val="auto"/>
              </w:rPr>
            </w:pPr>
            <w:r>
              <w:rPr>
                <w:rFonts w:ascii="Arial" w:cs="Arial" w:eastAsia="Arial" w:hAnsi="Arial"/>
                <w:sz w:val="15"/>
                <w:szCs w:val="15"/>
                <w:color w:val="auto"/>
              </w:rPr>
              <w:t>Total net asset value return</w:t>
            </w:r>
            <w:r>
              <w:rPr>
                <w:rFonts w:ascii="Arial" w:cs="Arial" w:eastAsia="Arial" w:hAnsi="Arial"/>
                <w:sz w:val="24"/>
                <w:szCs w:val="24"/>
                <w:color w:val="auto"/>
                <w:vertAlign w:val="superscript"/>
              </w:rPr>
              <w:t>2</w:t>
            </w:r>
          </w:p>
        </w:tc>
        <w:tc>
          <w:tcPr>
            <w:tcW w:w="32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(0.9)%</w:t>
            </w:r>
          </w:p>
        </w:tc>
      </w:tr>
      <w:tr>
        <w:trPr>
          <w:trHeight w:val="216"/>
        </w:trPr>
        <w:tc>
          <w:tcPr>
            <w:tcW w:w="7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57"/>
        </w:trPr>
        <w:tc>
          <w:tcPr>
            <w:tcW w:w="78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Ratio/Supplemental Data:</w:t>
            </w:r>
          </w:p>
        </w:tc>
        <w:tc>
          <w:tcPr>
            <w:tcW w:w="320" w:type="dxa"/>
            <w:vAlign w:val="bottom"/>
            <w:shd w:val="clear" w:color="auto" w:fill="CCFFCC"/>
          </w:tcPr>
          <w:p>
            <w:pPr>
              <w:spacing w:after="0"/>
              <w:rPr>
                <w:sz w:val="22"/>
                <w:szCs w:val="22"/>
                <w:color w:val="auto"/>
              </w:rPr>
            </w:pPr>
          </w:p>
        </w:tc>
        <w:tc>
          <w:tcPr>
            <w:tcW w:w="1160" w:type="dxa"/>
            <w:vAlign w:val="bottom"/>
            <w:shd w:val="clear" w:color="auto" w:fill="CCFFCC"/>
          </w:tcPr>
          <w:p>
            <w:pPr>
              <w:spacing w:after="0"/>
              <w:rPr>
                <w:sz w:val="22"/>
                <w:szCs w:val="22"/>
                <w:color w:val="auto"/>
              </w:rPr>
            </w:pPr>
          </w:p>
        </w:tc>
        <w:tc>
          <w:tcPr>
            <w:tcW w:w="2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380" w:type="dxa"/>
            <w:vAlign w:val="bottom"/>
            <w:shd w:val="clear" w:color="auto" w:fill="CCFFCC"/>
          </w:tcPr>
          <w:p>
            <w:pPr>
              <w:spacing w:after="0"/>
              <w:rPr>
                <w:sz w:val="22"/>
                <w:szCs w:val="22"/>
                <w:color w:val="auto"/>
              </w:rPr>
            </w:pPr>
          </w:p>
        </w:tc>
        <w:tc>
          <w:tcPr>
            <w:tcW w:w="108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Per share market value at beginning of period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9.19</w:t>
            </w:r>
          </w:p>
        </w:tc>
        <w:tc>
          <w:tcPr>
            <w:tcW w:w="50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6.31</w:t>
            </w:r>
          </w:p>
        </w:tc>
      </w:tr>
      <w:tr>
        <w:trPr>
          <w:trHeight w:val="216"/>
        </w:trPr>
        <w:tc>
          <w:tcPr>
            <w:tcW w:w="7880" w:type="dxa"/>
            <w:vAlign w:val="bottom"/>
            <w:shd w:val="clear" w:color="auto" w:fill="CCFFCC"/>
          </w:tcPr>
          <w:p>
            <w:pPr>
              <w:spacing w:after="0"/>
              <w:rPr>
                <w:sz w:val="20"/>
                <w:szCs w:val="20"/>
                <w:color w:val="auto"/>
              </w:rPr>
            </w:pPr>
            <w:r>
              <w:rPr>
                <w:rFonts w:ascii="Arial" w:cs="Arial" w:eastAsia="Arial" w:hAnsi="Arial"/>
                <w:sz w:val="18"/>
                <w:szCs w:val="18"/>
                <w:color w:val="auto"/>
              </w:rPr>
              <w:t>Per share market value at end of period</w:t>
            </w: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10.77</w:t>
            </w:r>
          </w:p>
        </w:tc>
        <w:tc>
          <w:tcPr>
            <w:tcW w:w="500" w:type="dxa"/>
            <w:vAlign w:val="bottom"/>
            <w:gridSpan w:val="2"/>
            <w:shd w:val="clear" w:color="auto" w:fill="CCFFCC"/>
          </w:tcPr>
          <w:p>
            <w:pPr>
              <w:jc w:val="right"/>
              <w:ind w:right="22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6.91</w:t>
            </w:r>
          </w:p>
        </w:tc>
      </w:tr>
      <w:tr>
        <w:trPr>
          <w:trHeight w:val="257"/>
        </w:trPr>
        <w:tc>
          <w:tcPr>
            <w:tcW w:w="7880" w:type="dxa"/>
            <w:vAlign w:val="bottom"/>
          </w:tcPr>
          <w:p>
            <w:pPr>
              <w:spacing w:after="0" w:line="256" w:lineRule="exact"/>
              <w:rPr>
                <w:sz w:val="20"/>
                <w:szCs w:val="20"/>
                <w:color w:val="auto"/>
              </w:rPr>
            </w:pPr>
            <w:r>
              <w:rPr>
                <w:rFonts w:ascii="Arial" w:cs="Arial" w:eastAsia="Arial" w:hAnsi="Arial"/>
                <w:sz w:val="18"/>
                <w:szCs w:val="18"/>
                <w:color w:val="auto"/>
              </w:rPr>
              <w:t>Total market return</w:t>
            </w:r>
            <w:r>
              <w:rPr>
                <w:rFonts w:ascii="Arial" w:cs="Arial" w:eastAsia="Arial" w:hAnsi="Arial"/>
                <w:sz w:val="29"/>
                <w:szCs w:val="29"/>
                <w:color w:val="auto"/>
                <w:vertAlign w:val="superscript"/>
              </w:rPr>
              <w:t>3</w:t>
            </w:r>
          </w:p>
        </w:tc>
        <w:tc>
          <w:tcPr>
            <w:tcW w:w="320" w:type="dxa"/>
            <w:vAlign w:val="bottom"/>
          </w:tcPr>
          <w:p>
            <w:pPr>
              <w:spacing w:after="0"/>
              <w:rPr>
                <w:sz w:val="22"/>
                <w:szCs w:val="22"/>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r>
      <w:tr>
        <w:trPr>
          <w:trHeight w:val="216"/>
        </w:trPr>
        <w:tc>
          <w:tcPr>
            <w:tcW w:w="7880" w:type="dxa"/>
            <w:vAlign w:val="bottom"/>
            <w:shd w:val="clear" w:color="auto" w:fill="CCFFCC"/>
          </w:tcPr>
          <w:p>
            <w:pPr>
              <w:spacing w:after="0"/>
              <w:rPr>
                <w:sz w:val="20"/>
                <w:szCs w:val="20"/>
                <w:color w:val="auto"/>
              </w:rPr>
            </w:pPr>
            <w:r>
              <w:rPr>
                <w:rFonts w:ascii="Arial" w:cs="Arial" w:eastAsia="Arial" w:hAnsi="Arial"/>
                <w:sz w:val="18"/>
                <w:szCs w:val="18"/>
                <w:color w:val="auto"/>
              </w:rPr>
              <w:t>Shares outstanding at end of period</w:t>
            </w:r>
          </w:p>
        </w:tc>
        <w:tc>
          <w:tcPr>
            <w:tcW w:w="32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31,936,480</w:t>
            </w:r>
          </w:p>
        </w:tc>
        <w:tc>
          <w:tcPr>
            <w:tcW w:w="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26,609,963</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265,872,325</w:t>
            </w:r>
          </w:p>
        </w:tc>
        <w:tc>
          <w:tcPr>
            <w:tcW w:w="260" w:type="dxa"/>
            <w:vAlign w:val="bottom"/>
          </w:tcPr>
          <w:p>
            <w:pPr>
              <w:spacing w:after="0"/>
              <w:rPr>
                <w:sz w:val="18"/>
                <w:szCs w:val="18"/>
                <w:color w:val="auto"/>
              </w:rPr>
            </w:pPr>
          </w:p>
        </w:tc>
        <w:tc>
          <w:tcPr>
            <w:tcW w:w="50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206,954,516</w:t>
            </w:r>
          </w:p>
        </w:tc>
        <w:tc>
          <w:tcPr>
            <w:tcW w:w="220" w:type="dxa"/>
            <w:vAlign w:val="bottom"/>
          </w:tcPr>
          <w:p>
            <w:pPr>
              <w:spacing w:after="0"/>
              <w:rPr>
                <w:sz w:val="18"/>
                <w:szCs w:val="18"/>
                <w:color w:val="auto"/>
              </w:rPr>
            </w:pPr>
          </w:p>
        </w:tc>
      </w:tr>
      <w:tr>
        <w:trPr>
          <w:trHeight w:val="257"/>
        </w:trPr>
        <w:tc>
          <w:tcPr>
            <w:tcW w:w="7880" w:type="dxa"/>
            <w:vAlign w:val="bottom"/>
            <w:shd w:val="clear" w:color="auto" w:fill="CCFFCC"/>
          </w:tcPr>
          <w:p>
            <w:pPr>
              <w:spacing w:after="0" w:line="256" w:lineRule="exact"/>
              <w:rPr>
                <w:sz w:val="20"/>
                <w:szCs w:val="20"/>
                <w:color w:val="auto"/>
              </w:rPr>
            </w:pPr>
            <w:r>
              <w:rPr>
                <w:rFonts w:ascii="Arial" w:cs="Arial" w:eastAsia="Arial" w:hAnsi="Arial"/>
                <w:sz w:val="18"/>
                <w:szCs w:val="18"/>
                <w:color w:val="auto"/>
              </w:rPr>
              <w:t>Portfolio turnover rate</w:t>
            </w:r>
            <w:r>
              <w:rPr>
                <w:rFonts w:ascii="Arial" w:cs="Arial" w:eastAsia="Arial" w:hAnsi="Arial"/>
                <w:sz w:val="29"/>
                <w:szCs w:val="29"/>
                <w:color w:val="auto"/>
                <w:vertAlign w:val="superscript"/>
              </w:rPr>
              <w:t>4</w:t>
            </w:r>
          </w:p>
        </w:tc>
        <w:tc>
          <w:tcPr>
            <w:tcW w:w="320" w:type="dxa"/>
            <w:vAlign w:val="bottom"/>
            <w:shd w:val="clear" w:color="auto" w:fill="CCFFCC"/>
          </w:tcPr>
          <w:p>
            <w:pPr>
              <w:spacing w:after="0"/>
              <w:rPr>
                <w:sz w:val="22"/>
                <w:szCs w:val="22"/>
                <w:color w:val="auto"/>
              </w:rPr>
            </w:pP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FFCC"/>
          </w:tcPr>
          <w:p>
            <w:pPr>
              <w:spacing w:after="0"/>
              <w:rPr>
                <w:sz w:val="22"/>
                <w:szCs w:val="22"/>
                <w:color w:val="auto"/>
              </w:rPr>
            </w:pPr>
          </w:p>
        </w:tc>
        <w:tc>
          <w:tcPr>
            <w:tcW w:w="380" w:type="dxa"/>
            <w:vAlign w:val="bottom"/>
            <w:shd w:val="clear" w:color="auto" w:fill="CCFFCC"/>
          </w:tcPr>
          <w:p>
            <w:pPr>
              <w:spacing w:after="0"/>
              <w:rPr>
                <w:sz w:val="22"/>
                <w:szCs w:val="22"/>
                <w:color w:val="auto"/>
              </w:rPr>
            </w:pPr>
          </w:p>
        </w:tc>
        <w:tc>
          <w:tcPr>
            <w:tcW w:w="13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6.9%</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Average debt outstanding</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101,400,000</w:t>
            </w:r>
          </w:p>
        </w:tc>
        <w:tc>
          <w:tcPr>
            <w:tcW w:w="260" w:type="dxa"/>
            <w:vAlign w:val="bottom"/>
          </w:tcPr>
          <w:p>
            <w:pPr>
              <w:spacing w:after="0"/>
              <w:rPr>
                <w:sz w:val="18"/>
                <w:szCs w:val="18"/>
                <w:color w:val="auto"/>
              </w:rPr>
            </w:pPr>
          </w:p>
        </w:tc>
        <w:tc>
          <w:tcPr>
            <w:tcW w:w="50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60,000,000</w:t>
            </w:r>
          </w:p>
        </w:tc>
      </w:tr>
      <w:tr>
        <w:trPr>
          <w:trHeight w:val="216"/>
        </w:trPr>
        <w:tc>
          <w:tcPr>
            <w:tcW w:w="7880" w:type="dxa"/>
            <w:vAlign w:val="bottom"/>
            <w:shd w:val="clear" w:color="auto" w:fill="CCFFCC"/>
          </w:tcPr>
          <w:p>
            <w:pPr>
              <w:spacing w:after="0"/>
              <w:rPr>
                <w:sz w:val="20"/>
                <w:szCs w:val="20"/>
                <w:color w:val="auto"/>
              </w:rPr>
            </w:pPr>
            <w:r>
              <w:rPr>
                <w:rFonts w:ascii="Arial" w:cs="Arial" w:eastAsia="Arial" w:hAnsi="Arial"/>
                <w:sz w:val="18"/>
                <w:szCs w:val="18"/>
                <w:color w:val="auto"/>
              </w:rPr>
              <w:t>Weighted average interest rate on borrowings</w:t>
            </w:r>
          </w:p>
        </w:tc>
        <w:tc>
          <w:tcPr>
            <w:tcW w:w="32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8.8%</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Asset coverage ratio</w:t>
            </w:r>
          </w:p>
        </w:tc>
        <w:tc>
          <w:tcPr>
            <w:tcW w:w="3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445%</w:t>
            </w:r>
          </w:p>
        </w:tc>
      </w:tr>
      <w:tr>
        <w:trPr>
          <w:trHeight w:val="257"/>
        </w:trPr>
        <w:tc>
          <w:tcPr>
            <w:tcW w:w="7880" w:type="dxa"/>
            <w:vAlign w:val="bottom"/>
            <w:shd w:val="clear" w:color="auto" w:fill="CCFFCC"/>
          </w:tcPr>
          <w:p>
            <w:pPr>
              <w:spacing w:after="0" w:line="256" w:lineRule="exact"/>
              <w:rPr>
                <w:sz w:val="20"/>
                <w:szCs w:val="20"/>
                <w:color w:val="auto"/>
              </w:rPr>
            </w:pPr>
            <w:r>
              <w:rPr>
                <w:rFonts w:ascii="Arial" w:cs="Arial" w:eastAsia="Arial" w:hAnsi="Arial"/>
                <w:sz w:val="18"/>
                <w:szCs w:val="18"/>
                <w:color w:val="auto"/>
              </w:rPr>
              <w:t>Ratio of net investment income to average net assets</w:t>
            </w:r>
            <w:r>
              <w:rPr>
                <w:rFonts w:ascii="Arial" w:cs="Arial" w:eastAsia="Arial" w:hAnsi="Arial"/>
                <w:sz w:val="29"/>
                <w:szCs w:val="29"/>
                <w:color w:val="auto"/>
                <w:vertAlign w:val="superscript"/>
              </w:rPr>
              <w:t>5</w:t>
            </w:r>
          </w:p>
        </w:tc>
        <w:tc>
          <w:tcPr>
            <w:tcW w:w="320" w:type="dxa"/>
            <w:vAlign w:val="bottom"/>
            <w:shd w:val="clear" w:color="auto" w:fill="CCFFCC"/>
          </w:tcPr>
          <w:p>
            <w:pPr>
              <w:spacing w:after="0"/>
              <w:rPr>
                <w:sz w:val="22"/>
                <w:szCs w:val="22"/>
                <w:color w:val="auto"/>
              </w:rPr>
            </w:pP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FFCC"/>
          </w:tcPr>
          <w:p>
            <w:pPr>
              <w:spacing w:after="0"/>
              <w:rPr>
                <w:sz w:val="22"/>
                <w:szCs w:val="22"/>
                <w:color w:val="auto"/>
              </w:rPr>
            </w:pPr>
          </w:p>
        </w:tc>
        <w:tc>
          <w:tcPr>
            <w:tcW w:w="380" w:type="dxa"/>
            <w:vAlign w:val="bottom"/>
            <w:shd w:val="clear" w:color="auto" w:fill="CCFFCC"/>
          </w:tcPr>
          <w:p>
            <w:pPr>
              <w:spacing w:after="0"/>
              <w:rPr>
                <w:sz w:val="22"/>
                <w:szCs w:val="22"/>
                <w:color w:val="auto"/>
              </w:rPr>
            </w:pPr>
          </w:p>
        </w:tc>
        <w:tc>
          <w:tcPr>
            <w:tcW w:w="13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7.5%</w:t>
            </w:r>
          </w:p>
        </w:tc>
      </w:tr>
      <w:tr>
        <w:trPr>
          <w:trHeight w:val="257"/>
        </w:trPr>
        <w:tc>
          <w:tcPr>
            <w:tcW w:w="7880" w:type="dxa"/>
            <w:vAlign w:val="bottom"/>
          </w:tcPr>
          <w:p>
            <w:pPr>
              <w:spacing w:after="0" w:line="256" w:lineRule="exact"/>
              <w:rPr>
                <w:sz w:val="20"/>
                <w:szCs w:val="20"/>
                <w:color w:val="auto"/>
              </w:rPr>
            </w:pPr>
            <w:r>
              <w:rPr>
                <w:rFonts w:ascii="Arial" w:cs="Arial" w:eastAsia="Arial" w:hAnsi="Arial"/>
                <w:sz w:val="18"/>
                <w:szCs w:val="18"/>
                <w:color w:val="auto"/>
              </w:rPr>
              <w:t>Ratio of total expenses to average net assets</w:t>
            </w:r>
            <w:r>
              <w:rPr>
                <w:rFonts w:ascii="Arial" w:cs="Arial" w:eastAsia="Arial" w:hAnsi="Arial"/>
                <w:sz w:val="29"/>
                <w:szCs w:val="29"/>
                <w:color w:val="auto"/>
                <w:vertAlign w:val="superscript"/>
              </w:rPr>
              <w:t>5</w:t>
            </w:r>
          </w:p>
        </w:tc>
        <w:tc>
          <w:tcPr>
            <w:tcW w:w="320" w:type="dxa"/>
            <w:vAlign w:val="bottom"/>
          </w:tcPr>
          <w:p>
            <w:pPr>
              <w:spacing w:after="0"/>
              <w:rPr>
                <w:sz w:val="22"/>
                <w:szCs w:val="22"/>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r>
      <w:tr>
        <w:trPr>
          <w:trHeight w:val="257"/>
        </w:trPr>
        <w:tc>
          <w:tcPr>
            <w:tcW w:w="7880" w:type="dxa"/>
            <w:vAlign w:val="bottom"/>
            <w:shd w:val="clear" w:color="auto" w:fill="CCFFCC"/>
          </w:tcPr>
          <w:p>
            <w:pPr>
              <w:spacing w:after="0" w:line="256" w:lineRule="exact"/>
              <w:rPr>
                <w:sz w:val="20"/>
                <w:szCs w:val="20"/>
                <w:color w:val="auto"/>
              </w:rPr>
            </w:pPr>
            <w:r>
              <w:rPr>
                <w:rFonts w:ascii="Arial" w:cs="Arial" w:eastAsia="Arial" w:hAnsi="Arial"/>
                <w:sz w:val="18"/>
                <w:szCs w:val="18"/>
                <w:color w:val="auto"/>
              </w:rPr>
              <w:t>Ratio of interest expense to average net assets</w:t>
            </w:r>
            <w:r>
              <w:rPr>
                <w:rFonts w:ascii="Arial" w:cs="Arial" w:eastAsia="Arial" w:hAnsi="Arial"/>
                <w:sz w:val="29"/>
                <w:szCs w:val="29"/>
                <w:color w:val="auto"/>
                <w:vertAlign w:val="superscript"/>
              </w:rPr>
              <w:t>5</w:t>
            </w:r>
          </w:p>
        </w:tc>
        <w:tc>
          <w:tcPr>
            <w:tcW w:w="320" w:type="dxa"/>
            <w:vAlign w:val="bottom"/>
            <w:shd w:val="clear" w:color="auto" w:fill="CCFFCC"/>
          </w:tcPr>
          <w:p>
            <w:pPr>
              <w:spacing w:after="0"/>
              <w:rPr>
                <w:sz w:val="22"/>
                <w:szCs w:val="22"/>
                <w:color w:val="auto"/>
              </w:rPr>
            </w:pP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FFCC"/>
          </w:tcPr>
          <w:p>
            <w:pPr>
              <w:spacing w:after="0"/>
              <w:rPr>
                <w:sz w:val="22"/>
                <w:szCs w:val="22"/>
                <w:color w:val="auto"/>
              </w:rPr>
            </w:pPr>
          </w:p>
        </w:tc>
        <w:tc>
          <w:tcPr>
            <w:tcW w:w="380" w:type="dxa"/>
            <w:vAlign w:val="bottom"/>
            <w:shd w:val="clear" w:color="auto" w:fill="CCFFCC"/>
          </w:tcPr>
          <w:p>
            <w:pPr>
              <w:spacing w:after="0"/>
              <w:rPr>
                <w:sz w:val="22"/>
                <w:szCs w:val="22"/>
                <w:color w:val="auto"/>
              </w:rPr>
            </w:pPr>
          </w:p>
        </w:tc>
        <w:tc>
          <w:tcPr>
            <w:tcW w:w="13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3.0%</w:t>
            </w:r>
          </w:p>
        </w:tc>
      </w:tr>
      <w:tr>
        <w:trPr>
          <w:trHeight w:val="390"/>
        </w:trPr>
        <w:tc>
          <w:tcPr>
            <w:tcW w:w="7880" w:type="dxa"/>
            <w:vAlign w:val="bottom"/>
          </w:tcPr>
          <w:p>
            <w:pPr>
              <w:spacing w:after="0"/>
              <w:rPr>
                <w:sz w:val="20"/>
                <w:szCs w:val="20"/>
                <w:color w:val="auto"/>
              </w:rPr>
            </w:pPr>
            <w:r>
              <w:rPr>
                <w:rFonts w:ascii="Arial" w:cs="Arial" w:eastAsia="Arial" w:hAnsi="Arial"/>
                <w:sz w:val="18"/>
                <w:szCs w:val="18"/>
                <w:color w:val="auto"/>
              </w:rPr>
              <w:t>Ratio of non-interest expenses to average net assets</w:t>
            </w:r>
            <w:r>
              <w:rPr>
                <w:rFonts w:ascii="Arial" w:cs="Arial" w:eastAsia="Arial" w:hAnsi="Arial"/>
                <w:sz w:val="30"/>
                <w:szCs w:val="30"/>
                <w:color w:val="auto"/>
                <w:vertAlign w:val="superscript"/>
              </w:rPr>
              <w:t>5</w:t>
            </w:r>
          </w:p>
        </w:tc>
        <w:tc>
          <w:tcPr>
            <w:tcW w:w="320" w:type="dxa"/>
            <w:vAlign w:val="bottom"/>
          </w:tcPr>
          <w:p>
            <w:pPr>
              <w:spacing w:after="0"/>
              <w:rPr>
                <w:sz w:val="24"/>
                <w:szCs w:val="24"/>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14490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79" w:lineRule="exact"/>
        <w:rPr>
          <w:sz w:val="20"/>
          <w:szCs w:val="20"/>
          <w:color w:val="auto"/>
        </w:rPr>
      </w:pPr>
    </w:p>
    <w:p>
      <w:pPr>
        <w:ind w:left="120" w:hanging="112"/>
        <w:spacing w:after="0"/>
        <w:tabs>
          <w:tab w:leader="none" w:pos="120"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Based on average number of common shares outstanding for the period.</w:t>
      </w:r>
    </w:p>
    <w:p>
      <w:pPr>
        <w:spacing w:after="0" w:line="242" w:lineRule="exact"/>
        <w:rPr>
          <w:sz w:val="20"/>
          <w:szCs w:val="20"/>
          <w:color w:val="auto"/>
        </w:rPr>
      </w:pPr>
    </w:p>
    <w:p>
      <w:pPr>
        <w:ind w:right="340" w:firstLine="8"/>
        <w:spacing w:after="0" w:line="194" w:lineRule="auto"/>
        <w:tabs>
          <w:tab w:leader="none" w:pos="120" w:val="left"/>
        </w:tabs>
        <w:numPr>
          <w:ilvl w:val="0"/>
          <w:numId w:val="25"/>
        </w:numPr>
        <w:rPr>
          <w:rFonts w:ascii="Arial" w:cs="Arial" w:eastAsia="Arial" w:hAnsi="Arial"/>
          <w:sz w:val="30"/>
          <w:szCs w:val="30"/>
          <w:color w:val="auto"/>
          <w:vertAlign w:val="superscript"/>
        </w:rPr>
      </w:pPr>
      <w:r>
        <w:rPr>
          <w:rFonts w:ascii="Arial" w:cs="Arial" w:eastAsia="Arial" w:hAnsi="Arial"/>
          <w:sz w:val="18"/>
          <w:szCs w:val="18"/>
          <w:color w:val="auto"/>
        </w:rPr>
        <w:t>Total net asset value return (not annualized) equals the change in the net asset value per share over the beginning of period net asset value per share plus dividends, divided by the beginning net asset value per share less proceeds from issuance of common shares.</w:t>
      </w:r>
    </w:p>
    <w:p>
      <w:pPr>
        <w:spacing w:after="0" w:line="243" w:lineRule="exact"/>
        <w:rPr>
          <w:sz w:val="20"/>
          <w:szCs w:val="20"/>
          <w:color w:val="auto"/>
        </w:rPr>
      </w:pPr>
    </w:p>
    <w:p>
      <w:pPr>
        <w:ind w:right="20" w:firstLine="8"/>
        <w:spacing w:after="0" w:line="194" w:lineRule="auto"/>
        <w:tabs>
          <w:tab w:leader="none" w:pos="120" w:val="left"/>
        </w:tabs>
        <w:numPr>
          <w:ilvl w:val="0"/>
          <w:numId w:val="26"/>
        </w:numPr>
        <w:rPr>
          <w:rFonts w:ascii="Arial" w:cs="Arial" w:eastAsia="Arial" w:hAnsi="Arial"/>
          <w:sz w:val="30"/>
          <w:szCs w:val="30"/>
          <w:color w:val="auto"/>
          <w:vertAlign w:val="superscript"/>
        </w:rPr>
      </w:pPr>
      <w:r>
        <w:rPr>
          <w:rFonts w:ascii="Arial" w:cs="Arial" w:eastAsia="Arial" w:hAnsi="Arial"/>
          <w:sz w:val="18"/>
          <w:szCs w:val="18"/>
          <w:color w:val="auto"/>
        </w:rPr>
        <w:t>Total market return (not annualized) equals the change in the ending market price over the beginning of period price per share plus dividends, divided by the beginning price.</w:t>
      </w:r>
    </w:p>
    <w:p>
      <w:pPr>
        <w:spacing w:after="0" w:line="128" w:lineRule="exact"/>
        <w:rPr>
          <w:sz w:val="20"/>
          <w:szCs w:val="20"/>
          <w:color w:val="auto"/>
        </w:rPr>
      </w:pPr>
    </w:p>
    <w:p>
      <w:pPr>
        <w:ind w:left="120" w:hanging="112"/>
        <w:spacing w:after="0"/>
        <w:tabs>
          <w:tab w:leader="none" w:pos="120" w:val="left"/>
        </w:tabs>
        <w:numPr>
          <w:ilvl w:val="0"/>
          <w:numId w:val="27"/>
        </w:numPr>
        <w:rPr>
          <w:rFonts w:ascii="Arial" w:cs="Arial" w:eastAsia="Arial" w:hAnsi="Arial"/>
          <w:sz w:val="30"/>
          <w:szCs w:val="30"/>
          <w:color w:val="auto"/>
          <w:vertAlign w:val="superscript"/>
        </w:rPr>
      </w:pPr>
      <w:r>
        <w:rPr>
          <w:rFonts w:ascii="Arial" w:cs="Arial" w:eastAsia="Arial" w:hAnsi="Arial"/>
          <w:sz w:val="18"/>
          <w:szCs w:val="18"/>
          <w:color w:val="auto"/>
        </w:rPr>
        <w:t>Not annualized. Portfolio turnover rate equals the year-to-date sales and paydowns over the average of the invested assets at fair value.</w:t>
      </w:r>
    </w:p>
    <w:p>
      <w:pPr>
        <w:spacing w:after="0" w:line="128" w:lineRule="exact"/>
        <w:rPr>
          <w:sz w:val="20"/>
          <w:szCs w:val="20"/>
          <w:color w:val="auto"/>
        </w:rPr>
      </w:pPr>
    </w:p>
    <w:p>
      <w:pPr>
        <w:ind w:left="120" w:hanging="112"/>
        <w:spacing w:after="0"/>
        <w:tabs>
          <w:tab w:leader="none" w:pos="120" w:val="left"/>
        </w:tabs>
        <w:numPr>
          <w:ilvl w:val="0"/>
          <w:numId w:val="28"/>
        </w:numPr>
        <w:rPr>
          <w:rFonts w:ascii="Arial" w:cs="Arial" w:eastAsia="Arial" w:hAnsi="Arial"/>
          <w:sz w:val="30"/>
          <w:szCs w:val="30"/>
          <w:color w:val="auto"/>
          <w:vertAlign w:val="superscript"/>
        </w:rPr>
      </w:pPr>
      <w:r>
        <w:rPr>
          <w:rFonts w:ascii="Arial" w:cs="Arial" w:eastAsia="Arial" w:hAnsi="Arial"/>
          <w:sz w:val="18"/>
          <w:szCs w:val="18"/>
          <w:color w:val="auto"/>
        </w:rPr>
        <w:t>Annualized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accompanying notes to financial statements.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ind w:firstLine="270"/>
        <w:spacing w:after="0" w:line="269" w:lineRule="auto"/>
        <w:rPr>
          <w:sz w:val="20"/>
          <w:szCs w:val="20"/>
          <w:color w:val="auto"/>
        </w:rPr>
      </w:pPr>
      <w:r>
        <w:rPr>
          <w:rFonts w:ascii="Arial" w:cs="Arial" w:eastAsia="Arial" w:hAnsi="Arial"/>
          <w:sz w:val="17"/>
          <w:szCs w:val="17"/>
          <w:color w:val="auto"/>
        </w:rPr>
        <w:t>KCAP Financial, Inc. (“KCAP” or the “Company”) is an internally managed, non-diversified closed-end investment company that is regulated as a business development company (“BDC”) under the Investment Company Act of 1940. The Company originates, structures, and invests in senior secured term loans, mezzanine debt and selected equity securities primarily in privately-held middle market companies. The Company defines the middle market as comprising companies with earnings before interest, taxes, depreciation and amortization (“EBITDA”), of $10 million to $50 million and/or total debt of $25 million to $150 million. The Company was formed as a Delaware limited liability company on August 8, 2006 and, prior to the issuance of shares of the Company’s common stock in its initial public offering (“IPO”), converted to a corporation incorporated in Delaware on December 11, 2006. Prior to its IPO, the Company did not have material operations. The Company’s IPO of 14,462,000 shares of common stock raised net proceeds of approximately $200 million. Prior to the IPO, the Company issued 3,484,333 shares to affiliates of Kohlberg &amp; Co., L.L.C., a leading middle market private equity firm, in exchange for the contribution to the Company of their ownership interests in Katonah Debt Advisors, L.L.C., and related affiliates controlled by the Company (collectively, “Katonah Debt Advisors”) and in securities issued by collateralized loan obligation funds (“CLO Funds”) managed by Katonah Debt Advisors and two other asset managers.</w:t>
      </w:r>
    </w:p>
    <w:p>
      <w:pPr>
        <w:spacing w:after="0" w:line="183" w:lineRule="exact"/>
        <w:rPr>
          <w:sz w:val="20"/>
          <w:szCs w:val="20"/>
          <w:color w:val="auto"/>
        </w:rPr>
      </w:pPr>
    </w:p>
    <w:p>
      <w:pPr>
        <w:ind w:right="20" w:firstLine="270"/>
        <w:spacing w:after="0" w:line="272" w:lineRule="auto"/>
        <w:rPr>
          <w:sz w:val="20"/>
          <w:szCs w:val="20"/>
          <w:color w:val="auto"/>
        </w:rPr>
      </w:pPr>
      <w:r>
        <w:rPr>
          <w:rFonts w:ascii="Arial" w:cs="Arial" w:eastAsia="Arial" w:hAnsi="Arial"/>
          <w:sz w:val="17"/>
          <w:szCs w:val="17"/>
          <w:color w:val="auto"/>
        </w:rPr>
        <w:t>On February 29, 2012, the Company purchased Trimaran Advisors, L.L.C. (“Trimaran Advisors”), a CLO manager similar to Katonah Debt Advisors with assets under management of approximately $1.5 billion, for total consideration of $13.0 million in cash and 3,600,000 shares of the Company’s common stock. Contemporaneously with the acquisition of Trimaran Advisors, the Company acquired from Trimaran Advisors equity interests in certain CLO Funds managed by Trimaran Advisors for an aggregate purchase price of $12.0 million in cash. As of March 31, 2013, Katonah Debt Advisors and Trimaran Advisors are the Company’s only wholly-owned portfolio companies (collectively, “Asset Manager Affiliates”) and have approximately $3.5 billion of par value assets under management. Asset Manager Affiliates are registered under the Investment Advisers Act of 1940 and are managed independently from the Company by separate management teams and investment committees.</w:t>
      </w:r>
    </w:p>
    <w:p>
      <w:pPr>
        <w:spacing w:after="0" w:line="178" w:lineRule="exact"/>
        <w:rPr>
          <w:sz w:val="20"/>
          <w:szCs w:val="20"/>
          <w:color w:val="auto"/>
        </w:rPr>
      </w:pPr>
    </w:p>
    <w:p>
      <w:pPr>
        <w:ind w:right="20" w:firstLine="270"/>
        <w:spacing w:after="0" w:line="279" w:lineRule="auto"/>
        <w:rPr>
          <w:sz w:val="20"/>
          <w:szCs w:val="20"/>
          <w:color w:val="auto"/>
        </w:rPr>
      </w:pPr>
      <w:r>
        <w:rPr>
          <w:rFonts w:ascii="Arial" w:cs="Arial" w:eastAsia="Arial" w:hAnsi="Arial"/>
          <w:sz w:val="17"/>
          <w:szCs w:val="17"/>
          <w:color w:val="auto"/>
        </w:rPr>
        <w:t>The Company’s investment objective is to generate current income and capital appreciation from investments made in senior secured term loans, mezzanine debt and selected equity investments in privately-held middle market companies. The Company also expects to continue to receive distributions of recurring fee income and to generate capital appreciation from its investment in the asset management business of the Asset Manager Affiliates. The Asset Manager Affiliates manage CLO Funds which invest in broadly syndicated loans, high-yield bonds and other credit instruments.</w:t>
      </w:r>
    </w:p>
    <w:p>
      <w:pPr>
        <w:spacing w:after="0" w:line="171" w:lineRule="exact"/>
        <w:rPr>
          <w:sz w:val="20"/>
          <w:szCs w:val="20"/>
          <w:color w:val="auto"/>
        </w:rPr>
      </w:pPr>
    </w:p>
    <w:p>
      <w:pPr>
        <w:ind w:right="80" w:firstLine="270"/>
        <w:spacing w:after="0" w:line="279" w:lineRule="auto"/>
        <w:rPr>
          <w:sz w:val="20"/>
          <w:szCs w:val="20"/>
          <w:color w:val="auto"/>
        </w:rPr>
      </w:pPr>
      <w:r>
        <w:rPr>
          <w:rFonts w:ascii="Arial" w:cs="Arial" w:eastAsia="Arial" w:hAnsi="Arial"/>
          <w:sz w:val="17"/>
          <w:szCs w:val="17"/>
          <w:color w:val="auto"/>
        </w:rPr>
        <w:t>While the Company’s primary investment focus is on making loans to, and selected equity investments in, privately-held middle market companies, the Company may also invest in other investments such as loans to larger, publicly-traded companies, high-yield bonds and distressed debt securities. The Company may also receive warrants or options to purchase common stock in connection with its debt investments. In addition, the Company may also invest in debt and equity securities issued by the CLO Funds managed by our Asset Manager Affiliates or by other asset managers.</w:t>
      </w:r>
    </w:p>
    <w:p>
      <w:pPr>
        <w:spacing w:after="0" w:line="171"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The Company has elected to be treated as a regulated investment company (“RIC”) under Subchapter M of the Internal Revenue Code of 1986, as amended (the “Code”). To qualify as a RIC, the Company must, among other things, meet certain source-of-income and asset diversification requirements. As a RIC, the Company generally will not have to pay corporate-level taxes on any income that it distributes in a timely manner to its stockholders.</w:t>
      </w:r>
    </w:p>
    <w:p>
      <w:pPr>
        <w:spacing w:after="0" w:line="143" w:lineRule="exact"/>
        <w:rPr>
          <w:sz w:val="20"/>
          <w:szCs w:val="20"/>
          <w:color w:val="auto"/>
        </w:rPr>
      </w:pPr>
    </w:p>
    <w:p>
      <w:pPr>
        <w:ind w:left="340" w:right="7820" w:hanging="332"/>
        <w:spacing w:after="0" w:line="503" w:lineRule="auto"/>
        <w:tabs>
          <w:tab w:leader="none" w:pos="196"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Presentation</w:t>
      </w:r>
    </w:p>
    <w:p>
      <w:pPr>
        <w:spacing w:after="0" w:line="1"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The accompanying unaudited financial statements have been prepared on the accrual basis of accounting in conformity with accounting principles generally accepted in the United States of America (“GAAP”) for interim financial information. Accordingly, they do not include all of the information and footnotes required for annual financial statements. The unaudited interim financial statements and notes thereto should be read in conjunction with the financial statements and notes thereto in the Company’s Form 10-K for the year ended December 31, 2012, as filed with the U.S. Securities and Exchange Commission (the “Commission” or the “SEC”).</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6" w:name="page27"/>
    <w:bookmarkEnd w:id="26"/>
    <w:p>
      <w:pPr>
        <w:ind w:right="100" w:firstLine="324"/>
        <w:spacing w:after="0" w:line="257" w:lineRule="auto"/>
        <w:rPr>
          <w:sz w:val="20"/>
          <w:szCs w:val="20"/>
          <w:color w:val="auto"/>
        </w:rPr>
      </w:pPr>
      <w:r>
        <w:rPr>
          <w:rFonts w:ascii="Arial" w:cs="Arial" w:eastAsia="Arial" w:hAnsi="Arial"/>
          <w:sz w:val="18"/>
          <w:szCs w:val="18"/>
          <w:color w:val="auto"/>
        </w:rPr>
        <w:t>The financial statements reflect all adjustments, both normal and recurring which, in the opinion of management, are necessary for the fair presentation of the Company’s results of operations and financial condition for the periods presented. Furthermore, the preparation of the financial statements requires management to make significant estimates and assumptions including the fair value of investments that do not have a readily available market value. Actual results could differ from those estimates, and the differences could be material. The results of operations for the interim periods presented are not necessarily indicative of the operating results to be expected for the full year.</w:t>
      </w:r>
    </w:p>
    <w:p>
      <w:pPr>
        <w:spacing w:after="0" w:line="188"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In accordance with Article 6 of Regulation S-X under the Securities Act of 1933, as amended (the “Securities Act”) and the Securities Exchange Act of 1934, as amended (the “Exchange Act”), the Company does not consolidate portfolio company investments, including those in which it has a controlling interest e.g., the Asset Manager Affiliates. The Asset Manager Affiliates are subject to Accounting Standards Codification Topic 810, “Consolidation” and although the Company cannot consolidate portfolio company investments, this guidance impacted the required disclosures relating to the Asset Manager Affiliates, as it requires the Asset Manager Affiliates to consolidate their managed CLO Funds. As a result of the consolidation of these CLOs into the Asset Manager Affiliates, the Asset Manager Affiliates qualify as a “significant subsidiary” and, as a result, the Company is required to include additional disclosures regarding the Asset Manager Affiliates in its filings with the SEC. The additional financial information regarding the Asset Manager Affiliates do not directly impact the financial position or results of operations of the Company.</w:t>
      </w:r>
    </w:p>
    <w:p>
      <w:pPr>
        <w:spacing w:after="0" w:line="179"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In addition, Katonah 2007-I Ltd. qualifies as a “significant subsidiary” and is also required to provide additional disclosures. Katonah 2007-I CLO Ltd is exempted company incorporated in November 15, 2006 with limited liability under the laws of the Cayman Islands for the sole purpose of investing in broadly syndicated loans, high-yield bonds and other credit instruments. The Fund is what is commonly known as a collateralized loan obligation fund (“CLO Fund”). The additional disclosures regarding Katonah 2007-I Ltd. do not directly impact the financial position or results of operations of the Company.</w:t>
      </w:r>
    </w:p>
    <w:p>
      <w:pPr>
        <w:spacing w:after="0" w:line="154"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additional financial information regarding the Asset Manager Affiliates and Katonah 2007-I CLO Ltd. (“Katonah 2007-I CLO”) can be found in Note 5 – Asset Manager Affiliates,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Investment transactions are recorded on the applicable trade date. Realized gains or losses are determined using the specific identification method.</w:t>
      </w:r>
    </w:p>
    <w:p>
      <w:pPr>
        <w:spacing w:after="0" w:line="248"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i w:val="1"/>
          <w:iCs w:val="1"/>
          <w:color w:val="auto"/>
        </w:rPr>
        <w:t>Valuation of Portfolio Investments</w:t>
      </w:r>
      <w:r>
        <w:rPr>
          <w:rFonts w:ascii="Arial" w:cs="Arial" w:eastAsia="Arial" w:hAnsi="Arial"/>
          <w:sz w:val="17"/>
          <w:szCs w:val="17"/>
          <w:color w:val="auto"/>
        </w:rPr>
        <w:t>. The Company’s Board of Directors is ultimately and solely responsible for making a good faith determination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portfolio investments on a quarterly basis. Debt and equity securities for which market quotations are readily available are generally valued at such market quotations. Debt and equity securities that are not publicly traded or whose market price is not readily available are valued by the Board of Directors based on detailed analyses prepared by management, the Valuation Committee of the Board of Directors, and, in certain circumstances, third parties with valuation expertise. Valuations are conducted by management on 100% of the investment portfolio at the end of each quarter. The Company follows the provisions of ASC Fair Value Measurements and Disclosures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 This standard defines fair value, establishes a framework for measuring fair value, and expands disclosures about assets and liabilities measured at fair value.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defines “fair value” as the price that would be received to sell an asset or paid to transfer a liability in an orderly transaction between market participants at the measurement date. Subsequent to the adoption of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the FASB has issued various staff positions clarifying the initial standard as noted below.</w:t>
      </w:r>
    </w:p>
    <w:p>
      <w:pPr>
        <w:spacing w:after="0" w:line="178"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FASB issued guidance that clarified and required new disclosures about fair value measurements. The clarifications and requirement to disclose the amounts and reasons for significant transfers between Level I and Level II, as well as significant transfers in and out of Level III of the fair value hierarchy. Note 4 below reflects the amended disclosure requirements. The new guidance also required that purchases, sales, issuances and settlements be presented gross in the Level III reconciliation and that requirement was effective for fiscal years beginning after December 15, 2010 and for interim periods within those years.</w:t>
      </w:r>
    </w:p>
    <w:p>
      <w:pPr>
        <w:spacing w:after="0" w:line="188"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i w:val="1"/>
          <w:iCs w:val="1"/>
          <w:color w:val="auto"/>
        </w:rPr>
        <w:t xml:space="preserve">Fair Value Measurements and Disclosures </w:t>
      </w:r>
      <w:r>
        <w:rPr>
          <w:rFonts w:ascii="Arial" w:cs="Arial" w:eastAsia="Arial" w:hAnsi="Arial"/>
          <w:sz w:val="18"/>
          <w:szCs w:val="18"/>
          <w:color w:val="auto"/>
        </w:rPr>
        <w:t>requires the disclosure in interim and annual periods of the inputs and valuation techniques used to measure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and a discussion of changes in valuation techniques and related inputs, if any, during the period.</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2012, the Company engaged an independent valuation firm to provide a third-party review of our CLO fair value model relative to its functionality, model inputs and calculations as a reasonable method to determine CLO fair values, in the absence of Level 1 or Level 2 trading activity or observable market inputs. The independent valuation firm concluded that the Company’s CLO model appropriately factors in all the necessary inputs required to build a CLO equity cash flow model for fair value purposes and that the inputs were being employed correctly.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7" w:name="page28"/>
    <w:bookmarkEnd w:id="27"/>
    <w:p>
      <w:pPr>
        <w:ind w:right="60" w:firstLine="324"/>
        <w:spacing w:after="0" w:line="255" w:lineRule="auto"/>
        <w:rPr>
          <w:sz w:val="20"/>
          <w:szCs w:val="20"/>
          <w:color w:val="auto"/>
        </w:rPr>
      </w:pPr>
      <w:r>
        <w:rPr>
          <w:rFonts w:ascii="Arial" w:cs="Arial" w:eastAsia="Arial" w:hAnsi="Arial"/>
          <w:sz w:val="18"/>
          <w:szCs w:val="18"/>
          <w:color w:val="auto"/>
        </w:rPr>
        <w:t>The Company has engaged an independent valuation firm to provide third party valuation consulting services to the Company’s Board of Directors. Each quarter the independent valuation firm will perform third party valuations on the Company’s investments on illiquid securities such that they are reviewed at least once during a trailing 12 month period. Third party valuations were performed on approximately 3% of investments at fair value excluding our investments in the Asset Manager Affiliates and CLO Fund Securities for the period ended March 31, 2013. These third party valuation estimates were considered as one of the relevant data inputs in the Company’s determination of fair value. The Board of Directors intends to continue to engage an independent valuation firm in the future to provide certain valuation services, including the review of certain portfolio assets, as part of the quarterly and annual year-end valuation process.</w:t>
      </w:r>
    </w:p>
    <w:p>
      <w:pPr>
        <w:spacing w:after="0" w:line="18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Board of Directors may consider other methods of valuation than those set forth above to determine the fair value of Level III investments as appropriate in conformity with GAAP. Due to the inherent uncertainty of determining the fair value of investments that do not have a readily available market value, the fair value of the Company’s investments may differ materially from the values that would have been used had a ready market existed for such investments. Further, such investments may be generally subject to legal and other restrictions on resale or otherwise be less liquid than publicly traded securities. In addition, changes in the market environment and other events may occur over the life of the investments that may cause the value realized on such investments to be different from the currently assigned valuations.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valuation methodology and procedures are as follows:</w:t>
      </w:r>
    </w:p>
    <w:p>
      <w:pPr>
        <w:spacing w:after="0" w:line="225" w:lineRule="exact"/>
        <w:rPr>
          <w:sz w:val="20"/>
          <w:szCs w:val="20"/>
          <w:color w:val="auto"/>
        </w:rPr>
      </w:pPr>
    </w:p>
    <w:p>
      <w:pPr>
        <w:ind w:left="1960" w:right="100" w:hanging="804"/>
        <w:spacing w:after="0" w:line="276" w:lineRule="auto"/>
        <w:tabs>
          <w:tab w:leader="none" w:pos="19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Each portfolio company or investment is cross-referenced to an independent pricing service to determine if a current market quote is available. The nature and quality of such quote is reviewed to determine reliability and relevance of the quote. Factors considered in this determination include whether the quote is from a transaction or is a broker quote, the date and aging of such quote, whether the transaction is arms-length, whether it is of a liquidation or distressed nature and certain other factors judged to be relevant by management within the framework of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w:t>
      </w:r>
    </w:p>
    <w:p>
      <w:pPr>
        <w:spacing w:after="0" w:line="172" w:lineRule="exact"/>
        <w:rPr>
          <w:rFonts w:ascii="Arial" w:cs="Arial" w:eastAsia="Arial" w:hAnsi="Arial"/>
          <w:sz w:val="17"/>
          <w:szCs w:val="17"/>
          <w:color w:val="auto"/>
        </w:rPr>
      </w:pPr>
    </w:p>
    <w:p>
      <w:pPr>
        <w:jc w:val="both"/>
        <w:ind w:left="1960" w:right="200" w:hanging="804"/>
        <w:spacing w:after="0" w:line="264" w:lineRule="auto"/>
        <w:tabs>
          <w:tab w:leader="none" w:pos="1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an investment does not have a market quotation on either a broad market exchange or from an independent pricing service, the investment is initially valued by the Company’s investment professionals responsible for the portfolio investment in conjunction with the portfolio management team.</w:t>
      </w:r>
    </w:p>
    <w:p>
      <w:pPr>
        <w:spacing w:after="0" w:line="181" w:lineRule="exact"/>
        <w:rPr>
          <w:rFonts w:ascii="Arial" w:cs="Arial" w:eastAsia="Arial" w:hAnsi="Arial"/>
          <w:sz w:val="18"/>
          <w:szCs w:val="18"/>
          <w:color w:val="auto"/>
        </w:rPr>
      </w:pPr>
    </w:p>
    <w:p>
      <w:pPr>
        <w:ind w:left="1960" w:hanging="804"/>
        <w:spacing w:after="0"/>
        <w:tabs>
          <w:tab w:leader="none" w:pos="1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Preliminary valuation conclusions are discussed and documented by management.</w:t>
      </w:r>
    </w:p>
    <w:p>
      <w:pPr>
        <w:spacing w:after="0" w:line="225" w:lineRule="exact"/>
        <w:rPr>
          <w:rFonts w:ascii="Arial" w:cs="Arial" w:eastAsia="Arial" w:hAnsi="Arial"/>
          <w:sz w:val="18"/>
          <w:szCs w:val="18"/>
          <w:color w:val="auto"/>
        </w:rPr>
      </w:pPr>
    </w:p>
    <w:p>
      <w:pPr>
        <w:ind w:left="1960" w:right="380" w:hanging="804"/>
        <w:spacing w:after="0" w:line="286" w:lineRule="auto"/>
        <w:tabs>
          <w:tab w:leader="none" w:pos="19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Debt securities, equity securities, CLO Fund securities and the Asset Manager Affiliates will be selected for review by an independent valuation firm, which is engaged by the Company’s Board of Directors. Such independent valuation firm reviews management’s preliminary valuations and makes their own independent valuation assessment.</w:t>
      </w:r>
    </w:p>
    <w:p>
      <w:pPr>
        <w:spacing w:after="0" w:line="165" w:lineRule="exact"/>
        <w:rPr>
          <w:rFonts w:ascii="Arial" w:cs="Arial" w:eastAsia="Arial" w:hAnsi="Arial"/>
          <w:sz w:val="17"/>
          <w:szCs w:val="17"/>
          <w:color w:val="auto"/>
        </w:rPr>
      </w:pPr>
    </w:p>
    <w:p>
      <w:pPr>
        <w:ind w:left="1960" w:right="600" w:hanging="804"/>
        <w:spacing w:after="0" w:line="277" w:lineRule="auto"/>
        <w:tabs>
          <w:tab w:leader="none" w:pos="1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Valuation Committee of the Board of Directors reviews the portfolio valuations, as well as the input and report of such independent valuation firm, as applicable.</w:t>
      </w:r>
    </w:p>
    <w:p>
      <w:pPr>
        <w:spacing w:after="0" w:line="170" w:lineRule="exact"/>
        <w:rPr>
          <w:rFonts w:ascii="Arial" w:cs="Arial" w:eastAsia="Arial" w:hAnsi="Arial"/>
          <w:sz w:val="18"/>
          <w:szCs w:val="18"/>
          <w:color w:val="auto"/>
        </w:rPr>
      </w:pPr>
    </w:p>
    <w:p>
      <w:pPr>
        <w:ind w:left="1960" w:right="320" w:hanging="804"/>
        <w:spacing w:after="0" w:line="342" w:lineRule="auto"/>
        <w:tabs>
          <w:tab w:leader="none" w:pos="19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Upon approval of the investment valuations by the Valuation Committee of the Board of Directors, the Audit Committee of the Board of Directors reviews the results for inclusion in the Company’s quarterly and annual financial statements, as applicable.</w:t>
      </w:r>
    </w:p>
    <w:p>
      <w:pPr>
        <w:spacing w:after="0" w:line="123" w:lineRule="exact"/>
        <w:rPr>
          <w:rFonts w:ascii="Arial" w:cs="Arial" w:eastAsia="Arial" w:hAnsi="Arial"/>
          <w:sz w:val="16"/>
          <w:szCs w:val="16"/>
          <w:color w:val="auto"/>
        </w:rPr>
      </w:pPr>
    </w:p>
    <w:p>
      <w:pPr>
        <w:ind w:left="1960" w:right="20" w:hanging="804"/>
        <w:spacing w:after="0" w:line="286" w:lineRule="auto"/>
        <w:tabs>
          <w:tab w:leader="none" w:pos="19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Board of Directors discusses the valuations and determines in good faith that the fair values of each investment in the portfolio is reasonable based upon any applicable independent pricing service, input of management, estimates from independent valuation firms (if any) and the recommendations of the Valuation Committee of the Board of Directors.</w:t>
      </w:r>
    </w:p>
    <w:p>
      <w:pPr>
        <w:spacing w:after="0" w:line="166" w:lineRule="exact"/>
        <w:rPr>
          <w:sz w:val="20"/>
          <w:szCs w:val="20"/>
          <w:color w:val="auto"/>
        </w:rPr>
      </w:pPr>
    </w:p>
    <w:p>
      <w:pPr>
        <w:ind w:right="180" w:firstLine="414"/>
        <w:spacing w:after="0" w:line="302" w:lineRule="auto"/>
        <w:rPr>
          <w:sz w:val="20"/>
          <w:szCs w:val="20"/>
          <w:color w:val="auto"/>
        </w:rPr>
      </w:pPr>
      <w:r>
        <w:rPr>
          <w:rFonts w:ascii="Arial" w:cs="Arial" w:eastAsia="Arial" w:hAnsi="Arial"/>
          <w:sz w:val="16"/>
          <w:szCs w:val="16"/>
          <w:color w:val="auto"/>
        </w:rPr>
        <w:t>The majority of the Company’s investment portfolio is composed of debt and equity securities with unique contract terms and conditions and/or complexity that requires a valuation of each individual investment that considers multiple levels of market and asset specific inputs, including historical and forecasted financial and operational performance of the individual investment, projected cash flows, market multiples, comparable market transactions, the priority of the security compared with those of other securities for such issuers, credit risk, interest rates, and independent valuations and reviews.</w:t>
      </w:r>
    </w:p>
    <w:p>
      <w:pPr>
        <w:spacing w:after="0" w:line="154" w:lineRule="exact"/>
        <w:rPr>
          <w:sz w:val="20"/>
          <w:szCs w:val="20"/>
          <w:color w:val="auto"/>
        </w:rPr>
      </w:pPr>
    </w:p>
    <w:p>
      <w:pPr>
        <w:ind w:firstLine="414"/>
        <w:spacing w:after="0" w:line="272" w:lineRule="auto"/>
        <w:rPr>
          <w:sz w:val="20"/>
          <w:szCs w:val="20"/>
          <w:color w:val="auto"/>
        </w:rPr>
      </w:pPr>
      <w:r>
        <w:rPr>
          <w:rFonts w:ascii="Arial" w:cs="Arial" w:eastAsia="Arial" w:hAnsi="Arial"/>
          <w:sz w:val="17"/>
          <w:szCs w:val="17"/>
          <w:i w:val="1"/>
          <w:iCs w:val="1"/>
          <w:color w:val="auto"/>
        </w:rPr>
        <w:t xml:space="preserve">Debt Securities. </w:t>
      </w:r>
      <w:r>
        <w:rPr>
          <w:rFonts w:ascii="Arial" w:cs="Arial" w:eastAsia="Arial" w:hAnsi="Arial"/>
          <w:sz w:val="17"/>
          <w:szCs w:val="17"/>
          <w:color w:val="auto"/>
        </w:rPr>
        <w:t>To the extent that the Company’s investments are exchange traded and are priced or have sufficient price indications from normal</w:t>
      </w:r>
      <w:r>
        <w:rPr>
          <w:rFonts w:ascii="Arial" w:cs="Arial" w:eastAsia="Arial" w:hAnsi="Arial"/>
          <w:sz w:val="17"/>
          <w:szCs w:val="17"/>
          <w:i w:val="1"/>
          <w:iCs w:val="1"/>
          <w:color w:val="auto"/>
        </w:rPr>
        <w:t xml:space="preserve"> </w:t>
      </w:r>
      <w:r>
        <w:rPr>
          <w:rFonts w:ascii="Arial" w:cs="Arial" w:eastAsia="Arial" w:hAnsi="Arial"/>
          <w:sz w:val="17"/>
          <w:szCs w:val="17"/>
          <w:color w:val="auto"/>
        </w:rPr>
        <w:t>course trading at or around the valuation date (financial reporting date), such pricing will determine fair value. Pricing service marks from third party pricing services may be used as an indication of fair value, depending on the volume and reliability of the marks, sufficient and reasonable correlation of bid and ask quotes, and, most importantly, the level of actual trading activity. Further, the Company has been unable to identify directly comparable market indices or other market guidance that correlate directly to the types of investments the Company owns. As a result, for most of its assets, the Company determines fair value using alternative methodologies using available market data, as adjusted, to reflect the types of assets the Company owns, their structure, qualitative and credit attributes and other asset specific characteristics.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ind w:firstLine="414"/>
        <w:spacing w:after="0" w:line="285" w:lineRule="auto"/>
        <w:rPr>
          <w:sz w:val="20"/>
          <w:szCs w:val="20"/>
          <w:color w:val="auto"/>
        </w:rPr>
      </w:pPr>
      <w:r>
        <w:rPr>
          <w:rFonts w:ascii="Arial" w:cs="Arial" w:eastAsia="Arial" w:hAnsi="Arial"/>
          <w:sz w:val="16"/>
          <w:szCs w:val="16"/>
          <w:color w:val="auto"/>
        </w:rPr>
        <w:t>The Company derives fair value for its illiquid investments that do not have indicative fair values based upon active trades primarily by using a present value technique that discounts the estimated contractual cash flows for the underlying assets with discount rates imputed by broad market indices, bond spreads and yields for comparable issuers relative to the subject assets (the “Market Yield Approach”) and also considers recent loan amendments or other activity specific to the subject asset. Discount rates applied to estimated contractual cash flows for an underlying asset vary by specific investment, industry, priority and nature of the debt security (such as the seniority or security interest of the debt security) and are assessed relative to two indices, a leveraged loan index and a high-yield bond index, at the valuation date. The Company has identified these two indices as benchmarks for broad market information related to its loan and debt securities. Because the Company has not identified any market index that directly correlates to the loan and debt securities held by the Company and therefore uses the two benchmark indices, these market indices may require significant adjustment to better correlate such market data for the calculation of fair value of the investment under the Market Yield Approach. Such adjustments require judgment and may be material to the calculation of fair value. Further adjustments to the discount rate may be applied to reflect other market conditions or the perceived credit risk of the borrower. When broad market indices are used as part of the valuation methodology, their use is subject to adjustment for many factors, including priority, collateral used as security, structure, performance and other quantitative and qualitative attributes of the asset being valued. The resulting present value determination is then weighted along with any quotes from observable transactions and broker/pricing quotes. If such quotes are indicative of actual transactions with reasonable trading volume at or near the valuation date that are not liquidation or distressed sales, relatively more reliance will be put on such quotes to determine fair value. If such quotes are not indicative of market transactions or are insufficient as to volume, reliability, consistency or other relevant factors, such quotes will be compared with other fair value indications and given relatively less weight based on their relevancy. Other significant assumptions, such as coupon and maturity, are asset-specific and are noted for each investment in the Schedules of Investments.</w:t>
      </w:r>
    </w:p>
    <w:p>
      <w:pPr>
        <w:spacing w:after="0" w:line="175" w:lineRule="exact"/>
        <w:rPr>
          <w:sz w:val="20"/>
          <w:szCs w:val="20"/>
          <w:color w:val="auto"/>
        </w:rPr>
      </w:pPr>
    </w:p>
    <w:p>
      <w:pPr>
        <w:ind w:right="60" w:firstLine="414"/>
        <w:spacing w:after="0" w:line="255" w:lineRule="auto"/>
        <w:rPr>
          <w:sz w:val="20"/>
          <w:szCs w:val="20"/>
          <w:color w:val="auto"/>
        </w:rPr>
      </w:pPr>
      <w:r>
        <w:rPr>
          <w:rFonts w:ascii="Arial" w:cs="Arial" w:eastAsia="Arial" w:hAnsi="Arial"/>
          <w:sz w:val="18"/>
          <w:szCs w:val="18"/>
          <w:i w:val="1"/>
          <w:iCs w:val="1"/>
          <w:color w:val="auto"/>
        </w:rPr>
        <w:t>Equity Securities</w:t>
      </w:r>
      <w:r>
        <w:rPr>
          <w:rFonts w:ascii="Arial" w:cs="Arial" w:eastAsia="Arial" w:hAnsi="Arial"/>
          <w:sz w:val="18"/>
          <w:szCs w:val="18"/>
          <w:color w:val="auto"/>
        </w:rPr>
        <w:t>. The Company’s equity securities in portfolio companies for which there is no liquid public market are carried at fair value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enterprise value of the portfolio company, which is determined using various factors, including EBITDA (earnings before interest, taxes, depreciation and amortization) and cash flows from operations less capital expenditures and other pertinent factors, such as recent offers to purchase a portfolio company’s securities or other liquidation events. The determined fair values are generally discounted to account for restrictions on resale and minority ownership positions. The values of the Company’s equity securities in public companies for which market quotations are readily available are based upon the closing public market prices on the balance sheet date. Securities that carry certain restrictions on sale are typically valued at a discount from the public market value of the security.</w:t>
      </w:r>
    </w:p>
    <w:p>
      <w:pPr>
        <w:spacing w:after="0" w:line="189" w:lineRule="exact"/>
        <w:rPr>
          <w:sz w:val="20"/>
          <w:szCs w:val="20"/>
          <w:color w:val="auto"/>
        </w:rPr>
      </w:pPr>
    </w:p>
    <w:p>
      <w:pPr>
        <w:jc w:val="both"/>
        <w:ind w:right="160" w:firstLine="414"/>
        <w:spacing w:after="0" w:line="288" w:lineRule="auto"/>
        <w:rPr>
          <w:sz w:val="20"/>
          <w:szCs w:val="20"/>
          <w:color w:val="auto"/>
        </w:rPr>
      </w:pPr>
      <w:r>
        <w:rPr>
          <w:rFonts w:ascii="Arial" w:cs="Arial" w:eastAsia="Arial" w:hAnsi="Arial"/>
          <w:sz w:val="16"/>
          <w:szCs w:val="16"/>
          <w:color w:val="auto"/>
        </w:rPr>
        <w:t>The significant inputs used to determine the fair value of equity securities include prices, earnings, EBITDA and cash flows after capital expenditures for similar peer comparables and the investment entity itself. Equity securities are classified as Level III, as described in Note 4 below, when there is limited activity or less transparency around inputs to the valuation given the lack of information related to such equity investments held in nonpublic companies.</w:t>
      </w:r>
    </w:p>
    <w:p>
      <w:pPr>
        <w:ind w:right="40"/>
        <w:spacing w:after="0" w:line="277" w:lineRule="auto"/>
        <w:rPr>
          <w:sz w:val="20"/>
          <w:szCs w:val="20"/>
          <w:color w:val="auto"/>
        </w:rPr>
      </w:pPr>
      <w:r>
        <w:rPr>
          <w:rFonts w:ascii="Arial" w:cs="Arial" w:eastAsia="Arial" w:hAnsi="Arial"/>
          <w:sz w:val="17"/>
          <w:szCs w:val="17"/>
          <w:color w:val="auto"/>
        </w:rPr>
        <w:t>Significant assumptions observed for comparable companies are applied to relevant financial data for the specific investment. Such assumptions, such as model discount rates or price/earnings multiples, vary by the specific investment, equity position and industry and incorporate adjustments for risk premiums, liquidity and company specific attributes. Such adjustments require judgment and may be material to the calculation of fair value.</w:t>
      </w:r>
    </w:p>
    <w:p>
      <w:pPr>
        <w:spacing w:after="0" w:line="173" w:lineRule="exact"/>
        <w:rPr>
          <w:sz w:val="20"/>
          <w:szCs w:val="20"/>
          <w:color w:val="auto"/>
        </w:rPr>
      </w:pPr>
    </w:p>
    <w:p>
      <w:pPr>
        <w:ind w:right="80" w:firstLine="414"/>
        <w:spacing w:after="0" w:line="255" w:lineRule="auto"/>
        <w:rPr>
          <w:sz w:val="20"/>
          <w:szCs w:val="20"/>
          <w:color w:val="auto"/>
        </w:rPr>
      </w:pPr>
      <w:r>
        <w:rPr>
          <w:rFonts w:ascii="Arial" w:cs="Arial" w:eastAsia="Arial" w:hAnsi="Arial"/>
          <w:sz w:val="18"/>
          <w:szCs w:val="18"/>
          <w:i w:val="1"/>
          <w:iCs w:val="1"/>
          <w:color w:val="auto"/>
        </w:rPr>
        <w:t xml:space="preserve">Asset Manager Affiliates. </w:t>
      </w:r>
      <w:r>
        <w:rPr>
          <w:rFonts w:ascii="Arial" w:cs="Arial" w:eastAsia="Arial" w:hAnsi="Arial"/>
          <w:sz w:val="18"/>
          <w:szCs w:val="18"/>
          <w:color w:val="auto"/>
        </w:rPr>
        <w:t>The Company’s investments in its wholly-owned asset management companies, the Asset Manager Affiliates, are carried at</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which is determined after taking into consideration a percentage of assets under management and a discounted cash flow model incorporating different levels of discount rates depending on the hierarchy of fees earned (including the likelihood of realization of senior, subordinate and incentive fees) and prospective modeled performance. Such valuation includes an analysis of comparable asset management companies. The Asset Manager Affiliates are classified as a Level III investment (as described below). Any change in value from period to period is recognized as net change in unrealized appreciation or depreciation.</w:t>
      </w:r>
    </w:p>
    <w:p>
      <w:pPr>
        <w:spacing w:after="0" w:line="193" w:lineRule="exact"/>
        <w:rPr>
          <w:sz w:val="20"/>
          <w:szCs w:val="20"/>
          <w:color w:val="auto"/>
        </w:rPr>
      </w:pPr>
    </w:p>
    <w:p>
      <w:pPr>
        <w:ind w:right="80" w:firstLine="414"/>
        <w:spacing w:after="0" w:line="286" w:lineRule="auto"/>
        <w:rPr>
          <w:sz w:val="20"/>
          <w:szCs w:val="20"/>
          <w:color w:val="auto"/>
        </w:rPr>
      </w:pPr>
      <w:r>
        <w:rPr>
          <w:rFonts w:ascii="Arial" w:cs="Arial" w:eastAsia="Arial" w:hAnsi="Arial"/>
          <w:sz w:val="17"/>
          <w:szCs w:val="17"/>
          <w:i w:val="1"/>
          <w:iCs w:val="1"/>
          <w:color w:val="auto"/>
        </w:rPr>
        <w:t xml:space="preserve">CLO Fund Securities. </w:t>
      </w:r>
      <w:r>
        <w:rPr>
          <w:rFonts w:ascii="Arial" w:cs="Arial" w:eastAsia="Arial" w:hAnsi="Arial"/>
          <w:sz w:val="17"/>
          <w:szCs w:val="17"/>
          <w:color w:val="auto"/>
        </w:rPr>
        <w:t>The Company typically makes a minority investment in the most junior class of securities of CLO Funds raised and managed by</w:t>
      </w:r>
      <w:r>
        <w:rPr>
          <w:rFonts w:ascii="Arial" w:cs="Arial" w:eastAsia="Arial" w:hAnsi="Arial"/>
          <w:sz w:val="17"/>
          <w:szCs w:val="17"/>
          <w:i w:val="1"/>
          <w:iCs w:val="1"/>
          <w:color w:val="auto"/>
        </w:rPr>
        <w:t xml:space="preserve"> </w:t>
      </w:r>
      <w:r>
        <w:rPr>
          <w:rFonts w:ascii="Arial" w:cs="Arial" w:eastAsia="Arial" w:hAnsi="Arial"/>
          <w:sz w:val="17"/>
          <w:szCs w:val="17"/>
          <w:color w:val="auto"/>
        </w:rPr>
        <w:t>the Asset Manager Affiliates and may selectively invest in securities issued by funds managed by other asset management companies (collectively, “CLO Fund securities”). The Company’s CLO Fund securities generally relate to credit instruments issued by corporations.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ind w:right="20" w:firstLine="414"/>
        <w:spacing w:after="0" w:line="269" w:lineRule="auto"/>
        <w:rPr>
          <w:sz w:val="20"/>
          <w:szCs w:val="20"/>
          <w:color w:val="auto"/>
        </w:rPr>
      </w:pPr>
      <w:r>
        <w:rPr>
          <w:rFonts w:ascii="Arial" w:cs="Arial" w:eastAsia="Arial" w:hAnsi="Arial"/>
          <w:sz w:val="17"/>
          <w:szCs w:val="17"/>
          <w:color w:val="auto"/>
        </w:rPr>
        <w:t>The Company’s investments in CLO Fund securities are carried at fair value, which is based either on (i) the present value of the net expected cash inflows for interest income and principal repayments from underlying assets and cash outflows for interest expense, debt paydown and other fund costs for the CLO Funds that are approaching or past the end of their reinvestment period and therefore are selling assets and/or using principal repayments to pay down CLO Fund debt (or will begin to do so shortly), and for which there continue to be net cash distributions to the class of securities owned by the Company, or (ii) a discounted cash flow model for more recent CLO Funds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The Company recognizes unrealized appreciation or depreciation on the Company’s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investment. The Company determines the fair value of its investments in CLO Fund securities on a security-by-security basis.</w:t>
      </w:r>
    </w:p>
    <w:p>
      <w:pPr>
        <w:spacing w:after="0" w:line="180" w:lineRule="exact"/>
        <w:rPr>
          <w:sz w:val="20"/>
          <w:szCs w:val="20"/>
          <w:color w:val="auto"/>
        </w:rPr>
      </w:pPr>
    </w:p>
    <w:p>
      <w:pPr>
        <w:ind w:firstLine="414"/>
        <w:spacing w:after="0" w:line="289" w:lineRule="auto"/>
        <w:rPr>
          <w:sz w:val="20"/>
          <w:szCs w:val="20"/>
          <w:color w:val="auto"/>
        </w:rPr>
      </w:pPr>
      <w:r>
        <w:rPr>
          <w:rFonts w:ascii="Arial" w:cs="Arial" w:eastAsia="Arial" w:hAnsi="Arial"/>
          <w:sz w:val="16"/>
          <w:szCs w:val="16"/>
          <w:color w:val="auto"/>
        </w:rPr>
        <w:t>Due to the individual attributes of each CLO Fund security, they are classified as a Level III investment unless specific trading activity can be identified at or near the valuation date. When available, observable market information will be identified, evaluated and weighted accordingly in the application of such data to the present value models and fair value determination. Significant assumptions to the present value calculations include default rates, recovery rates, prepayment rates, investment/reinvestment rates and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w:t>
      </w:r>
    </w:p>
    <w:p>
      <w:pPr>
        <w:spacing w:after="0" w:line="167" w:lineRule="exact"/>
        <w:rPr>
          <w:sz w:val="20"/>
          <w:szCs w:val="20"/>
          <w:color w:val="auto"/>
        </w:rPr>
      </w:pPr>
    </w:p>
    <w:p>
      <w:pPr>
        <w:ind w:right="80" w:firstLine="414"/>
        <w:spacing w:after="0" w:line="255" w:lineRule="auto"/>
        <w:rPr>
          <w:sz w:val="20"/>
          <w:szCs w:val="20"/>
          <w:color w:val="auto"/>
        </w:rPr>
      </w:pPr>
      <w:r>
        <w:rPr>
          <w:rFonts w:ascii="Arial" w:cs="Arial" w:eastAsia="Arial" w:hAnsi="Arial"/>
          <w:sz w:val="18"/>
          <w:szCs w:val="18"/>
          <w:color w:val="auto"/>
        </w:rPr>
        <w:t>For bond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 Such adjustments require judgment and may be material to the calculation of fair value.</w:t>
      </w:r>
    </w:p>
    <w:p>
      <w:pPr>
        <w:spacing w:after="0" w:line="193" w:lineRule="exact"/>
        <w:rPr>
          <w:sz w:val="20"/>
          <w:szCs w:val="20"/>
          <w:color w:val="auto"/>
        </w:rPr>
      </w:pPr>
    </w:p>
    <w:p>
      <w:pPr>
        <w:ind w:right="160" w:firstLine="414"/>
        <w:spacing w:after="0" w:line="277" w:lineRule="auto"/>
        <w:rPr>
          <w:sz w:val="20"/>
          <w:szCs w:val="20"/>
          <w:color w:val="auto"/>
        </w:rPr>
      </w:pPr>
      <w:r>
        <w:rPr>
          <w:rFonts w:ascii="Arial" w:cs="Arial" w:eastAsia="Arial" w:hAnsi="Arial"/>
          <w:sz w:val="18"/>
          <w:szCs w:val="18"/>
          <w:b w:val="1"/>
          <w:bCs w:val="1"/>
          <w:i w:val="1"/>
          <w:iCs w:val="1"/>
          <w:color w:val="auto"/>
        </w:rPr>
        <w:t>Cash</w:t>
      </w:r>
      <w:r>
        <w:rPr>
          <w:rFonts w:ascii="Arial" w:cs="Arial" w:eastAsia="Arial" w:hAnsi="Arial"/>
          <w:sz w:val="18"/>
          <w:szCs w:val="18"/>
          <w:color w:val="auto"/>
        </w:rPr>
        <w:t>. The Company places its cash with financial institutions and, at times, cash held in checking accounts may exceed the Federal Deposit Insurance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Corporation insured limit.</w:t>
      </w:r>
    </w:p>
    <w:p>
      <w:pPr>
        <w:spacing w:after="0" w:line="170" w:lineRule="exact"/>
        <w:rPr>
          <w:sz w:val="20"/>
          <w:szCs w:val="20"/>
          <w:color w:val="auto"/>
        </w:rPr>
      </w:pPr>
    </w:p>
    <w:p>
      <w:pPr>
        <w:ind w:right="20" w:firstLine="414"/>
        <w:spacing w:after="0" w:line="264" w:lineRule="auto"/>
        <w:rPr>
          <w:sz w:val="20"/>
          <w:szCs w:val="20"/>
          <w:color w:val="auto"/>
        </w:rPr>
      </w:pPr>
      <w:r>
        <w:rPr>
          <w:rFonts w:ascii="Arial" w:cs="Arial" w:eastAsia="Arial" w:hAnsi="Arial"/>
          <w:sz w:val="18"/>
          <w:szCs w:val="18"/>
          <w:b w:val="1"/>
          <w:bCs w:val="1"/>
          <w:i w:val="1"/>
          <w:iCs w:val="1"/>
          <w:color w:val="auto"/>
        </w:rPr>
        <w:t>Time Deposits and Money Market Accounts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deposits primarily represent investments of cash held in a demand deposit accounts. Money 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accounts primarily represent short term interest-bearing deposit accounts including an account that contains restricted cash held for employee flexible spending accounts.</w:t>
      </w:r>
    </w:p>
    <w:p>
      <w:pPr>
        <w:spacing w:after="0" w:line="181" w:lineRule="exact"/>
        <w:rPr>
          <w:sz w:val="20"/>
          <w:szCs w:val="20"/>
          <w:color w:val="auto"/>
        </w:rPr>
      </w:pPr>
    </w:p>
    <w:p>
      <w:pPr>
        <w:ind w:right="80" w:firstLine="414"/>
        <w:spacing w:after="0" w:line="297" w:lineRule="auto"/>
        <w:rPr>
          <w:sz w:val="20"/>
          <w:szCs w:val="20"/>
          <w:color w:val="auto"/>
        </w:rPr>
      </w:pPr>
      <w:r>
        <w:rPr>
          <w:rFonts w:ascii="Arial" w:cs="Arial" w:eastAsia="Arial" w:hAnsi="Arial"/>
          <w:sz w:val="16"/>
          <w:szCs w:val="16"/>
          <w:b w:val="1"/>
          <w:bCs w:val="1"/>
          <w:i w:val="1"/>
          <w:iCs w:val="1"/>
          <w:color w:val="auto"/>
        </w:rPr>
        <w:t>Interest Income</w:t>
      </w:r>
      <w:r>
        <w:rPr>
          <w:rFonts w:ascii="Arial" w:cs="Arial" w:eastAsia="Arial" w:hAnsi="Arial"/>
          <w:sz w:val="16"/>
          <w:szCs w:val="16"/>
          <w:color w:val="auto"/>
        </w:rPr>
        <w:t>. Interest income, including the amortization of premium and accretion of discount, is recorded on the accrual basis to the extent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amounts are expected to be collected. The Company generally places a loan or security on non-accrual status and ceases recognizing cash interest income on such loan or security when a loan or security becomes 90 days or more past due or if the Company otherwise does not expect the debtor to be able to service its debt obligations. Non-accrual loans remain in such status until the borrower has demonstrated the ability and intent to pay contractual amounts due or such loans become current. As of March 31, 2013, five issuers representing less than 1% of total investments at fair value were considered in default.</w:t>
      </w:r>
    </w:p>
    <w:p>
      <w:pPr>
        <w:spacing w:after="0" w:line="158" w:lineRule="exact"/>
        <w:rPr>
          <w:sz w:val="20"/>
          <w:szCs w:val="20"/>
          <w:color w:val="auto"/>
        </w:rPr>
      </w:pPr>
    </w:p>
    <w:p>
      <w:pPr>
        <w:ind w:right="360" w:firstLine="414"/>
        <w:spacing w:after="0" w:line="277" w:lineRule="auto"/>
        <w:rPr>
          <w:sz w:val="20"/>
          <w:szCs w:val="20"/>
          <w:color w:val="auto"/>
        </w:rPr>
      </w:pPr>
      <w:r>
        <w:rPr>
          <w:rFonts w:ascii="Arial" w:cs="Arial" w:eastAsia="Arial" w:hAnsi="Arial"/>
          <w:sz w:val="18"/>
          <w:szCs w:val="18"/>
          <w:b w:val="1"/>
          <w:bCs w:val="1"/>
          <w:i w:val="1"/>
          <w:iCs w:val="1"/>
          <w:color w:val="auto"/>
        </w:rPr>
        <w:t>Dividends from Asset Manager Affiliates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records dividend income from its Asset Manager Affiliates on the declaration date,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represents the ex-dividend date.</w:t>
      </w:r>
    </w:p>
    <w:p>
      <w:pPr>
        <w:spacing w:after="0" w:line="170" w:lineRule="exact"/>
        <w:rPr>
          <w:sz w:val="20"/>
          <w:szCs w:val="20"/>
          <w:color w:val="auto"/>
        </w:rPr>
      </w:pPr>
    </w:p>
    <w:p>
      <w:pPr>
        <w:ind w:right="120" w:firstLine="414"/>
        <w:spacing w:after="0" w:line="291" w:lineRule="auto"/>
        <w:rPr>
          <w:sz w:val="20"/>
          <w:szCs w:val="20"/>
          <w:color w:val="auto"/>
        </w:rPr>
      </w:pPr>
      <w:r>
        <w:rPr>
          <w:rFonts w:ascii="Arial" w:cs="Arial" w:eastAsia="Arial" w:hAnsi="Arial"/>
          <w:sz w:val="16"/>
          <w:szCs w:val="16"/>
          <w:b w:val="1"/>
          <w:bCs w:val="1"/>
          <w:i w:val="1"/>
          <w:iCs w:val="1"/>
          <w:color w:val="auto"/>
        </w:rPr>
        <w:t>Dividend Income from CLO Fund Securities</w:t>
      </w:r>
      <w:r>
        <w:rPr>
          <w:rFonts w:ascii="Arial" w:cs="Arial" w:eastAsia="Arial" w:hAnsi="Arial"/>
          <w:sz w:val="16"/>
          <w:szCs w:val="16"/>
          <w:color w:val="auto"/>
        </w:rPr>
        <w:t>. The Company generates dividend income from its investments in the most junior class of securities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CLO Funds (typically preferred shares or subordinated securities) managed by the Asset Manager Affiliates and selective investments in securities issued by funds managed by other asset management companies. The Company’s CLO Fund junior class securities are subordinated to senior note holders who typically receive a fixed rate of return on their investment.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 The Company makes estimated interim accruals of such dividend income based on recent historical distributions and CLO Fund performance and adjusts such accruals on a quarterly basis to reflect actual distributions.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ind w:right="60" w:firstLine="414"/>
        <w:spacing w:after="0" w:line="277" w:lineRule="auto"/>
        <w:rPr>
          <w:sz w:val="20"/>
          <w:szCs w:val="20"/>
          <w:color w:val="auto"/>
        </w:rPr>
      </w:pPr>
      <w:r>
        <w:rPr>
          <w:rFonts w:ascii="Arial" w:cs="Arial" w:eastAsia="Arial" w:hAnsi="Arial"/>
          <w:sz w:val="18"/>
          <w:szCs w:val="18"/>
          <w:color w:val="auto"/>
        </w:rPr>
        <w:t>For non-junior class CLO Fund securities, such as the Company’s investment in the Class B-2L Notes of the Katonah 2007-I CLO and Class F Notes of the Catamaran 2012-1 CLO, interest is earned at a fixed spread relative to the LIBOR index.</w:t>
      </w:r>
    </w:p>
    <w:p>
      <w:pPr>
        <w:spacing w:after="0" w:line="170" w:lineRule="exact"/>
        <w:rPr>
          <w:sz w:val="20"/>
          <w:szCs w:val="20"/>
          <w:color w:val="auto"/>
        </w:rPr>
      </w:pPr>
    </w:p>
    <w:p>
      <w:pPr>
        <w:ind w:right="120" w:firstLine="414"/>
        <w:spacing w:after="0" w:line="259" w:lineRule="auto"/>
        <w:rPr>
          <w:sz w:val="20"/>
          <w:szCs w:val="20"/>
          <w:color w:val="auto"/>
        </w:rPr>
      </w:pPr>
      <w:r>
        <w:rPr>
          <w:rFonts w:ascii="Arial" w:cs="Arial" w:eastAsia="Arial" w:hAnsi="Arial"/>
          <w:sz w:val="18"/>
          <w:szCs w:val="18"/>
          <w:b w:val="1"/>
          <w:bCs w:val="1"/>
          <w:i w:val="1"/>
          <w:iCs w:val="1"/>
          <w:color w:val="auto"/>
        </w:rPr>
        <w:t>Capital Structuring Service Fees</w:t>
      </w:r>
      <w:r>
        <w:rPr>
          <w:rFonts w:ascii="Arial" w:cs="Arial" w:eastAsia="Arial" w:hAnsi="Arial"/>
          <w:sz w:val="18"/>
          <w:szCs w:val="18"/>
          <w:color w:val="auto"/>
        </w:rPr>
        <w:t>. The Company may earn ancillary structuring and other fees related to the origination, investment, disposition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liquidation of debt and investment securities. Generally, the Company will capitalize loan origination fees, then amortize these fees into interest income over the term of the loan using the effective interest rate method, recognizes prepayment and liquidation fees upon receipt and equity structuring fees as earned, which generally occurs when an investment transaction closes.</w:t>
      </w:r>
    </w:p>
    <w:p>
      <w:pPr>
        <w:spacing w:after="0" w:line="187" w:lineRule="exact"/>
        <w:rPr>
          <w:sz w:val="20"/>
          <w:szCs w:val="20"/>
          <w:color w:val="auto"/>
        </w:rPr>
      </w:pPr>
    </w:p>
    <w:p>
      <w:pPr>
        <w:ind w:right="140" w:firstLine="414"/>
        <w:spacing w:after="0" w:line="277" w:lineRule="auto"/>
        <w:rPr>
          <w:sz w:val="20"/>
          <w:szCs w:val="20"/>
          <w:color w:val="auto"/>
        </w:rPr>
      </w:pPr>
      <w:r>
        <w:rPr>
          <w:rFonts w:ascii="Arial" w:cs="Arial" w:eastAsia="Arial" w:hAnsi="Arial"/>
          <w:sz w:val="18"/>
          <w:szCs w:val="18"/>
          <w:b w:val="1"/>
          <w:bCs w:val="1"/>
          <w:i w:val="1"/>
          <w:iCs w:val="1"/>
          <w:color w:val="auto"/>
        </w:rPr>
        <w:t>Debt Issuance Costs</w:t>
      </w:r>
      <w:r>
        <w:rPr>
          <w:rFonts w:ascii="Arial" w:cs="Arial" w:eastAsia="Arial" w:hAnsi="Arial"/>
          <w:sz w:val="18"/>
          <w:szCs w:val="18"/>
          <w:color w:val="auto"/>
        </w:rPr>
        <w:t>. Debt issuance costs represent fees and other direct costs incurred in connection with the Company’s borrowings. These amounts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capitalized and amortized ratably over the contractual term of the borrowing.</w:t>
      </w:r>
    </w:p>
    <w:p>
      <w:pPr>
        <w:spacing w:after="0" w:line="170" w:lineRule="exact"/>
        <w:rPr>
          <w:sz w:val="20"/>
          <w:szCs w:val="20"/>
          <w:color w:val="auto"/>
        </w:rPr>
      </w:pPr>
    </w:p>
    <w:p>
      <w:pPr>
        <w:ind w:right="100" w:firstLine="414"/>
        <w:spacing w:after="0" w:line="273" w:lineRule="auto"/>
        <w:rPr>
          <w:sz w:val="20"/>
          <w:szCs w:val="20"/>
          <w:color w:val="auto"/>
        </w:rPr>
      </w:pPr>
      <w:r>
        <w:rPr>
          <w:rFonts w:ascii="Arial" w:cs="Arial" w:eastAsia="Arial" w:hAnsi="Arial"/>
          <w:sz w:val="17"/>
          <w:szCs w:val="17"/>
          <w:color w:val="auto"/>
        </w:rPr>
        <w:t>During March 2011, the Company issued $60 million of Convertible Senior Notes (the “Convertible Senior Notes”) and incurred debt issuance costs of approximately $2.3 million which are being amortized over a five-year period. During October 2012, the Company issued $41.4 million of 7.375% Senior Notes due 2019 (the “Senior Notes”) and incurred debt issuance costs of approximately $1.5 million, which are being amortized over a seven year period. At March 31, 2013, there was an unamortized debt issuance cost of approximately $2.8 million included in other assets in the accompanying balance sheet. Amortization expense for the three months ended March 31, 2013 and 2012 was approximately $149,000 and $118,000, respectively, and is included in interest and amortization of debt issuance costs on the Statement of Operations.</w:t>
      </w:r>
    </w:p>
    <w:p>
      <w:pPr>
        <w:spacing w:after="0" w:line="178" w:lineRule="exact"/>
        <w:rPr>
          <w:sz w:val="20"/>
          <w:szCs w:val="20"/>
          <w:color w:val="auto"/>
        </w:rPr>
      </w:pPr>
    </w:p>
    <w:p>
      <w:pPr>
        <w:ind w:right="40" w:firstLine="414"/>
        <w:spacing w:after="0" w:line="255" w:lineRule="auto"/>
        <w:rPr>
          <w:sz w:val="20"/>
          <w:szCs w:val="20"/>
          <w:color w:val="auto"/>
        </w:rPr>
      </w:pPr>
      <w:r>
        <w:rPr>
          <w:rFonts w:ascii="Arial" w:cs="Arial" w:eastAsia="Arial" w:hAnsi="Arial"/>
          <w:sz w:val="18"/>
          <w:szCs w:val="18"/>
          <w:b w:val="1"/>
          <w:bCs w:val="1"/>
          <w:i w:val="1"/>
          <w:iCs w:val="1"/>
          <w:color w:val="auto"/>
        </w:rPr>
        <w:t>Expenses</w:t>
      </w:r>
      <w:r>
        <w:rPr>
          <w:rFonts w:ascii="Arial" w:cs="Arial" w:eastAsia="Arial" w:hAnsi="Arial"/>
          <w:sz w:val="18"/>
          <w:szCs w:val="18"/>
          <w:color w:val="auto"/>
        </w:rPr>
        <w:t>. The Company is internally managed and expenses costs, as incurred, with regard to the running of its operations. Primary operating expenses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employee salaries and benefits, the costs of identifying, evaluating, negotiating, closing, monitoring and servicing the Company’s investments and related overhead charges and expenses, including rental expense, and any interest expense incurred in connection with borrowings. The Company and the Asset Manager Affiliates share office space and certain other operating expenses. The Company has entered into an Overhead Allocation Agreement with the Asset Manager Affiliates which provides for the sharing of such expenses based on an equal sharing of office lease costs and the ratable usage of other shared resources.</w:t>
      </w:r>
    </w:p>
    <w:p>
      <w:pPr>
        <w:spacing w:after="0" w:line="193" w:lineRule="exact"/>
        <w:rPr>
          <w:sz w:val="20"/>
          <w:szCs w:val="20"/>
          <w:color w:val="auto"/>
        </w:rPr>
      </w:pPr>
    </w:p>
    <w:p>
      <w:pPr>
        <w:ind w:right="140" w:firstLine="414"/>
        <w:spacing w:after="0" w:line="264"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 Dividends and distributions to common stockholders are recorded on the ex-dividend date. The amount to be paid out as a dividend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determined by the Board of Directors each quarter and is generally based upon the distributable taxable income estimated by management for the period and year.</w:t>
      </w:r>
    </w:p>
    <w:p>
      <w:pPr>
        <w:spacing w:after="0" w:line="181" w:lineRule="exact"/>
        <w:rPr>
          <w:sz w:val="20"/>
          <w:szCs w:val="20"/>
          <w:color w:val="auto"/>
        </w:rPr>
      </w:pPr>
    </w:p>
    <w:p>
      <w:pPr>
        <w:jc w:val="both"/>
        <w:ind w:right="560" w:firstLine="414"/>
        <w:spacing w:after="0" w:line="264" w:lineRule="auto"/>
        <w:rPr>
          <w:sz w:val="20"/>
          <w:szCs w:val="20"/>
          <w:color w:val="auto"/>
        </w:rPr>
      </w:pPr>
      <w:r>
        <w:rPr>
          <w:rFonts w:ascii="Arial" w:cs="Arial" w:eastAsia="Arial" w:hAnsi="Arial"/>
          <w:sz w:val="18"/>
          <w:szCs w:val="18"/>
          <w:color w:val="auto"/>
        </w:rPr>
        <w:t>The Company has adopted a dividend reinvestment plan that provides for reinvestment of its distributions on behalf of its stockholders, unless a stockholder “opts out” of the plan to receive cash in lieu of having their cash dividends automatically reinvested in additional shares of the Company’s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information sets forth the computation of basic and diluted net increase (decrease) in stockholders’ equity per share for the three months ended March 31, 2013 and 2012 (unaudited):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6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w w:val="98"/>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Net increase in net assets from operations</w:t>
            </w: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7,213,281</w:t>
            </w:r>
          </w:p>
        </w:tc>
        <w:tc>
          <w:tcPr>
            <w:tcW w:w="200" w:type="dxa"/>
            <w:vAlign w:val="bottom"/>
            <w:shd w:val="clear" w:color="auto" w:fill="CCFFCC"/>
          </w:tcPr>
          <w:p>
            <w:pPr>
              <w:spacing w:after="0"/>
              <w:rPr>
                <w:sz w:val="18"/>
                <w:szCs w:val="18"/>
                <w:color w:val="auto"/>
              </w:rPr>
            </w:pPr>
          </w:p>
        </w:tc>
        <w:tc>
          <w:tcPr>
            <w:tcW w:w="4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576,657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decrease in net assets allocated to unvested share awards</w:t>
            </w:r>
          </w:p>
        </w:tc>
        <w:tc>
          <w:tcPr>
            <w:tcW w:w="2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(7,935)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Add: Interest on Senior Convertible Notes</w:t>
            </w:r>
          </w:p>
        </w:tc>
        <w:tc>
          <w:tcPr>
            <w:tcW w:w="26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1,312,500</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Add: Amortization of Capitalized Costs on Senior Convertible Notes</w:t>
            </w:r>
          </w:p>
        </w:tc>
        <w:tc>
          <w:tcPr>
            <w:tcW w:w="26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106,115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7980" w:type="dxa"/>
            <w:vAlign w:val="bottom"/>
            <w:tcBorders>
              <w:top w:val="single" w:sz="8" w:color="CCFFCC"/>
            </w:tcBorders>
            <w:shd w:val="clear" w:color="auto" w:fill="CCFFCC"/>
          </w:tcPr>
          <w:p>
            <w:pPr>
              <w:spacing w:after="0"/>
              <w:rPr>
                <w:sz w:val="20"/>
                <w:szCs w:val="20"/>
                <w:color w:val="auto"/>
              </w:rPr>
            </w:pPr>
          </w:p>
        </w:tc>
        <w:tc>
          <w:tcPr>
            <w:tcW w:w="260" w:type="dxa"/>
            <w:vAlign w:val="bottom"/>
            <w:tcBorders>
              <w:top w:val="single" w:sz="8" w:color="auto"/>
            </w:tcBorders>
            <w:shd w:val="clear" w:color="auto" w:fill="CCFFCC"/>
          </w:tcPr>
          <w:p>
            <w:pPr>
              <w:spacing w:after="0"/>
              <w:rPr>
                <w:sz w:val="20"/>
                <w:szCs w:val="20"/>
                <w:color w:val="auto"/>
              </w:rPr>
            </w:pPr>
          </w:p>
        </w:tc>
        <w:tc>
          <w:tcPr>
            <w:tcW w:w="1240" w:type="dxa"/>
            <w:vAlign w:val="bottom"/>
            <w:tcBorders>
              <w:top w:val="single" w:sz="8" w:color="auto"/>
            </w:tcBorders>
            <w:shd w:val="clear" w:color="auto" w:fill="CCFFCC"/>
          </w:tcPr>
          <w:p>
            <w:pPr>
              <w:spacing w:after="0"/>
              <w:rPr>
                <w:sz w:val="20"/>
                <w:szCs w:val="20"/>
                <w:color w:val="auto"/>
              </w:rPr>
            </w:pPr>
          </w:p>
        </w:tc>
        <w:tc>
          <w:tcPr>
            <w:tcW w:w="200" w:type="dxa"/>
            <w:vAlign w:val="bottom"/>
            <w:tcBorders>
              <w:top w:val="single" w:sz="8" w:color="CCFFCC"/>
            </w:tcBorders>
            <w:shd w:val="clear" w:color="auto" w:fill="CCFFCC"/>
          </w:tcPr>
          <w:p>
            <w:pPr>
              <w:spacing w:after="0"/>
              <w:rPr>
                <w:sz w:val="20"/>
                <w:szCs w:val="20"/>
                <w:color w:val="auto"/>
              </w:rPr>
            </w:pPr>
          </w:p>
        </w:tc>
        <w:tc>
          <w:tcPr>
            <w:tcW w:w="140" w:type="dxa"/>
            <w:vAlign w:val="bottom"/>
            <w:tcBorders>
              <w:top w:val="single" w:sz="8" w:color="CCFFCC"/>
            </w:tcBorders>
            <w:shd w:val="clear" w:color="auto" w:fill="CCFFCC"/>
          </w:tcPr>
          <w:p>
            <w:pPr>
              <w:spacing w:after="0"/>
              <w:rPr>
                <w:sz w:val="20"/>
                <w:szCs w:val="20"/>
                <w:color w:val="auto"/>
              </w:rPr>
            </w:pPr>
          </w:p>
        </w:tc>
        <w:tc>
          <w:tcPr>
            <w:tcW w:w="320" w:type="dxa"/>
            <w:vAlign w:val="bottom"/>
            <w:tcBorders>
              <w:top w:val="single" w:sz="8" w:color="auto"/>
            </w:tcBorders>
            <w:shd w:val="clear" w:color="auto" w:fill="CCFFCC"/>
          </w:tcPr>
          <w:p>
            <w:pPr>
              <w:spacing w:after="0"/>
              <w:rPr>
                <w:sz w:val="20"/>
                <w:szCs w:val="20"/>
                <w:color w:val="auto"/>
              </w:rPr>
            </w:pPr>
          </w:p>
        </w:tc>
        <w:tc>
          <w:tcPr>
            <w:tcW w:w="1160" w:type="dxa"/>
            <w:vAlign w:val="bottom"/>
            <w:tcBorders>
              <w:top w:val="single" w:sz="8" w:color="auto"/>
            </w:tcBorders>
            <w:shd w:val="clear" w:color="auto" w:fill="CCFFCC"/>
          </w:tcPr>
          <w:p>
            <w:pPr>
              <w:spacing w:after="0"/>
              <w:rPr>
                <w:sz w:val="20"/>
                <w:szCs w:val="20"/>
                <w:color w:val="auto"/>
              </w:rPr>
            </w:pPr>
          </w:p>
        </w:tc>
        <w:tc>
          <w:tcPr>
            <w:tcW w:w="100" w:type="dxa"/>
            <w:vAlign w:val="bottom"/>
            <w:tcBorders>
              <w:top w:val="single" w:sz="8" w:color="CCFFCC"/>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increase in net assets available to common stockholders</w:t>
            </w: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8,623,961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568,880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tcBorders>
              <w:top w:val="single" w:sz="8" w:color="CCFFCC"/>
            </w:tcBorders>
            <w:shd w:val="clear" w:color="auto" w:fill="CCFFCC"/>
          </w:tcPr>
          <w:p>
            <w:pPr>
              <w:spacing w:after="0" w:line="196" w:lineRule="exact"/>
              <w:rPr>
                <w:sz w:val="20"/>
                <w:szCs w:val="20"/>
                <w:color w:val="auto"/>
              </w:rPr>
            </w:pPr>
            <w:r>
              <w:rPr>
                <w:rFonts w:ascii="Arial" w:cs="Arial" w:eastAsia="Arial" w:hAnsi="Arial"/>
                <w:sz w:val="18"/>
                <w:szCs w:val="18"/>
                <w:color w:val="auto"/>
              </w:rPr>
              <w:t>Weighted average number of common shares outstanding for basic shares computation</w:t>
            </w:r>
          </w:p>
        </w:tc>
        <w:tc>
          <w:tcPr>
            <w:tcW w:w="260" w:type="dxa"/>
            <w:vAlign w:val="bottom"/>
            <w:tcBorders>
              <w:top w:val="single" w:sz="8" w:color="auto"/>
            </w:tcBorders>
            <w:shd w:val="clear" w:color="auto" w:fill="CCFFCC"/>
          </w:tcPr>
          <w:p>
            <w:pPr>
              <w:spacing w:after="0"/>
              <w:rPr>
                <w:sz w:val="17"/>
                <w:szCs w:val="17"/>
                <w:color w:val="auto"/>
              </w:rPr>
            </w:pPr>
          </w:p>
        </w:tc>
        <w:tc>
          <w:tcPr>
            <w:tcW w:w="1240" w:type="dxa"/>
            <w:vAlign w:val="bottom"/>
            <w:tcBorders>
              <w:top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29,266,186</w:t>
            </w:r>
          </w:p>
        </w:tc>
        <w:tc>
          <w:tcPr>
            <w:tcW w:w="20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CCFFCC"/>
            </w:tcBorders>
            <w:shd w:val="clear" w:color="auto" w:fill="CCFFCC"/>
          </w:tcPr>
          <w:p>
            <w:pPr>
              <w:spacing w:after="0"/>
              <w:rPr>
                <w:sz w:val="17"/>
                <w:szCs w:val="17"/>
                <w:color w:val="auto"/>
              </w:rPr>
            </w:pPr>
          </w:p>
        </w:tc>
        <w:tc>
          <w:tcPr>
            <w:tcW w:w="320" w:type="dxa"/>
            <w:vAlign w:val="bottom"/>
            <w:tcBorders>
              <w:top w:val="single" w:sz="8" w:color="auto"/>
            </w:tcBorders>
            <w:shd w:val="clear" w:color="auto" w:fill="CCFFCC"/>
          </w:tcPr>
          <w:p>
            <w:pPr>
              <w:spacing w:after="0"/>
              <w:rPr>
                <w:sz w:val="17"/>
                <w:szCs w:val="17"/>
                <w:color w:val="auto"/>
              </w:rPr>
            </w:pPr>
          </w:p>
        </w:tc>
        <w:tc>
          <w:tcPr>
            <w:tcW w:w="1160" w:type="dxa"/>
            <w:vAlign w:val="bottom"/>
            <w:tcBorders>
              <w:top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24,270,825</w:t>
            </w: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Effect of dilutive securities - stock options</w:t>
            </w:r>
          </w:p>
        </w:tc>
        <w:tc>
          <w:tcPr>
            <w:tcW w:w="2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15,689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Effect of dilutive Senior Convertible Notes</w:t>
            </w:r>
          </w:p>
        </w:tc>
        <w:tc>
          <w:tcPr>
            <w:tcW w:w="260" w:type="dxa"/>
            <w:vAlign w:val="bottom"/>
            <w:shd w:val="clear" w:color="auto" w:fill="CCFFCC"/>
          </w:tcPr>
          <w:p>
            <w:pPr>
              <w:spacing w:after="0"/>
              <w:rPr>
                <w:sz w:val="19"/>
                <w:szCs w:val="19"/>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7,353,828</w:t>
            </w:r>
          </w:p>
        </w:tc>
        <w:tc>
          <w:tcPr>
            <w:tcW w:w="2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79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98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3"/>
              </w:rPr>
              <w:t>Weighted average number of common and common stock equivalent shares outstanding for diluted shares</w:t>
            </w:r>
          </w:p>
        </w:tc>
        <w:tc>
          <w:tcPr>
            <w:tcW w:w="26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80" w:type="dxa"/>
            <w:vAlign w:val="bottom"/>
            <w:shd w:val="clear" w:color="auto" w:fill="CCFFCC"/>
          </w:tcPr>
          <w:p>
            <w:pPr>
              <w:jc w:val="right"/>
              <w:ind w:right="6830"/>
              <w:spacing w:after="0"/>
              <w:rPr>
                <w:sz w:val="20"/>
                <w:szCs w:val="20"/>
                <w:color w:val="auto"/>
              </w:rPr>
            </w:pPr>
            <w:r>
              <w:rPr>
                <w:rFonts w:ascii="Arial" w:cs="Arial" w:eastAsia="Arial" w:hAnsi="Arial"/>
                <w:sz w:val="18"/>
                <w:szCs w:val="18"/>
                <w:color w:val="auto"/>
              </w:rPr>
              <w:t>computation</w:t>
            </w:r>
          </w:p>
        </w:tc>
        <w:tc>
          <w:tcPr>
            <w:tcW w:w="260" w:type="dxa"/>
            <w:vAlign w:val="bottom"/>
            <w:shd w:val="clear" w:color="auto" w:fill="CCFFCC"/>
          </w:tcPr>
          <w:p>
            <w:pPr>
              <w:spacing w:after="0"/>
              <w:rPr>
                <w:sz w:val="22"/>
                <w:szCs w:val="22"/>
                <w:color w:val="auto"/>
              </w:rPr>
            </w:pP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36,635,703</w:t>
            </w:r>
          </w:p>
        </w:tc>
        <w:tc>
          <w:tcPr>
            <w:tcW w:w="140" w:type="dxa"/>
            <w:vAlign w:val="bottom"/>
            <w:shd w:val="clear" w:color="auto" w:fill="CCFFCC"/>
          </w:tcPr>
          <w:p>
            <w:pPr>
              <w:spacing w:after="0"/>
              <w:rPr>
                <w:sz w:val="22"/>
                <w:szCs w:val="22"/>
                <w:color w:val="auto"/>
              </w:rPr>
            </w:pPr>
          </w:p>
        </w:tc>
        <w:tc>
          <w:tcPr>
            <w:tcW w:w="320" w:type="dxa"/>
            <w:vAlign w:val="bottom"/>
            <w:shd w:val="clear" w:color="auto" w:fill="CCFFCC"/>
          </w:tcPr>
          <w:p>
            <w:pPr>
              <w:spacing w:after="0"/>
              <w:rPr>
                <w:sz w:val="22"/>
                <w:szCs w:val="22"/>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24,270,825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Net increase in net assets per basic common shares:</w:t>
            </w:r>
          </w:p>
        </w:tc>
        <w:tc>
          <w:tcPr>
            <w:tcW w:w="2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increase in net assets from operations</w:t>
            </w:r>
          </w:p>
        </w:tc>
        <w:tc>
          <w:tcPr>
            <w:tcW w:w="2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0.25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Net increase in net assets per diluted shares:</w:t>
            </w:r>
          </w:p>
        </w:tc>
        <w:tc>
          <w:tcPr>
            <w:tcW w:w="2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increase in net assets from operations</w:t>
            </w:r>
          </w:p>
        </w:tc>
        <w:tc>
          <w:tcPr>
            <w:tcW w:w="26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0.24</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7980" w:type="dxa"/>
            <w:vAlign w:val="bottom"/>
            <w:tcBorders>
              <w:bottom w:val="single" w:sz="8" w:color="auto"/>
            </w:tcBorders>
          </w:tcPr>
          <w:p>
            <w:pPr>
              <w:jc w:val="right"/>
              <w:ind w:right="2110"/>
              <w:spacing w:after="0"/>
              <w:rPr>
                <w:sz w:val="20"/>
                <w:szCs w:val="20"/>
                <w:color w:val="auto"/>
              </w:rPr>
            </w:pPr>
            <w:r>
              <w:rPr>
                <w:rFonts w:ascii="Arial" w:cs="Arial" w:eastAsia="Arial" w:hAnsi="Arial"/>
                <w:sz w:val="18"/>
                <w:szCs w:val="18"/>
                <w:color w:val="auto"/>
              </w:rPr>
              <w:t>29</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31" w:name="page32"/>
    <w:bookmarkEnd w:id="31"/>
    <w:p>
      <w:pPr>
        <w:ind w:right="220" w:firstLine="414"/>
        <w:spacing w:after="0" w:line="259" w:lineRule="auto"/>
        <w:rPr>
          <w:sz w:val="20"/>
          <w:szCs w:val="20"/>
          <w:color w:val="auto"/>
        </w:rPr>
      </w:pPr>
      <w:r>
        <w:rPr>
          <w:rFonts w:ascii="Arial" w:cs="Arial" w:eastAsia="Arial" w:hAnsi="Arial"/>
          <w:sz w:val="18"/>
          <w:szCs w:val="18"/>
          <w:color w:val="auto"/>
        </w:rPr>
        <w:t>Share-based awards that contain nonforfeitable rights to dividends or dividend equivalents, whether paid or unpaid, are participating securities and included in the computation of both basic and diluted earnings per share. Grants of restricted stock awards to our employees and directors are considered participating securities when there are earnings in the period and the earnings per share calculations include outstanding unvested restricted stock awards in the basic weighted average shares outstanding calculation.</w:t>
      </w:r>
    </w:p>
    <w:p>
      <w:pPr>
        <w:spacing w:after="0" w:line="187" w:lineRule="exact"/>
        <w:rPr>
          <w:sz w:val="20"/>
          <w:szCs w:val="20"/>
          <w:color w:val="auto"/>
        </w:rPr>
      </w:pPr>
    </w:p>
    <w:p>
      <w:pPr>
        <w:ind w:right="40" w:firstLine="414"/>
        <w:spacing w:after="0" w:line="255" w:lineRule="auto"/>
        <w:rPr>
          <w:sz w:val="20"/>
          <w:szCs w:val="20"/>
          <w:color w:val="auto"/>
        </w:rPr>
      </w:pPr>
      <w:r>
        <w:rPr>
          <w:rFonts w:ascii="Arial" w:cs="Arial" w:eastAsia="Arial" w:hAnsi="Arial"/>
          <w:sz w:val="18"/>
          <w:szCs w:val="18"/>
          <w:color w:val="auto"/>
        </w:rPr>
        <w:t>The Company’s Convertible Senior Notes are included in the computation of the diluted net increase or decrease in net assets resulting from operations per share in accordance with ASC 261-10-45-40-b by application of the “if-converted method.” Under the if-converted method, interest charges applicable to the convertible debt for the period are added to the reported net increase or decrease in net assets resulting from operations and the full amount of shares (pro-rata if not outstanding for the full period) that would be issued are added to weighted average basic shares. Convertible debt is considered anti-dilutive only when its interest per share upon conversion exceeds the basic net increase or decrease in net assets resulting from operations per share. For the three months ended March 31, 2013, the effect of the convertible debt was dilutive. For the three months ended March 31, 2012, the effect of the convertible debt was antidilutive.</w:t>
      </w:r>
    </w:p>
    <w:p>
      <w:pPr>
        <w:spacing w:after="0" w:line="189" w:lineRule="exact"/>
        <w:rPr>
          <w:sz w:val="20"/>
          <w:szCs w:val="20"/>
          <w:color w:val="auto"/>
        </w:rPr>
      </w:pPr>
    </w:p>
    <w:p>
      <w:pPr>
        <w:ind w:right="20" w:firstLine="414"/>
        <w:spacing w:after="0" w:line="279" w:lineRule="auto"/>
        <w:rPr>
          <w:sz w:val="20"/>
          <w:szCs w:val="20"/>
          <w:color w:val="auto"/>
        </w:rPr>
      </w:pPr>
      <w:r>
        <w:rPr>
          <w:rFonts w:ascii="Arial" w:cs="Arial" w:eastAsia="Arial" w:hAnsi="Arial"/>
          <w:sz w:val="17"/>
          <w:szCs w:val="17"/>
          <w:color w:val="auto"/>
        </w:rPr>
        <w:t>The if-converted method of computing the dilutive effects on convertible debt assumes a conversion even if the contracted conversion price exceeds the market value of the shares. The current conversion price of the convertible senior is approximately 122.5638 shares of our common stock per $1,000 principal amount of the Convertible Senior Notes, equivalent to a conversion price of approximately $8.159 per share of our common stock. Upon conversion, the Company would issue the full amount of common stock upon conversion and retire the full amount of debt outstanding.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229" w:lineRule="exact"/>
        <w:rPr>
          <w:sz w:val="20"/>
          <w:szCs w:val="20"/>
          <w:color w:val="auto"/>
        </w:rPr>
      </w:pPr>
    </w:p>
    <w:p>
      <w:pPr>
        <w:ind w:right="260" w:firstLine="414"/>
        <w:spacing w:after="0" w:line="286" w:lineRule="auto"/>
        <w:rPr>
          <w:sz w:val="20"/>
          <w:szCs w:val="20"/>
          <w:color w:val="auto"/>
        </w:rPr>
      </w:pPr>
      <w:r>
        <w:rPr>
          <w:rFonts w:ascii="Arial" w:cs="Arial" w:eastAsia="Arial" w:hAnsi="Arial"/>
          <w:sz w:val="17"/>
          <w:szCs w:val="17"/>
          <w:color w:val="auto"/>
        </w:rPr>
        <w:t>The Company invests in senior secured loans and mezzanine debt and, to a lesser extent, equity capital of middle market companies in a variety of industries. The Company generally targets companies that generate positive cash flows because the Company looks to cash flows as the primary source for servicing debt. However, the Company may invest in other companies if it is presented with attractive opportunities.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the Company’s portfolio by security type at March 31, 2013 and December 31, 2012: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Security Type</w:t>
            </w:r>
          </w:p>
        </w:tc>
        <w:tc>
          <w:tcPr>
            <w:tcW w:w="1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7"/>
          </w:tcPr>
          <w:p>
            <w:pPr>
              <w:ind w:left="680"/>
              <w:spacing w:after="0"/>
              <w:rPr>
                <w:sz w:val="20"/>
                <w:szCs w:val="20"/>
                <w:color w:val="auto"/>
              </w:rPr>
            </w:pPr>
            <w:r>
              <w:rPr>
                <w:rFonts w:ascii="Arial" w:cs="Arial" w:eastAsia="Arial" w:hAnsi="Arial"/>
                <w:sz w:val="18"/>
                <w:szCs w:val="18"/>
                <w:b w:val="1"/>
                <w:bCs w:val="1"/>
                <w:color w:val="auto"/>
                <w:w w:val="96"/>
              </w:rPr>
              <w:t>March 31, 2013 (unaudited)</w:t>
            </w:r>
          </w:p>
        </w:tc>
        <w:tc>
          <w:tcPr>
            <w:tcW w:w="3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w w:val="91"/>
              </w:rPr>
              <w:t>December 31, 2012</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3"/>
          </w:tcPr>
          <w:p>
            <w:pPr>
              <w:ind w:left="20"/>
              <w:spacing w:after="0"/>
              <w:rPr>
                <w:sz w:val="20"/>
                <w:szCs w:val="20"/>
                <w:color w:val="auto"/>
              </w:rPr>
            </w:pPr>
            <w:r>
              <w:rPr>
                <w:rFonts w:ascii="Arial" w:cs="Arial" w:eastAsia="Arial" w:hAnsi="Arial"/>
                <w:sz w:val="18"/>
                <w:szCs w:val="18"/>
                <w:b w:val="1"/>
                <w:bCs w:val="1"/>
                <w:color w:val="auto"/>
              </w:rPr>
              <w:t>Fair Value</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%¹</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2"/>
              </w:rPr>
              <w:t>Fair Value</w:t>
            </w: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%¹</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vMerge w:val="restart"/>
            <w:shd w:val="clear" w:color="auto" w:fill="CCFFCC"/>
          </w:tcPr>
          <w:p>
            <w:pPr>
              <w:spacing w:after="0"/>
              <w:rPr>
                <w:sz w:val="20"/>
                <w:szCs w:val="20"/>
                <w:color w:val="auto"/>
              </w:rPr>
            </w:pPr>
            <w:r>
              <w:rPr>
                <w:rFonts w:ascii="Arial" w:cs="Arial" w:eastAsia="Arial" w:hAnsi="Arial"/>
                <w:sz w:val="18"/>
                <w:szCs w:val="18"/>
                <w:color w:val="auto"/>
              </w:rPr>
              <w:t>Time Deposits</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60" w:type="dxa"/>
            <w:vAlign w:val="bottom"/>
            <w:vMerge w:val="restart"/>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FFCC"/>
          </w:tcPr>
          <w:p>
            <w:pPr>
              <w:jc w:val="right"/>
              <w:ind w:right="15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000000"/>
          </w:tcPr>
          <w:p>
            <w:pPr>
              <w:spacing w:after="0" w:line="20" w:lineRule="exact"/>
              <w:rPr>
                <w:sz w:val="1"/>
                <w:szCs w:val="1"/>
                <w:color w:val="auto"/>
              </w:rPr>
            </w:pPr>
          </w:p>
        </w:tc>
        <w:tc>
          <w:tcPr>
            <w:tcW w:w="960" w:type="dxa"/>
            <w:vAlign w:val="bottom"/>
            <w:tcBorders>
              <w:right w:val="single" w:sz="8" w:color="CCFFCC"/>
            </w:tcBorders>
            <w:shd w:val="clear" w:color="auto" w:fill="000000"/>
          </w:tcPr>
          <w:p>
            <w:pPr>
              <w:spacing w:after="0" w:line="20" w:lineRule="exact"/>
              <w:rPr>
                <w:sz w:val="1"/>
                <w:szCs w:val="1"/>
                <w:color w:val="auto"/>
              </w:rPr>
            </w:pPr>
          </w:p>
        </w:tc>
        <w:tc>
          <w:tcPr>
            <w:tcW w:w="260" w:type="dxa"/>
            <w:vAlign w:val="bottom"/>
            <w:vMerge w:val="restart"/>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vMerge w:val="continue"/>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60" w:type="dxa"/>
            <w:vAlign w:val="bottom"/>
            <w:vMerge w:val="continue"/>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80" w:type="dxa"/>
            <w:vAlign w:val="bottom"/>
            <w:vMerge w:val="continue"/>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1,942,834</w:t>
            </w:r>
          </w:p>
        </w:tc>
        <w:tc>
          <w:tcPr>
            <w:tcW w:w="260" w:type="dxa"/>
            <w:vAlign w:val="bottom"/>
            <w:vMerge w:val="continue"/>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1,942,834</w:t>
            </w:r>
          </w:p>
        </w:tc>
        <w:tc>
          <w:tcPr>
            <w:tcW w:w="320" w:type="dxa"/>
            <w:vAlign w:val="bottom"/>
            <w:shd w:val="clear" w:color="auto" w:fill="CCFFCC"/>
          </w:tcPr>
          <w:p>
            <w:pPr>
              <w:spacing w:after="0"/>
              <w:rPr>
                <w:sz w:val="18"/>
                <w:szCs w:val="18"/>
                <w:color w:val="auto"/>
              </w:rPr>
            </w:pPr>
          </w:p>
        </w:tc>
        <w:tc>
          <w:tcPr>
            <w:tcW w:w="118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Money Market Account</w:t>
            </w: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38,887,925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38,887,925</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30,543,824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30,543,824</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Senior Secured Loan</w:t>
            </w:r>
          </w:p>
        </w:tc>
        <w:tc>
          <w:tcPr>
            <w:tcW w:w="12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w w:val="99"/>
              </w:rPr>
              <w:t>81,306,958</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74,471,738</w:t>
            </w:r>
          </w:p>
        </w:tc>
        <w:tc>
          <w:tcPr>
            <w:tcW w:w="3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w:t>
            </w:r>
          </w:p>
        </w:tc>
        <w:tc>
          <w:tcPr>
            <w:tcW w:w="3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7"/>
              </w:rPr>
              <w:t>67,874,565</w:t>
            </w:r>
          </w:p>
        </w:tc>
        <w:tc>
          <w:tcPr>
            <w:tcW w:w="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w w:val="99"/>
              </w:rPr>
              <w:t>60,258,885</w:t>
            </w: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Junior Secured Loan</w:t>
            </w: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54,430,898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39,532,069</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49,646,273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33,486,956</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Senior Unsecured Loan</w:t>
            </w:r>
          </w:p>
        </w:tc>
        <w:tc>
          <w:tcPr>
            <w:tcW w:w="12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w w:val="99"/>
              </w:rPr>
              <w:t>20,000,000</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20,000,000</w:t>
            </w:r>
          </w:p>
        </w:tc>
        <w:tc>
          <w:tcPr>
            <w:tcW w:w="3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29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FFCC"/>
          </w:tcPr>
          <w:p>
            <w:pPr>
              <w:spacing w:after="0"/>
              <w:rPr>
                <w:sz w:val="18"/>
                <w:szCs w:val="18"/>
                <w:color w:val="auto"/>
              </w:rPr>
            </w:pPr>
          </w:p>
        </w:tc>
        <w:tc>
          <w:tcPr>
            <w:tcW w:w="9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First Lien Bond</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2,930,343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3,000,000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gridSpan w:val="2"/>
          </w:tcPr>
          <w:p>
            <w:pPr>
              <w:jc w:val="right"/>
              <w:ind w:right="29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2,928,762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3,000,000</w:t>
            </w: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Senior Subordinated Bond</w:t>
            </w:r>
          </w:p>
        </w:tc>
        <w:tc>
          <w:tcPr>
            <w:tcW w:w="1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2,728,878</w:t>
            </w: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2,749,634</w:t>
            </w:r>
          </w:p>
        </w:tc>
        <w:tc>
          <w:tcPr>
            <w:tcW w:w="3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29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FFCC"/>
          </w:tcPr>
          <w:p>
            <w:pPr>
              <w:spacing w:after="0"/>
              <w:rPr>
                <w:sz w:val="18"/>
                <w:szCs w:val="18"/>
                <w:color w:val="auto"/>
              </w:rPr>
            </w:pPr>
          </w:p>
        </w:tc>
        <w:tc>
          <w:tcPr>
            <w:tcW w:w="9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2,729,088</w:t>
            </w:r>
          </w:p>
        </w:tc>
        <w:tc>
          <w:tcPr>
            <w:tcW w:w="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2,735,881</w:t>
            </w:r>
          </w:p>
        </w:tc>
        <w:tc>
          <w:tcPr>
            <w:tcW w:w="3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Senior Unsecured Bond</w:t>
            </w: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10,805,507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11,422,500</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gridSpan w:val="2"/>
          </w:tcPr>
          <w:p>
            <w:pPr>
              <w:jc w:val="right"/>
              <w:ind w:right="29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10,798,463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11,185,000</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CLO Fund Securities</w:t>
            </w:r>
          </w:p>
        </w:tc>
        <w:tc>
          <w:tcPr>
            <w:tcW w:w="12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w w:val="99"/>
              </w:rPr>
              <w:t>90,105,528</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78,270,059</w:t>
            </w:r>
          </w:p>
        </w:tc>
        <w:tc>
          <w:tcPr>
            <w:tcW w:w="3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w:t>
            </w:r>
          </w:p>
        </w:tc>
        <w:tc>
          <w:tcPr>
            <w:tcW w:w="3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7"/>
              </w:rPr>
              <w:t>90,146,410</w:t>
            </w:r>
          </w:p>
        </w:tc>
        <w:tc>
          <w:tcPr>
            <w:tcW w:w="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w w:val="99"/>
              </w:rPr>
              <w:t>83,257,507</w:t>
            </w: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Equity Securities</w:t>
            </w: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18,260,008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7,839,699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gridSpan w:val="2"/>
          </w:tcPr>
          <w:p>
            <w:pPr>
              <w:jc w:val="right"/>
              <w:ind w:right="29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18,375,588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8,020,716</w:t>
            </w: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Preferred Stock</w:t>
            </w:r>
          </w:p>
        </w:tc>
        <w:tc>
          <w:tcPr>
            <w:tcW w:w="12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400,000</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373,880</w:t>
            </w:r>
          </w:p>
        </w:tc>
        <w:tc>
          <w:tcPr>
            <w:tcW w:w="3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400,000</w:t>
            </w:r>
          </w:p>
        </w:tc>
        <w:tc>
          <w:tcPr>
            <w:tcW w:w="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371,160</w:t>
            </w: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Asset Manager Affiliates</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83,198,191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80,354,000</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83,161,529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77,242,000</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32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auto"/>
            </w:tcBorders>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3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right w:val="single" w:sz="8" w:color="CCFFCC"/>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32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403,054,236</w:t>
            </w:r>
          </w:p>
        </w:tc>
        <w:tc>
          <w:tcPr>
            <w:tcW w:w="18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356,901,504</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134%</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87"/>
              </w:rPr>
              <w:t>358,547,336</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312,044,763</w:t>
            </w:r>
          </w:p>
        </w:tc>
        <w:tc>
          <w:tcPr>
            <w:tcW w:w="320" w:type="dxa"/>
            <w:vAlign w:val="bottom"/>
          </w:tcPr>
          <w:p>
            <w:pPr>
              <w:spacing w:after="0"/>
              <w:rPr>
                <w:sz w:val="21"/>
                <w:szCs w:val="21"/>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490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3" w:lineRule="exact"/>
        <w:rPr>
          <w:sz w:val="20"/>
          <w:szCs w:val="20"/>
          <w:color w:val="auto"/>
        </w:rPr>
      </w:pPr>
    </w:p>
    <w:p>
      <w:pPr>
        <w:ind w:left="120" w:hanging="112"/>
        <w:spacing w:after="0"/>
        <w:tabs>
          <w:tab w:leader="none" w:pos="120" w:val="left"/>
        </w:tabs>
        <w:numPr>
          <w:ilvl w:val="0"/>
          <w:numId w:val="31"/>
        </w:numPr>
        <w:rPr>
          <w:rFonts w:ascii="Arial" w:cs="Arial" w:eastAsia="Arial" w:hAnsi="Arial"/>
          <w:sz w:val="30"/>
          <w:szCs w:val="30"/>
          <w:color w:val="auto"/>
          <w:vertAlign w:val="superscript"/>
        </w:rPr>
      </w:pPr>
      <w:r>
        <w:rPr>
          <w:rFonts w:ascii="Arial" w:cs="Arial" w:eastAsia="Arial" w:hAnsi="Arial"/>
          <w:sz w:val="18"/>
          <w:szCs w:val="18"/>
          <w:color w:val="auto"/>
        </w:rPr>
        <w:t>Calculated as a percentage of net asset value.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ind w:right="600" w:firstLine="324"/>
        <w:spacing w:after="0" w:line="277" w:lineRule="auto"/>
        <w:rPr>
          <w:sz w:val="20"/>
          <w:szCs w:val="20"/>
          <w:color w:val="auto"/>
        </w:rPr>
      </w:pPr>
      <w:r>
        <w:rPr>
          <w:rFonts w:ascii="Arial" w:cs="Arial" w:eastAsia="Arial" w:hAnsi="Arial"/>
          <w:sz w:val="18"/>
          <w:szCs w:val="18"/>
          <w:color w:val="auto"/>
        </w:rPr>
        <w:t>The industry concentrations based on the fair value of the Company’s investment portfolio as of March 31, 2013 and December 31, 2012,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7"/>
          </w:tcPr>
          <w:p>
            <w:pPr>
              <w:jc w:val="center"/>
              <w:ind w:left="450"/>
              <w:spacing w:after="0"/>
              <w:rPr>
                <w:sz w:val="20"/>
                <w:szCs w:val="20"/>
                <w:color w:val="auto"/>
              </w:rPr>
            </w:pPr>
            <w:r>
              <w:rPr>
                <w:rFonts w:ascii="Arial" w:cs="Arial" w:eastAsia="Arial" w:hAnsi="Arial"/>
                <w:sz w:val="18"/>
                <w:szCs w:val="18"/>
                <w:b w:val="1"/>
                <w:bCs w:val="1"/>
                <w:color w:val="auto"/>
                <w:w w:val="92"/>
              </w:rPr>
              <w:t>March 31, 2013 (unaudited)</w:t>
            </w:r>
          </w:p>
        </w:tc>
        <w:tc>
          <w:tcPr>
            <w:tcW w:w="3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8"/>
                <w:szCs w:val="18"/>
                <w:b w:val="1"/>
                <w:bCs w:val="1"/>
                <w:color w:val="auto"/>
              </w:rPr>
              <w:t>December 31, 2012</w:t>
            </w:r>
          </w:p>
        </w:tc>
        <w:tc>
          <w:tcPr>
            <w:tcW w:w="10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Industry Classification</w:t>
            </w:r>
          </w:p>
        </w:tc>
        <w:tc>
          <w:tcPr>
            <w:tcW w:w="120" w:type="dxa"/>
            <w:vAlign w:val="bottom"/>
          </w:tcPr>
          <w:p>
            <w:pPr>
              <w:spacing w:after="0"/>
              <w:rPr>
                <w:sz w:val="21"/>
                <w:szCs w:val="21"/>
                <w:color w:val="auto"/>
              </w:rPr>
            </w:pPr>
          </w:p>
        </w:tc>
        <w:tc>
          <w:tcPr>
            <w:tcW w:w="1040" w:type="dxa"/>
            <w:vAlign w:val="bottom"/>
            <w:gridSpan w:val="2"/>
          </w:tcPr>
          <w:p>
            <w:pPr>
              <w:ind w:left="22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w w:val="95"/>
              </w:rPr>
              <w:t>Fair Value</w:t>
            </w:r>
          </w:p>
        </w:tc>
        <w:tc>
          <w:tcPr>
            <w:tcW w:w="340" w:type="dxa"/>
            <w:vAlign w:val="bottom"/>
          </w:tcPr>
          <w:p>
            <w:pPr>
              <w:jc w:val="right"/>
              <w:spacing w:after="0" w:line="251"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3"/>
                <w:szCs w:val="13"/>
                <w:b w:val="1"/>
                <w:bCs w:val="1"/>
                <w:color w:val="auto"/>
              </w:rPr>
              <w:t>1</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Fair Value</w:t>
            </w:r>
          </w:p>
        </w:tc>
        <w:tc>
          <w:tcPr>
            <w:tcW w:w="1020" w:type="dxa"/>
            <w:vAlign w:val="bottom"/>
          </w:tcPr>
          <w:p>
            <w:pPr>
              <w:jc w:val="right"/>
              <w:ind w:right="291"/>
              <w:spacing w:after="0" w:line="251"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3"/>
                <w:szCs w:val="13"/>
                <w:color w:val="auto"/>
              </w:rPr>
              <w:t>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120" w:type="dxa"/>
            <w:vAlign w:val="bottom"/>
            <w:vMerge w:val="restart"/>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8"/>
                <w:szCs w:val="18"/>
                <w:color w:val="auto"/>
              </w:rPr>
              <w:t>Aerospace and Defense</w:t>
            </w:r>
          </w:p>
        </w:tc>
        <w:tc>
          <w:tcPr>
            <w:tcW w:w="120" w:type="dxa"/>
            <w:vAlign w:val="bottom"/>
            <w:vMerge w:val="continue"/>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5,284,206</w:t>
            </w:r>
          </w:p>
        </w:tc>
        <w:tc>
          <w:tcPr>
            <w:tcW w:w="120" w:type="dxa"/>
            <w:vAlign w:val="bottom"/>
            <w:shd w:val="clear" w:color="auto" w:fill="CCFFCC"/>
          </w:tcPr>
          <w:p>
            <w:pPr>
              <w:spacing w:after="0"/>
              <w:rPr>
                <w:sz w:val="18"/>
                <w:szCs w:val="18"/>
                <w:color w:val="auto"/>
              </w:rPr>
            </w:pPr>
          </w:p>
        </w:tc>
        <w:tc>
          <w:tcPr>
            <w:tcW w:w="100" w:type="dxa"/>
            <w:vAlign w:val="bottom"/>
            <w:vMerge w:val="continue"/>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3,881,141</w:t>
            </w:r>
          </w:p>
        </w:tc>
        <w:tc>
          <w:tcPr>
            <w:tcW w:w="220" w:type="dxa"/>
            <w:vAlign w:val="bottom"/>
            <w:vMerge w:val="continue"/>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vMerge w:val="continue"/>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5,278,896</w:t>
            </w:r>
          </w:p>
        </w:tc>
        <w:tc>
          <w:tcPr>
            <w:tcW w:w="100" w:type="dxa"/>
            <w:vAlign w:val="bottom"/>
            <w:vMerge w:val="continue"/>
            <w:shd w:val="clear" w:color="auto" w:fill="CCFFCC"/>
          </w:tcPr>
          <w:p>
            <w:pPr>
              <w:spacing w:after="0"/>
              <w:rPr>
                <w:sz w:val="18"/>
                <w:szCs w:val="18"/>
                <w:color w:val="auto"/>
              </w:rPr>
            </w:pPr>
          </w:p>
        </w:tc>
        <w:tc>
          <w:tcPr>
            <w:tcW w:w="120" w:type="dxa"/>
            <w:vAlign w:val="bottom"/>
            <w:vMerge w:val="continue"/>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3,874,742</w:t>
            </w:r>
          </w:p>
        </w:tc>
        <w:tc>
          <w:tcPr>
            <w:tcW w:w="220" w:type="dxa"/>
            <w:vAlign w:val="bottom"/>
            <w:vMerge w:val="continue"/>
            <w:shd w:val="clear" w:color="auto" w:fill="CCFFCC"/>
          </w:tcPr>
          <w:p>
            <w:pPr>
              <w:spacing w:after="0"/>
              <w:rPr>
                <w:sz w:val="18"/>
                <w:szCs w:val="18"/>
                <w:color w:val="auto"/>
              </w:rPr>
            </w:pP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80" w:type="dxa"/>
            <w:vAlign w:val="bottom"/>
            <w:gridSpan w:val="2"/>
          </w:tcPr>
          <w:p>
            <w:pPr>
              <w:spacing w:after="0" w:line="256" w:lineRule="exact"/>
              <w:rPr>
                <w:sz w:val="20"/>
                <w:szCs w:val="20"/>
                <w:color w:val="auto"/>
              </w:rPr>
            </w:pPr>
            <w:r>
              <w:rPr>
                <w:rFonts w:ascii="Arial" w:cs="Arial" w:eastAsia="Arial" w:hAnsi="Arial"/>
                <w:sz w:val="18"/>
                <w:szCs w:val="18"/>
                <w:color w:val="auto"/>
              </w:rPr>
              <w:t>Asset Management Companies</w:t>
            </w:r>
            <w:r>
              <w:rPr>
                <w:rFonts w:ascii="Arial" w:cs="Arial" w:eastAsia="Arial" w:hAnsi="Arial"/>
                <w:sz w:val="29"/>
                <w:szCs w:val="29"/>
                <w:color w:val="auto"/>
                <w:vertAlign w:val="superscript"/>
              </w:rPr>
              <w:t>2</w:t>
            </w:r>
          </w:p>
        </w:tc>
        <w:tc>
          <w:tcPr>
            <w:tcW w:w="120" w:type="dxa"/>
            <w:vAlign w:val="bottom"/>
          </w:tcPr>
          <w:p>
            <w:pPr>
              <w:spacing w:after="0"/>
              <w:rPr>
                <w:sz w:val="22"/>
                <w:szCs w:val="2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83,198,191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80,354,000</w:t>
            </w: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83,161,529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77,242,000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Automobile</w:t>
            </w:r>
          </w:p>
        </w:tc>
        <w:tc>
          <w:tcPr>
            <w:tcW w:w="1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7,895,901</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7,992,741</w:t>
            </w:r>
          </w:p>
        </w:tc>
        <w:tc>
          <w:tcPr>
            <w:tcW w:w="3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4,945,695</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5,011,608</w:t>
            </w: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Beverage, Food and Tobacco</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18,490,729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18,629,546</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18,112,772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18,285,421</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Broadcasting and Entertainment</w:t>
            </w:r>
          </w:p>
        </w:tc>
        <w:tc>
          <w:tcPr>
            <w:tcW w:w="1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1,980,643</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1,996,239</w:t>
            </w:r>
          </w:p>
        </w:tc>
        <w:tc>
          <w:tcPr>
            <w:tcW w:w="3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1,978,846</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1,990,930</w:t>
            </w: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Buildings and Real Estate</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18,535,511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472,780</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18,535,511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455,524</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Chemicals, Plastics and Rubber</w:t>
            </w:r>
          </w:p>
        </w:tc>
        <w:tc>
          <w:tcPr>
            <w:tcW w:w="1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2,947,249</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2,981,437</w:t>
            </w:r>
          </w:p>
        </w:tc>
        <w:tc>
          <w:tcPr>
            <w:tcW w:w="3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2,954,773</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2,950,577</w:t>
            </w: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CLO Fund Securities</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90,105,547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78,270,059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90,146,410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83,257,507</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Containers, Packaging and Glass</w:t>
            </w:r>
          </w:p>
        </w:tc>
        <w:tc>
          <w:tcPr>
            <w:tcW w:w="1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1,947,316</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1,984,609</w:t>
            </w:r>
          </w:p>
        </w:tc>
        <w:tc>
          <w:tcPr>
            <w:tcW w:w="3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1,949,236</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1,971,898</w:t>
            </w: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Diversified/Conglomerate Service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5,517,800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3,728,676</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5,520,217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3,536,426</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Electronics</w:t>
            </w:r>
          </w:p>
        </w:tc>
        <w:tc>
          <w:tcPr>
            <w:tcW w:w="1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7,869,854</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8,021,773</w:t>
            </w:r>
          </w:p>
        </w:tc>
        <w:tc>
          <w:tcPr>
            <w:tcW w:w="3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6,137,592</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6,252,380</w:t>
            </w: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Finance</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24,760,164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24,999,000</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4,748,767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4,891,710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Healthcare, Education and Childcare</w:t>
            </w:r>
          </w:p>
        </w:tc>
        <w:tc>
          <w:tcPr>
            <w:tcW w:w="1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9"/>
              </w:rPr>
              <w:t>23,688,334</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12,657,758</w:t>
            </w:r>
          </w:p>
        </w:tc>
        <w:tc>
          <w:tcPr>
            <w:tcW w:w="3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9"/>
              </w:rPr>
              <w:t>15,981,824</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4,618,521</w:t>
            </w: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80" w:type="dxa"/>
            <w:vAlign w:val="bottom"/>
            <w:gridSpan w:val="2"/>
          </w:tcPr>
          <w:p>
            <w:pPr>
              <w:spacing w:after="0" w:line="201" w:lineRule="exact"/>
              <w:rPr>
                <w:sz w:val="20"/>
                <w:szCs w:val="20"/>
                <w:color w:val="auto"/>
              </w:rPr>
            </w:pPr>
            <w:r>
              <w:rPr>
                <w:rFonts w:ascii="Arial" w:cs="Arial" w:eastAsia="Arial" w:hAnsi="Arial"/>
                <w:sz w:val="18"/>
                <w:szCs w:val="18"/>
                <w:color w:val="auto"/>
              </w:rPr>
              <w:t>Home and Office Furnishings, Housewares, and</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00" w:type="dxa"/>
            <w:vAlign w:val="bottom"/>
            <w:gridSpan w:val="3"/>
          </w:tcPr>
          <w:p>
            <w:pPr>
              <w:spacing w:after="0"/>
              <w:rPr>
                <w:sz w:val="20"/>
                <w:szCs w:val="20"/>
                <w:color w:val="auto"/>
              </w:rPr>
            </w:pPr>
            <w:r>
              <w:rPr>
                <w:rFonts w:ascii="Arial" w:cs="Arial" w:eastAsia="Arial" w:hAnsi="Arial"/>
                <w:sz w:val="18"/>
                <w:szCs w:val="18"/>
                <w:color w:val="auto"/>
              </w:rPr>
              <w:t>Durable Consumer Products</w:t>
            </w: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10,208,003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11,089,108</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10,820,467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11,613,621</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Insurance</w:t>
            </w:r>
          </w:p>
        </w:tc>
        <w:tc>
          <w:tcPr>
            <w:tcW w:w="1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6,973,061</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7,019,738</w:t>
            </w:r>
          </w:p>
        </w:tc>
        <w:tc>
          <w:tcPr>
            <w:tcW w:w="3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6,970,307</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6,433,130</w:t>
            </w: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80" w:type="dxa"/>
            <w:vAlign w:val="bottom"/>
            <w:gridSpan w:val="2"/>
          </w:tcPr>
          <w:p>
            <w:pPr>
              <w:spacing w:after="0" w:line="201" w:lineRule="exact"/>
              <w:rPr>
                <w:sz w:val="20"/>
                <w:szCs w:val="20"/>
                <w:color w:val="auto"/>
              </w:rPr>
            </w:pPr>
            <w:r>
              <w:rPr>
                <w:rFonts w:ascii="Arial" w:cs="Arial" w:eastAsia="Arial" w:hAnsi="Arial"/>
                <w:sz w:val="18"/>
                <w:szCs w:val="18"/>
                <w:color w:val="auto"/>
              </w:rPr>
              <w:t>Leisure, Amusement, Motion Pictures,</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00" w:type="dxa"/>
            <w:vAlign w:val="bottom"/>
            <w:gridSpan w:val="3"/>
          </w:tcPr>
          <w:p>
            <w:pPr>
              <w:spacing w:after="0"/>
              <w:rPr>
                <w:sz w:val="20"/>
                <w:szCs w:val="20"/>
                <w:color w:val="auto"/>
              </w:rPr>
            </w:pPr>
            <w:r>
              <w:rPr>
                <w:rFonts w:ascii="Arial" w:cs="Arial" w:eastAsia="Arial" w:hAnsi="Arial"/>
                <w:sz w:val="18"/>
                <w:szCs w:val="18"/>
                <w:color w:val="auto"/>
              </w:rPr>
              <w:t>Entertainment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2,491,007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2,076,818</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2,491,007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2,053,481</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8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rPr>
              <w:t>Machinery (Non-Agriculture, Non-Construction,</w:t>
            </w:r>
          </w:p>
        </w:tc>
        <w:tc>
          <w:tcPr>
            <w:tcW w:w="12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Non-Electronic)</w:t>
            </w:r>
          </w:p>
        </w:tc>
        <w:tc>
          <w:tcPr>
            <w:tcW w:w="12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9"/>
              </w:rPr>
              <w:t>11,411,550</w:t>
            </w:r>
          </w:p>
        </w:tc>
        <w:tc>
          <w:tcPr>
            <w:tcW w:w="1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11,383,178</w:t>
            </w:r>
          </w:p>
        </w:tc>
        <w:tc>
          <w:tcPr>
            <w:tcW w:w="34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6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9"/>
              </w:rPr>
              <w:t>11,408,091</w:t>
            </w:r>
          </w:p>
        </w:tc>
        <w:tc>
          <w:tcPr>
            <w:tcW w:w="1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7"/>
              </w:rPr>
              <w:t>11,581,245</w:t>
            </w: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Mining, Steel, Iron and Non-Precious Metals</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773,718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264,864</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773,718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264,864</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Oil and Gas</w:t>
            </w:r>
          </w:p>
        </w:tc>
        <w:tc>
          <w:tcPr>
            <w:tcW w:w="1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9"/>
              </w:rPr>
              <w:t>11,703,185</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11,965,282</w:t>
            </w:r>
          </w:p>
        </w:tc>
        <w:tc>
          <w:tcPr>
            <w:tcW w:w="3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9"/>
              </w:rPr>
              <w:t>11,692,913</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7"/>
              </w:rPr>
              <w:t>11,692,000</w:t>
            </w: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80" w:type="dxa"/>
            <w:vAlign w:val="bottom"/>
            <w:gridSpan w:val="2"/>
          </w:tcPr>
          <w:p>
            <w:pPr>
              <w:spacing w:after="0" w:line="201" w:lineRule="exact"/>
              <w:rPr>
                <w:sz w:val="20"/>
                <w:szCs w:val="20"/>
                <w:color w:val="auto"/>
              </w:rPr>
            </w:pPr>
            <w:r>
              <w:rPr>
                <w:rFonts w:ascii="Arial" w:cs="Arial" w:eastAsia="Arial" w:hAnsi="Arial"/>
                <w:sz w:val="18"/>
                <w:szCs w:val="18"/>
                <w:color w:val="auto"/>
              </w:rPr>
              <w:t>Personal and Non Durable Consumer Products</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00" w:type="dxa"/>
            <w:vAlign w:val="bottom"/>
            <w:gridSpan w:val="3"/>
          </w:tcPr>
          <w:p>
            <w:pPr>
              <w:spacing w:after="0"/>
              <w:rPr>
                <w:sz w:val="20"/>
                <w:szCs w:val="20"/>
                <w:color w:val="auto"/>
              </w:rPr>
            </w:pPr>
            <w:r>
              <w:rPr>
                <w:rFonts w:ascii="Arial" w:cs="Arial" w:eastAsia="Arial" w:hAnsi="Arial"/>
                <w:sz w:val="18"/>
                <w:szCs w:val="18"/>
                <w:color w:val="auto"/>
              </w:rPr>
              <w:t>(Mfg. Only)</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8,043,808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7,416,500</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5,000,000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3,977,100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Personal, Food and Miscellaneous Services</w:t>
            </w:r>
          </w:p>
        </w:tc>
        <w:tc>
          <w:tcPr>
            <w:tcW w:w="1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3,567,229</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3,665,180</w:t>
            </w:r>
          </w:p>
        </w:tc>
        <w:tc>
          <w:tcPr>
            <w:tcW w:w="3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3,574,421</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3,640,835</w:t>
            </w: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Personal Transportation</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2,015,824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2,011,209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2,012,685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2,005,353</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Printing and Publishing</w:t>
            </w:r>
          </w:p>
        </w:tc>
        <w:tc>
          <w:tcPr>
            <w:tcW w:w="1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5,868,534</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6,240,829</w:t>
            </w:r>
          </w:p>
        </w:tc>
        <w:tc>
          <w:tcPr>
            <w:tcW w:w="3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2,961,395</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3,231,314</w:t>
            </w: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Retail Stores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5,780,261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5,862,916</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5,781,672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5,772,767</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Telecommunications</w:t>
            </w:r>
          </w:p>
        </w:tc>
        <w:tc>
          <w:tcPr>
            <w:tcW w:w="1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2,939,341</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2,878,667</w:t>
            </w:r>
          </w:p>
        </w:tc>
        <w:tc>
          <w:tcPr>
            <w:tcW w:w="3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2,952,654</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2,783,195</w:t>
            </w: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Time Deposit and Money Market Accounts</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38,887,925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38,887,924</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32,486,658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32,486,658</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Utilities</w:t>
            </w:r>
          </w:p>
        </w:tc>
        <w:tc>
          <w:tcPr>
            <w:tcW w:w="12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169,345</w:t>
            </w: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169,532</w:t>
            </w:r>
          </w:p>
        </w:tc>
        <w:tc>
          <w:tcPr>
            <w:tcW w:w="34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6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169,280</w:t>
            </w:r>
          </w:p>
        </w:tc>
        <w:tc>
          <w:tcPr>
            <w:tcW w:w="1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169,956</w:t>
            </w: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8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9"/>
              </w:rPr>
              <w:t>403,054,236</w:t>
            </w:r>
          </w:p>
        </w:tc>
        <w:tc>
          <w:tcPr>
            <w:tcW w:w="120" w:type="dxa"/>
            <w:vAlign w:val="bottom"/>
            <w:shd w:val="clear" w:color="auto" w:fill="CCFFCC"/>
          </w:tcPr>
          <w:p>
            <w:pPr>
              <w:spacing w:after="0"/>
              <w:rPr>
                <w:sz w:val="21"/>
                <w:szCs w:val="21"/>
                <w:color w:val="auto"/>
              </w:rPr>
            </w:pP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u w:val="single" w:color="auto"/>
                <w:color w:val="auto"/>
              </w:rPr>
              <w:t>$</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89"/>
              </w:rPr>
              <w:t>356,901,504</w:t>
            </w:r>
          </w:p>
        </w:tc>
        <w:tc>
          <w:tcPr>
            <w:tcW w:w="34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6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9"/>
              </w:rPr>
              <w:t>134%</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89"/>
              </w:rPr>
              <w:t>358,547,336</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87"/>
              </w:rPr>
              <w:t>312,044,763</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4490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9"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30"/>
          <w:szCs w:val="30"/>
          <w:color w:val="auto"/>
          <w:vertAlign w:val="superscript"/>
        </w:rPr>
      </w:pPr>
      <w:r>
        <w:rPr>
          <w:rFonts w:ascii="Arial" w:cs="Arial" w:eastAsia="Arial" w:hAnsi="Arial"/>
          <w:sz w:val="18"/>
          <w:szCs w:val="18"/>
          <w:color w:val="auto"/>
        </w:rPr>
        <w:t>Calculated as a percentage of net asset value.</w:t>
      </w:r>
    </w:p>
    <w:p>
      <w:pPr>
        <w:spacing w:after="0" w:line="87"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30"/>
          <w:szCs w:val="30"/>
          <w:color w:val="auto"/>
          <w:vertAlign w:val="superscript"/>
        </w:rPr>
      </w:pPr>
      <w:r>
        <w:rPr>
          <w:rFonts w:ascii="Arial" w:cs="Arial" w:eastAsia="Arial" w:hAnsi="Arial"/>
          <w:sz w:val="18"/>
          <w:szCs w:val="18"/>
          <w:color w:val="auto"/>
        </w:rPr>
        <w:t>Represents the Asset Manager Affiliates.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ind w:right="380" w:firstLine="324"/>
        <w:spacing w:after="0" w:line="286" w:lineRule="auto"/>
        <w:rPr>
          <w:sz w:val="20"/>
          <w:szCs w:val="20"/>
          <w:color w:val="auto"/>
        </w:rPr>
      </w:pPr>
      <w:r>
        <w:rPr>
          <w:rFonts w:ascii="Arial" w:cs="Arial" w:eastAsia="Arial" w:hAnsi="Arial"/>
          <w:sz w:val="17"/>
          <w:szCs w:val="17"/>
          <w:color w:val="auto"/>
        </w:rPr>
        <w:t>The Company may invest up to 30% of the investment portfolio in opportunistic investments in high-yield bonds, debt and equity securities of CLO Funds, distressed debt or equity securities of public companies. The Company expects that these public companies generally will have debt that is non-investment grade. The Company also may invest in debt of middle market companies located outside of the United States.</w:t>
      </w:r>
    </w:p>
    <w:p>
      <w:pPr>
        <w:spacing w:after="0" w:line="166"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At March 31, 2013 and December 31, 2012, approximately 22% and 27% of the Company’s investments were foreign assets (including the Company’s investments in CLO Funds, which are typically domiciled outside the U.S. and represented approximately 22% and 27% of its portfolio on such dates), respectively.</w:t>
      </w:r>
    </w:p>
    <w:p>
      <w:pPr>
        <w:spacing w:after="0" w:line="181"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At March 31, 2013 and December 31, 2012, the Company’s ten largest portfolio companies represented approximately 61% and 62%, respectively, of the total fair value of its investments. The Company’s largest investment, the Asset Manager Affiliates which are its wholly owned asset manager affiliates represented 23% and 25% of the total fair value of the Company’s investments at March 31, 2013 and December 31, 2012, respectively. Excluding the Asset Manager Affiliates and CLO Fund securities, the Company’s ten largest portfolio companies represented approximately 20% and 17% of the total fair value of the Company’s investments at March 31, 2013 and December 31, 2012,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CLO Fund Securities</w:t>
      </w:r>
    </w:p>
    <w:p>
      <w:pPr>
        <w:spacing w:after="0" w:line="22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Company typically makes a minority investment in the most junior class of securities of CLO Funds (typically preferred shares or subordinated securities) managed by the Asset Manager Affiliates and may selectively invest in securities issued by funds managed by other asset management companies. Preferred shares or subordinated securities issued by CLO Funds are entitled to recurring dividend distributions which generally equal the net remaining cash flow of the payments made by the underlying CLO Fund’s securities less contractual payments to senior bond holders and CLO Fund expenses. CLO Funds managed by the Asset Manager Affiliates (“CLO Fund securities managed by affiliates”) invest primarily in broadly syndicated non-investment grade loans, high-yield bonds and other credit instruments of corporate issuers. The underlying assets in each of the CLO Funds in which the Company has an investment are generally diversified secured or unsecured corporate debt. The CLO Funds are leveraged funds and any excess cash flow or “excess spread” (interest earned by the underlying securities in the fund less payments made to senior bond holders, fund expenses and management fees) is paid to the holders of the CLO Fund’s subordinated securities or preferred shares.</w:t>
      </w:r>
    </w:p>
    <w:p>
      <w:pPr>
        <w:spacing w:after="0" w:line="182"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 subordinated securities and preferred share securities are considered equity positions in the CLO Funds and, as of March 31, 2013 and December 31, 2012, the Company had approximately $78 million and $83 million, respectively, of CLO Fund securities at fair value. The cost basis of the Company’s investment in CLO Fund securities as of March 31, 2013 was approximately $90 million and aggregate unrealized depreciation on the CLO Fund securities totaled approximately $12 million. The cost basis of the Company’s investment in CLO Fund equity securities as of December 31, 2012, was approximately $90 million and aggregate unrealized depreciation on the CLO Fund securities totaled approximately $7 million.</w:t>
      </w:r>
    </w:p>
    <w:p>
      <w:pPr>
        <w:spacing w:after="0" w:line="173"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In December 2012, the Company purchased $4.5 million par value of the class F Notes and $8.9 million par value of the Subordinated Notes of Catamaran 2012-1 CLO (“Catamaran 2012-1”) managed by Trimaran Advisors. The Company purchased the class F and subordinated notes for 84% and 100% of the par value, respectively.</w:t>
      </w:r>
    </w:p>
    <w:p>
      <w:pPr>
        <w:spacing w:after="0" w:line="181"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All CLO Funds managed by the Asset Manager Affiliates are currently making quarterly dividend distributions to the Company and are paying all senior and subordinate management fees to the Asset Manager Affiliates. With the exception of the Katonah III, Ltd. and the Katonah V, Ltd. CLO Funds, all third-party managed CLO Funds held as investments are making quarterly dividend distributions to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 xml:space="preserve">The Company follows the provisions of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defines “fair value” as the price that would be received to sell an asset or paid to transfer a liability in an orderly transaction between market participants at the measurement date. This fair value definition focuses on an exit price in the principal,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 Subsequent to the adoption of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the FASB has issued various staff positions clarifying the initial standard (see Note 2. “Significant Accounting Policies—Investments”).</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4" w:name="page35"/>
    <w:bookmarkEnd w:id="34"/>
    <w:p>
      <w:pPr>
        <w:ind w:right="680" w:firstLine="324"/>
        <w:spacing w:after="0" w:line="277" w:lineRule="auto"/>
        <w:rPr>
          <w:sz w:val="20"/>
          <w:szCs w:val="20"/>
          <w:color w:val="auto"/>
        </w:rPr>
      </w:pPr>
      <w:r>
        <w:rPr>
          <w:rFonts w:ascii="Arial" w:cs="Arial" w:eastAsia="Arial" w:hAnsi="Arial"/>
          <w:sz w:val="18"/>
          <w:szCs w:val="18"/>
          <w:i w:val="1"/>
          <w:iCs w:val="1"/>
          <w:color w:val="auto"/>
        </w:rPr>
        <w:t xml:space="preserve">Fair Value Measurements and Disclosures </w:t>
      </w:r>
      <w:r>
        <w:rPr>
          <w:rFonts w:ascii="Arial" w:cs="Arial" w:eastAsia="Arial" w:hAnsi="Arial"/>
          <w:sz w:val="18"/>
          <w:szCs w:val="18"/>
          <w:color w:val="auto"/>
        </w:rPr>
        <w:t>establishes the following three-level hierarchy, based upon the transparency of inputs to the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of an asset or liability as of the measurement date:</w:t>
      </w:r>
    </w:p>
    <w:p>
      <w:pPr>
        <w:spacing w:after="0" w:line="170" w:lineRule="exact"/>
        <w:rPr>
          <w:sz w:val="20"/>
          <w:szCs w:val="20"/>
          <w:color w:val="auto"/>
        </w:rPr>
      </w:pPr>
    </w:p>
    <w:p>
      <w:pPr>
        <w:ind w:left="420" w:right="100" w:firstLine="414"/>
        <w:spacing w:after="0" w:line="312" w:lineRule="auto"/>
        <w:rPr>
          <w:sz w:val="20"/>
          <w:szCs w:val="20"/>
          <w:color w:val="auto"/>
        </w:rPr>
      </w:pPr>
      <w:r>
        <w:rPr>
          <w:rFonts w:ascii="Arial" w:cs="Arial" w:eastAsia="Arial" w:hAnsi="Arial"/>
          <w:sz w:val="16"/>
          <w:szCs w:val="16"/>
          <w:color w:val="auto"/>
        </w:rPr>
        <w:t xml:space="preserve">Level I – Unadjusted quoted prices are available in active markets for identical investments as of the reporting date. The type of investments included in Level I include listed equities and listed securities. As required by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the Company does not adjust the quoted price for these investments, even in situations where the Company holds a large position and a sale could reasonably affect the quoted price.</w:t>
      </w:r>
    </w:p>
    <w:p>
      <w:pPr>
        <w:spacing w:after="0" w:line="147" w:lineRule="exact"/>
        <w:rPr>
          <w:sz w:val="20"/>
          <w:szCs w:val="20"/>
          <w:color w:val="auto"/>
        </w:rPr>
      </w:pPr>
    </w:p>
    <w:p>
      <w:pPr>
        <w:ind w:left="420" w:right="160" w:firstLine="414"/>
        <w:spacing w:after="0" w:line="276" w:lineRule="auto"/>
        <w:rPr>
          <w:sz w:val="20"/>
          <w:szCs w:val="20"/>
          <w:color w:val="auto"/>
        </w:rPr>
      </w:pPr>
      <w:r>
        <w:rPr>
          <w:rFonts w:ascii="Arial" w:cs="Arial" w:eastAsia="Arial" w:hAnsi="Arial"/>
          <w:sz w:val="17"/>
          <w:szCs w:val="17"/>
          <w:color w:val="auto"/>
        </w:rPr>
        <w:t>Level II –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173" w:lineRule="exact"/>
        <w:rPr>
          <w:sz w:val="20"/>
          <w:szCs w:val="20"/>
          <w:color w:val="auto"/>
        </w:rPr>
      </w:pPr>
    </w:p>
    <w:p>
      <w:pPr>
        <w:ind w:left="420" w:right="140" w:firstLine="414"/>
        <w:spacing w:after="0" w:line="293" w:lineRule="auto"/>
        <w:rPr>
          <w:sz w:val="20"/>
          <w:szCs w:val="20"/>
          <w:color w:val="auto"/>
        </w:rPr>
      </w:pPr>
      <w:r>
        <w:rPr>
          <w:rFonts w:ascii="Arial" w:cs="Arial" w:eastAsia="Arial" w:hAnsi="Arial"/>
          <w:sz w:val="16"/>
          <w:szCs w:val="16"/>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165" w:lineRule="exact"/>
        <w:rPr>
          <w:sz w:val="20"/>
          <w:szCs w:val="20"/>
          <w:color w:val="auto"/>
        </w:rPr>
      </w:pPr>
    </w:p>
    <w:p>
      <w:pPr>
        <w:ind w:right="20" w:firstLine="414"/>
        <w:spacing w:after="0" w:line="270"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A majority of the Company’s investments are classified as Level III. The Company evaluates the source of inputs, including any markets in which its investments are trading, in determining fair value. Inputs that are backed by actual transactions, those that are highly correlated to the specific investment being valued and those derived from reliable or knowledgeable sources will tend to have a higher weighting in determining fair value. Ongoing reviews by the Company’s investment analysts, Chief Investment Officer, Valuation Committee and independent valuation firms (if engaged) are based on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xml:space="preserve">The following table summarizes the fair value of investments by the above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fair value hierarchy levels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2013 (unaudited) and December 31, 2012, respectively: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120" w:type="dxa"/>
            <w:vAlign w:val="bottom"/>
            <w:gridSpan w:val="5"/>
          </w:tcPr>
          <w:p>
            <w:pPr>
              <w:jc w:val="right"/>
              <w:ind w:right="150"/>
              <w:spacing w:after="0"/>
              <w:rPr>
                <w:sz w:val="20"/>
                <w:szCs w:val="20"/>
                <w:color w:val="auto"/>
              </w:rPr>
            </w:pPr>
            <w:r>
              <w:rPr>
                <w:rFonts w:ascii="Arial" w:cs="Arial" w:eastAsia="Arial" w:hAnsi="Arial"/>
                <w:sz w:val="18"/>
                <w:szCs w:val="18"/>
                <w:b w:val="1"/>
                <w:bCs w:val="1"/>
                <w:color w:val="auto"/>
              </w:rPr>
              <w:t>As of March 31, 2013 (unaudited)</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3"/>
          </w:tcPr>
          <w:p>
            <w:pPr>
              <w:ind w:left="160"/>
              <w:spacing w:after="0"/>
              <w:rPr>
                <w:sz w:val="20"/>
                <w:szCs w:val="20"/>
                <w:color w:val="auto"/>
              </w:rPr>
            </w:pPr>
            <w:r>
              <w:rPr>
                <w:rFonts w:ascii="Arial" w:cs="Arial" w:eastAsia="Arial" w:hAnsi="Arial"/>
                <w:sz w:val="18"/>
                <w:szCs w:val="18"/>
                <w:b w:val="1"/>
                <w:bCs w:val="1"/>
                <w:color w:val="auto"/>
              </w:rPr>
              <w:t>Level I</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II</w:t>
            </w:r>
          </w:p>
        </w:tc>
        <w:tc>
          <w:tcPr>
            <w:tcW w:w="220" w:type="dxa"/>
            <w:vAlign w:val="bottom"/>
          </w:tcPr>
          <w:p>
            <w:pPr>
              <w:spacing w:after="0"/>
              <w:rPr>
                <w:sz w:val="24"/>
                <w:szCs w:val="24"/>
                <w:color w:val="auto"/>
              </w:rPr>
            </w:pPr>
          </w:p>
        </w:tc>
        <w:tc>
          <w:tcPr>
            <w:tcW w:w="152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Level III</w:t>
            </w: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Money market account</w:t>
            </w:r>
          </w:p>
        </w:tc>
        <w:tc>
          <w:tcPr>
            <w:tcW w:w="238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FFCC"/>
          </w:tcPr>
          <w:p>
            <w:pPr>
              <w:ind w:left="9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38,887,925</w:t>
            </w:r>
          </w:p>
        </w:tc>
        <w:tc>
          <w:tcPr>
            <w:tcW w:w="12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38,887,925</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Debt securities</w:t>
            </w: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70,429,249</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81,120,572</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151,549,821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FFCC"/>
          </w:tcPr>
          <w:p>
            <w:pPr>
              <w:spacing w:after="0"/>
              <w:rPr>
                <w:sz w:val="20"/>
                <w:szCs w:val="20"/>
                <w:color w:val="auto"/>
              </w:rPr>
            </w:pPr>
            <w:r>
              <w:rPr>
                <w:rFonts w:ascii="Arial" w:cs="Arial" w:eastAsia="Arial" w:hAnsi="Arial"/>
                <w:sz w:val="18"/>
                <w:szCs w:val="18"/>
                <w:color w:val="auto"/>
              </w:rPr>
              <w:t>CLO Fund securities</w:t>
            </w:r>
          </w:p>
        </w:tc>
        <w:tc>
          <w:tcPr>
            <w:tcW w:w="23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480" w:type="dxa"/>
            <w:vAlign w:val="bottom"/>
            <w:gridSpan w:val="3"/>
            <w:shd w:val="clear" w:color="auto" w:fill="CCFFCC"/>
          </w:tcPr>
          <w:p>
            <w:pPr>
              <w:ind w:left="9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78,270,059</w:t>
            </w:r>
          </w:p>
        </w:tc>
        <w:tc>
          <w:tcPr>
            <w:tcW w:w="2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78,270,059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Equity securities</w:t>
            </w: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7,839,699</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7,839,699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FFCC"/>
          </w:tcPr>
          <w:p>
            <w:pPr>
              <w:spacing w:after="0"/>
              <w:rPr>
                <w:sz w:val="20"/>
                <w:szCs w:val="20"/>
                <w:color w:val="auto"/>
              </w:rPr>
            </w:pPr>
            <w:r>
              <w:rPr>
                <w:rFonts w:ascii="Arial" w:cs="Arial" w:eastAsia="Arial" w:hAnsi="Arial"/>
                <w:sz w:val="18"/>
                <w:szCs w:val="18"/>
                <w:color w:val="auto"/>
              </w:rPr>
              <w:t>Asset Manager Affiliates</w:t>
            </w:r>
          </w:p>
        </w:tc>
        <w:tc>
          <w:tcPr>
            <w:tcW w:w="23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480" w:type="dxa"/>
            <w:vAlign w:val="bottom"/>
            <w:gridSpan w:val="3"/>
            <w:shd w:val="clear" w:color="auto" w:fill="CCFFCC"/>
          </w:tcPr>
          <w:p>
            <w:pPr>
              <w:ind w:left="9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80,354,000</w:t>
            </w:r>
          </w:p>
        </w:tc>
        <w:tc>
          <w:tcPr>
            <w:tcW w:w="2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80,354,000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FFCC"/>
          </w:tcPr>
          <w:p>
            <w:pPr>
              <w:spacing w:after="0"/>
              <w:rPr>
                <w:sz w:val="20"/>
                <w:szCs w:val="20"/>
                <w:color w:val="auto"/>
              </w:rPr>
            </w:pPr>
            <w:r>
              <w:rPr>
                <w:rFonts w:ascii="Arial" w:cs="Arial" w:eastAsia="Arial" w:hAnsi="Arial"/>
                <w:sz w:val="18"/>
                <w:szCs w:val="18"/>
                <w:color w:val="auto"/>
              </w:rPr>
              <w:t>Total</w:t>
            </w:r>
          </w:p>
        </w:tc>
        <w:tc>
          <w:tcPr>
            <w:tcW w:w="23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480" w:type="dxa"/>
            <w:vAlign w:val="bottom"/>
            <w:gridSpan w:val="3"/>
            <w:shd w:val="clear" w:color="auto" w:fill="CCFFCC"/>
          </w:tcPr>
          <w:p>
            <w:pPr>
              <w:ind w:left="9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109,317,174</w:t>
            </w:r>
          </w:p>
        </w:tc>
        <w:tc>
          <w:tcPr>
            <w:tcW w:w="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247,584,330</w:t>
            </w:r>
          </w:p>
        </w:tc>
        <w:tc>
          <w:tcPr>
            <w:tcW w:w="2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356,901,504</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100"/>
        <w:spacing w:after="0" w:line="266" w:lineRule="auto"/>
        <w:rPr>
          <w:sz w:val="20"/>
          <w:szCs w:val="20"/>
          <w:color w:val="auto"/>
        </w:rPr>
      </w:pPr>
      <w:r>
        <w:rPr>
          <w:rFonts w:ascii="Arial" w:cs="Arial" w:eastAsia="Arial" w:hAnsi="Arial"/>
          <w:sz w:val="18"/>
          <w:szCs w:val="18"/>
          <w:color w:val="auto"/>
        </w:rPr>
        <w:t>Time deposit and money market account Debt securities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CLO Fund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Equity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Asset Manager Affiliates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90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As of December 31, 2012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9"/>
        </w:trPr>
        <w:tc>
          <w:tcPr>
            <w:tcW w:w="740" w:type="dxa"/>
            <w:vAlign w:val="bottom"/>
          </w:tcPr>
          <w:p>
            <w:pPr>
              <w:spacing w:after="0"/>
              <w:rPr>
                <w:sz w:val="24"/>
                <w:szCs w:val="24"/>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Level I</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II</w:t>
            </w:r>
          </w:p>
        </w:tc>
        <w:tc>
          <w:tcPr>
            <w:tcW w:w="220" w:type="dxa"/>
            <w:vAlign w:val="bottom"/>
          </w:tcPr>
          <w:p>
            <w:pPr>
              <w:spacing w:after="0"/>
              <w:rPr>
                <w:sz w:val="24"/>
                <w:szCs w:val="24"/>
                <w:color w:val="auto"/>
              </w:rPr>
            </w:pPr>
          </w:p>
        </w:tc>
        <w:tc>
          <w:tcPr>
            <w:tcW w:w="152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Level III</w:t>
            </w:r>
          </w:p>
        </w:tc>
        <w:tc>
          <w:tcPr>
            <w:tcW w:w="110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r>
      <w:tr>
        <w:trPr>
          <w:trHeight w:val="202"/>
        </w:trPr>
        <w:tc>
          <w:tcPr>
            <w:tcW w:w="740" w:type="dxa"/>
            <w:vAlign w:val="bottom"/>
          </w:tcPr>
          <w:p>
            <w:pPr>
              <w:spacing w:after="0"/>
              <w:rPr>
                <w:sz w:val="17"/>
                <w:szCs w:val="17"/>
                <w:color w:val="auto"/>
              </w:rPr>
            </w:pPr>
          </w:p>
        </w:tc>
        <w:tc>
          <w:tcPr>
            <w:tcW w:w="1160" w:type="dxa"/>
            <w:vAlign w:val="bottom"/>
            <w:tcBorders>
              <w:top w:val="single" w:sz="8" w:color="auto"/>
            </w:tcBorders>
          </w:tcPr>
          <w:p>
            <w:pPr>
              <w:jc w:val="right"/>
              <w:ind w:right="950"/>
              <w:spacing w:after="0" w:line="201"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32,486,658</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80" w:type="dxa"/>
            <w:vAlign w:val="bottom"/>
            <w:tcBorders>
              <w:top w:val="single" w:sz="8" w:color="auto"/>
            </w:tcBorders>
          </w:tcPr>
          <w:p>
            <w:pPr>
              <w:jc w:val="right"/>
              <w:ind w:right="90"/>
              <w:spacing w:after="0" w:line="201"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32,486,658</w:t>
            </w:r>
          </w:p>
        </w:tc>
        <w:tc>
          <w:tcPr>
            <w:tcW w:w="20" w:type="dxa"/>
            <w:vAlign w:val="bottom"/>
          </w:tcPr>
          <w:p>
            <w:pPr>
              <w:spacing w:after="0"/>
              <w:rPr>
                <w:sz w:val="17"/>
                <w:szCs w:val="17"/>
                <w:color w:val="auto"/>
              </w:rPr>
            </w:pPr>
          </w:p>
        </w:tc>
      </w:tr>
      <w:tr>
        <w:trPr>
          <w:trHeight w:val="216"/>
        </w:trPr>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gridSpan w:val="3"/>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59,172,476</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51,865,406</w:t>
            </w: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111,037,882</w:t>
            </w:r>
          </w:p>
        </w:tc>
      </w:tr>
      <w:tr>
        <w:trPr>
          <w:trHeight w:val="216"/>
        </w:trPr>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gridSpan w:val="3"/>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83,257,507</w:t>
            </w: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83,257,507</w:t>
            </w:r>
          </w:p>
        </w:tc>
      </w:tr>
      <w:tr>
        <w:trPr>
          <w:trHeight w:val="216"/>
        </w:trPr>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gridSpan w:val="3"/>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8,020,716</w:t>
            </w: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8,020,716</w:t>
            </w:r>
          </w:p>
        </w:tc>
      </w:tr>
      <w:tr>
        <w:trPr>
          <w:trHeight w:val="230"/>
        </w:trPr>
        <w:tc>
          <w:tcPr>
            <w:tcW w:w="7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77,242,000</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77,242,000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-702310</wp:posOffset>
            </wp:positionV>
            <wp:extent cx="724662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-3016885</wp:posOffset>
            </wp:positionH>
            <wp:positionV relativeFrom="paragraph">
              <wp:posOffset>-419735</wp:posOffset>
            </wp:positionV>
            <wp:extent cx="72466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-3016885</wp:posOffset>
            </wp:positionH>
            <wp:positionV relativeFrom="paragraph">
              <wp:posOffset>-145415</wp:posOffset>
            </wp:positionV>
            <wp:extent cx="72466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40" w:space="720"/>
            <w:col w:w="6660"/>
          </w:cols>
          <w:pgMar w:left="240" w:top="908" w:right="239" w:bottom="1440" w:gutter="0" w:footer="0" w:header="0"/>
          <w:type w:val="continuous"/>
        </w:sectPr>
      </w:pPr>
    </w:p>
    <w:p>
      <w:pPr>
        <w:spacing w:after="0" w:line="2" w:lineRule="exact"/>
        <w:rPr>
          <w:sz w:val="20"/>
          <w:szCs w:val="20"/>
          <w:color w:val="auto"/>
        </w:rPr>
      </w:pPr>
    </w:p>
    <w:p>
      <w:pPr>
        <w:spacing w:after="0"/>
        <w:tabs>
          <w:tab w:leader="none" w:pos="6640" w:val="left"/>
          <w:tab w:leader="none" w:pos="7560" w:val="left"/>
          <w:tab w:leader="none" w:pos="8940" w:val="left"/>
          <w:tab w:leader="none" w:pos="10400" w:val="left"/>
        </w:tabs>
        <w:rPr>
          <w:sz w:val="20"/>
          <w:szCs w:val="20"/>
          <w:color w:val="auto"/>
        </w:rPr>
      </w:pPr>
      <w:r>
        <w:rPr>
          <w:rFonts w:ascii="Arial" w:cs="Arial" w:eastAsia="Arial" w:hAnsi="Arial"/>
          <w:sz w:val="18"/>
          <w:szCs w:val="18"/>
          <w:color w:val="auto"/>
        </w:rPr>
        <w:t>Total</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91,659,134</w:t>
      </w:r>
      <w:r>
        <w:rPr>
          <w:sz w:val="20"/>
          <w:szCs w:val="20"/>
          <w:color w:val="auto"/>
        </w:rPr>
        <w:tab/>
      </w:r>
      <w:r>
        <w:rPr>
          <w:rFonts w:ascii="Arial" w:cs="Arial" w:eastAsia="Arial" w:hAnsi="Arial"/>
          <w:sz w:val="18"/>
          <w:szCs w:val="18"/>
          <w:color w:val="auto"/>
        </w:rPr>
        <w:t>220,385,629</w:t>
      </w:r>
      <w:r>
        <w:rPr>
          <w:sz w:val="20"/>
          <w:szCs w:val="20"/>
          <w:color w:val="auto"/>
        </w:rPr>
        <w:tab/>
      </w:r>
      <w:r>
        <w:rPr>
          <w:rFonts w:ascii="Arial" w:cs="Arial" w:eastAsia="Arial" w:hAnsi="Arial"/>
          <w:sz w:val="16"/>
          <w:szCs w:val="16"/>
          <w:color w:val="auto"/>
        </w:rPr>
        <w:t>312,044,763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35" w:name="page36"/>
    <w:bookmarkEnd w:id="35"/>
    <w:p>
      <w:pPr>
        <w:ind w:firstLine="324"/>
        <w:spacing w:after="0" w:line="276" w:lineRule="auto"/>
        <w:rPr>
          <w:sz w:val="20"/>
          <w:szCs w:val="20"/>
          <w:color w:val="auto"/>
        </w:rPr>
      </w:pPr>
      <w:r>
        <w:rPr>
          <w:rFonts w:ascii="Arial" w:cs="Arial" w:eastAsia="Arial" w:hAnsi="Arial"/>
          <w:sz w:val="17"/>
          <w:szCs w:val="17"/>
          <w:color w:val="auto"/>
        </w:rPr>
        <w:t xml:space="preserve">As a BDC, it is required that the Company invest primarily in the debt and equity of non-public for which there is little, if any, market-observable information. As a result a significant portion of the Company’s investments at any given time will likely be deemed Level III investments. The Company believes that investments classified as Level III for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have a further hierarchal framework which prioritizes and ranks such valuations based on the degree of independent and observable inputs, objectivity of data and models and the level of judgment required to adjust comparable data. The hierarchy of such methodologies are presented in the above table and discussed below in descending rank.</w:t>
      </w:r>
    </w:p>
    <w:p>
      <w:pPr>
        <w:spacing w:after="0" w:line="173"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Investment values derived by a third party pricing service are generally deemed to be Level III values. For those that have observable trades, we consider them to be Level II.</w:t>
      </w:r>
    </w:p>
    <w:p>
      <w:pPr>
        <w:spacing w:after="0" w:line="170"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The Company derives fair value for its illiquid investments that do not have indicative fair values based upon active trades primarily by using the Market Yield Approach and also considers recent loan amendments or other activity specific to the subject asset. Discount rates applied to estimated contractual cash flows for an underlying asset vary by specific investment, industry, priority and nature of the debt security (such as the seniority or security interest of the debt security) and are assessed relative to two indices, a leveraged loan index and a high-yield bond index, at the valuation date. The Company has identified these two indices as benchmarks for broad market information related to its loan and debt investments. Because the Company has not identified any market index that directly correlates to the loan and debt investments held by the Company and therefore uses the two benchmark indices, these market indices may require significant adjustment to better correlate such market data for the calculation of fair value of the investment under the Market Yield Approach. Such adjustments require judgment and may be material to the calculation of fair value. Further adjustments to the discount rate may be applied to reflect other market conditions or the perceived credit risk of the borrower. When broad market indices are used as part of the valuation methodology, their use is subject to adjustment for many factors, including priority, collateral used as security, structure, performance and other quantitative and qualitative attributes of the asset being valued. The resulting present value determination is then weighted along with any quotes from observable transactions and broker/pricing quotes. If such quotes are indicative of actual transactions with reasonable trading volume at or near the valuation date that are not liquidation or distressed sales, relatively more reliance will be put on such quotes to determine fair value. If such quotes are not indicative of market transactions or are insufficient as to volume, reliability, consistency or other relevant factors, such quotes will be compared with other fair value indications and given relatively less weight based on their relevancy. The appropriateness of specific valuation methods and techniques may change as market conditions and available data change.</w:t>
      </w:r>
    </w:p>
    <w:p>
      <w:pPr>
        <w:spacing w:after="0" w:line="16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2012, the Company engaged an independent valuation firm to provide a third-party review of our CLO fair value model relative to its functionality, model inputs, and calculations as a reasonable method to determine CLO fair values, in the absence of Level I or Level II trading activity or observable market inputs. The independent valuation firm concluded that the Company’s CLO model appropriately factors in all the necessary inputs required to build a CLO equity cash flow for fair value purposes and that the inputs were being employed correctly.</w:t>
      </w:r>
    </w:p>
    <w:p>
      <w:pPr>
        <w:spacing w:after="0" w:line="187"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The Company has engaged an independent valuation firm to provide third party valuation consulting services to the Company’s Board of Directors. Each quarter the independent valuation firm will perform third party valuations on the Company’s investments on illiquid securities such that they are reviewed at least once during a trailing 12 month period. These third party valuation estimates were considered as one of the relevant data inputs in the Company’s determination of fair value. The Board of Directors intends to continue to engage an independent valuation firm in the future to provide certain valuation services, including the review of certain portfolio assets, as part of the quarterly and annual year-end valuation process.</w:t>
      </w:r>
    </w:p>
    <w:p>
      <w:pPr>
        <w:spacing w:after="0" w:line="173"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Values derived for debt and equity securities using public/private company comparables generally utilize market-observable data from such comparables and specific, non-public and non-observable financial measures (such as earnings or cash flows) for the private, underlying company/issuer. Such non-observable company/issuer data is typically provided on a monthly basis, is certified as correct by the management of the company/issuer and/or audited by an independent accounting firm on an annual basis. Since such private company/issuer data is not publicly available it is not deemed market-observable data and, as a result, such investment values are grouped as Level III assets.</w:t>
      </w:r>
    </w:p>
    <w:p>
      <w:pPr>
        <w:spacing w:after="0" w:line="188"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Values derived for the Asset Manager Affiliates using public/private company comparables generally utilize market-observable data from such comparables and specific, non-public and non-observable financial measures (such as assets under management, historical and prospective earnings) for the Asset Manager Affiliates. The Company recognizes that comparable asset managers may not be fully comparable to the Asset Manager Affiliates and typically identifies a range of performance measures and/or adjustments within the comparable population with which to determine value. Since any such ranges and adjustments are entity specific they are not considered market-observable data and thus require a Level III grouping. Illiquid investments that have values derived through the use of discounted cash flow models and residual enterprise value models are grouped as Level III assets.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ind w:left="340"/>
        <w:spacing w:after="0"/>
        <w:rPr>
          <w:sz w:val="20"/>
          <w:szCs w:val="20"/>
          <w:color w:val="auto"/>
        </w:rPr>
      </w:pPr>
      <w:r>
        <w:rPr>
          <w:rFonts w:ascii="Arial" w:cs="Arial" w:eastAsia="Arial" w:hAnsi="Arial"/>
          <w:sz w:val="17"/>
          <w:szCs w:val="17"/>
          <w:color w:val="auto"/>
        </w:rPr>
        <w:t>The changes in investments measured at fair value for which the Company has used unobservable inputs to determine fair value are as follows:</w:t>
      </w:r>
    </w:p>
    <w:p>
      <w:pPr>
        <w:spacing w:after="0" w:line="23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As of March 31, 2013, the Company’s Level II portfolio investments were valued by a third party pricing service for which the prices are not adjusted and for which inputs are observable or can be corroborated by observable market data for substantially the full character of the financial instrument, or inputs that are derived principally from, or corroborated by, observable market information. The fair value of the Company’s Level II portfolio investments was $109,317,174 as of March 31, 2013.</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2013, the Company’s Level III portfolio investments had the following valuation techniques and significant inputs: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45"/>
        </w:trPr>
        <w:tc>
          <w:tcPr>
            <w:tcW w:w="2220" w:type="dxa"/>
            <w:vAlign w:val="bottom"/>
            <w:tcBorders>
              <w:top w:val="single" w:sz="8" w:color="auto"/>
              <w:left w:val="single" w:sz="8" w:color="auto"/>
              <w:right w:val="single" w:sz="8" w:color="auto"/>
            </w:tcBorders>
          </w:tcPr>
          <w:p>
            <w:pPr>
              <w:ind w:left="980"/>
              <w:spacing w:after="0"/>
              <w:rPr>
                <w:sz w:val="20"/>
                <w:szCs w:val="20"/>
                <w:color w:val="auto"/>
              </w:rPr>
            </w:pPr>
            <w:r>
              <w:rPr>
                <w:rFonts w:ascii="Arial" w:cs="Arial" w:eastAsia="Arial" w:hAnsi="Arial"/>
                <w:sz w:val="14"/>
                <w:szCs w:val="14"/>
                <w:color w:val="auto"/>
              </w:rPr>
              <w:t>Type</w:t>
            </w:r>
          </w:p>
        </w:tc>
        <w:tc>
          <w:tcPr>
            <w:tcW w:w="1680" w:type="dxa"/>
            <w:vAlign w:val="bottom"/>
            <w:tcBorders>
              <w:top w:val="single" w:sz="8" w:color="auto"/>
              <w:right w:val="single" w:sz="8" w:color="auto"/>
            </w:tcBorders>
          </w:tcPr>
          <w:p>
            <w:pPr>
              <w:ind w:left="520"/>
              <w:spacing w:after="0"/>
              <w:rPr>
                <w:sz w:val="20"/>
                <w:szCs w:val="20"/>
                <w:color w:val="auto"/>
              </w:rPr>
            </w:pPr>
            <w:r>
              <w:rPr>
                <w:rFonts w:ascii="Arial" w:cs="Arial" w:eastAsia="Arial" w:hAnsi="Arial"/>
                <w:sz w:val="14"/>
                <w:szCs w:val="14"/>
                <w:color w:val="auto"/>
              </w:rPr>
              <w:t>Fair Value</w:t>
            </w:r>
          </w:p>
        </w:tc>
        <w:tc>
          <w:tcPr>
            <w:tcW w:w="2120" w:type="dxa"/>
            <w:vAlign w:val="bottom"/>
            <w:tcBorders>
              <w:top w:val="single" w:sz="8" w:color="auto"/>
              <w:right w:val="single" w:sz="8" w:color="auto"/>
            </w:tcBorders>
          </w:tcPr>
          <w:p>
            <w:pPr>
              <w:ind w:left="440"/>
              <w:spacing w:after="0"/>
              <w:rPr>
                <w:sz w:val="20"/>
                <w:szCs w:val="20"/>
                <w:color w:val="auto"/>
              </w:rPr>
            </w:pPr>
            <w:r>
              <w:rPr>
                <w:rFonts w:ascii="Arial" w:cs="Arial" w:eastAsia="Arial" w:hAnsi="Arial"/>
                <w:sz w:val="14"/>
                <w:szCs w:val="14"/>
                <w:color w:val="auto"/>
              </w:rPr>
              <w:t>Valuation Technique</w:t>
            </w:r>
          </w:p>
        </w:tc>
        <w:tc>
          <w:tcPr>
            <w:tcW w:w="2260" w:type="dxa"/>
            <w:vAlign w:val="bottom"/>
            <w:tcBorders>
              <w:top w:val="single" w:sz="8" w:color="auto"/>
              <w:right w:val="single" w:sz="8" w:color="auto"/>
            </w:tcBorders>
          </w:tcPr>
          <w:p>
            <w:pPr>
              <w:ind w:left="520"/>
              <w:spacing w:after="0"/>
              <w:rPr>
                <w:sz w:val="20"/>
                <w:szCs w:val="20"/>
                <w:color w:val="auto"/>
              </w:rPr>
            </w:pPr>
            <w:r>
              <w:rPr>
                <w:rFonts w:ascii="Arial" w:cs="Arial" w:eastAsia="Arial" w:hAnsi="Arial"/>
                <w:sz w:val="14"/>
                <w:szCs w:val="14"/>
                <w:color w:val="auto"/>
              </w:rPr>
              <w:t>Unobservable Inputs</w:t>
            </w:r>
          </w:p>
        </w:tc>
        <w:tc>
          <w:tcPr>
            <w:tcW w:w="3060" w:type="dxa"/>
            <w:vAlign w:val="bottom"/>
            <w:tcBorders>
              <w:top w:val="single" w:sz="8" w:color="auto"/>
              <w:right w:val="single" w:sz="8" w:color="auto"/>
            </w:tcBorders>
          </w:tcPr>
          <w:p>
            <w:pPr>
              <w:ind w:left="1060"/>
              <w:spacing w:after="0"/>
              <w:rPr>
                <w:sz w:val="20"/>
                <w:szCs w:val="20"/>
                <w:color w:val="auto"/>
              </w:rPr>
            </w:pPr>
            <w:r>
              <w:rPr>
                <w:rFonts w:ascii="Arial" w:cs="Arial" w:eastAsia="Arial" w:hAnsi="Arial"/>
                <w:sz w:val="14"/>
                <w:szCs w:val="14"/>
                <w:color w:val="auto"/>
              </w:rPr>
              <w:t>Range of Inputs</w:t>
            </w:r>
          </w:p>
        </w:tc>
        <w:tc>
          <w:tcPr>
            <w:tcW w:w="0" w:type="dxa"/>
            <w:vAlign w:val="bottom"/>
          </w:tcPr>
          <w:p>
            <w:pPr>
              <w:spacing w:after="0"/>
              <w:rPr>
                <w:sz w:val="1"/>
                <w:szCs w:val="1"/>
                <w:color w:val="auto"/>
              </w:rPr>
            </w:pPr>
          </w:p>
        </w:tc>
      </w:tr>
      <w:tr>
        <w:trPr>
          <w:trHeight w:val="53"/>
        </w:trPr>
        <w:tc>
          <w:tcPr>
            <w:tcW w:w="2220" w:type="dxa"/>
            <w:vAlign w:val="bottom"/>
            <w:tcBorders>
              <w:left w:val="single" w:sz="8" w:color="auto"/>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30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220" w:type="dxa"/>
            <w:vAlign w:val="bottom"/>
            <w:tcBorders>
              <w:left w:val="single" w:sz="8" w:color="auto"/>
              <w:right w:val="single" w:sz="8" w:color="auto"/>
            </w:tcBorders>
          </w:tcPr>
          <w:p>
            <w:pPr>
              <w:spacing w:after="0"/>
              <w:rPr>
                <w:sz w:val="12"/>
                <w:szCs w:val="12"/>
                <w:color w:val="auto"/>
              </w:rPr>
            </w:pPr>
          </w:p>
        </w:tc>
        <w:tc>
          <w:tcPr>
            <w:tcW w:w="16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$1,403,876</w:t>
            </w:r>
          </w:p>
        </w:tc>
        <w:tc>
          <w:tcPr>
            <w:tcW w:w="2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Enterprise Value</w:t>
            </w:r>
          </w:p>
        </w:tc>
        <w:tc>
          <w:tcPr>
            <w:tcW w:w="226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Average EBITDA Multiple</w:t>
            </w:r>
          </w:p>
        </w:tc>
        <w:tc>
          <w:tcPr>
            <w:tcW w:w="306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7.9x</w:t>
            </w:r>
          </w:p>
        </w:tc>
        <w:tc>
          <w:tcPr>
            <w:tcW w:w="0" w:type="dxa"/>
            <w:vAlign w:val="bottom"/>
          </w:tcPr>
          <w:p>
            <w:pPr>
              <w:spacing w:after="0"/>
              <w:rPr>
                <w:sz w:val="1"/>
                <w:szCs w:val="1"/>
                <w:color w:val="auto"/>
              </w:rPr>
            </w:pPr>
          </w:p>
        </w:tc>
      </w:tr>
      <w:tr>
        <w:trPr>
          <w:trHeight w:val="76"/>
        </w:trPr>
        <w:tc>
          <w:tcPr>
            <w:tcW w:w="2220" w:type="dxa"/>
            <w:vAlign w:val="bottom"/>
            <w:tcBorders>
              <w:left w:val="single" w:sz="8" w:color="auto"/>
              <w:right w:val="single" w:sz="8" w:color="auto"/>
            </w:tcBorders>
          </w:tcPr>
          <w:p>
            <w:pPr>
              <w:spacing w:after="0"/>
              <w:rPr>
                <w:sz w:val="6"/>
                <w:szCs w:val="6"/>
                <w:color w:val="auto"/>
              </w:rPr>
            </w:pPr>
          </w:p>
        </w:tc>
        <w:tc>
          <w:tcPr>
            <w:tcW w:w="1680" w:type="dxa"/>
            <w:vAlign w:val="bottom"/>
            <w:tcBorders>
              <w:right w:val="single" w:sz="8" w:color="auto"/>
            </w:tcBorders>
            <w:vMerge w:val="continue"/>
          </w:tcPr>
          <w:p>
            <w:pPr>
              <w:spacing w:after="0"/>
              <w:rPr>
                <w:sz w:val="6"/>
                <w:szCs w:val="6"/>
                <w:color w:val="auto"/>
              </w:rPr>
            </w:pPr>
          </w:p>
        </w:tc>
        <w:tc>
          <w:tcPr>
            <w:tcW w:w="2120" w:type="dxa"/>
            <w:vAlign w:val="bottom"/>
            <w:tcBorders>
              <w:right w:val="single" w:sz="8" w:color="auto"/>
            </w:tcBorders>
            <w:vMerge w:val="continue"/>
          </w:tcPr>
          <w:p>
            <w:pPr>
              <w:spacing w:after="0"/>
              <w:rPr>
                <w:sz w:val="6"/>
                <w:szCs w:val="6"/>
                <w:color w:val="auto"/>
              </w:rPr>
            </w:pPr>
          </w:p>
        </w:tc>
        <w:tc>
          <w:tcPr>
            <w:tcW w:w="2260" w:type="dxa"/>
            <w:vAlign w:val="bottom"/>
            <w:tcBorders>
              <w:right w:val="single" w:sz="8" w:color="auto"/>
            </w:tcBorders>
            <w:vMerge w:val="restart"/>
          </w:tcPr>
          <w:p>
            <w:pPr>
              <w:ind w:left="80"/>
              <w:spacing w:after="0" w:line="142" w:lineRule="exact"/>
              <w:rPr>
                <w:sz w:val="20"/>
                <w:szCs w:val="20"/>
                <w:color w:val="auto"/>
              </w:rPr>
            </w:pPr>
            <w:r>
              <w:rPr>
                <w:rFonts w:ascii="Arial" w:cs="Arial" w:eastAsia="Arial" w:hAnsi="Arial"/>
                <w:sz w:val="14"/>
                <w:szCs w:val="14"/>
                <w:color w:val="auto"/>
              </w:rPr>
              <w:t>Weighted Avg Cost of Capital</w:t>
            </w:r>
          </w:p>
        </w:tc>
        <w:tc>
          <w:tcPr>
            <w:tcW w:w="3060" w:type="dxa"/>
            <w:vAlign w:val="bottom"/>
            <w:tcBorders>
              <w:right w:val="single" w:sz="8" w:color="auto"/>
            </w:tcBorders>
            <w:vMerge w:val="restart"/>
          </w:tcPr>
          <w:p>
            <w:pPr>
              <w:ind w:left="100"/>
              <w:spacing w:after="0" w:line="142" w:lineRule="exact"/>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66"/>
        </w:trPr>
        <w:tc>
          <w:tcPr>
            <w:tcW w:w="2220" w:type="dxa"/>
            <w:vAlign w:val="bottom"/>
            <w:tcBorders>
              <w:left w:val="single" w:sz="8" w:color="auto"/>
              <w:right w:val="single" w:sz="8" w:color="auto"/>
            </w:tcBorders>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2120" w:type="dxa"/>
            <w:vAlign w:val="bottom"/>
            <w:tcBorders>
              <w:bottom w:val="single" w:sz="8" w:color="auto"/>
              <w:right w:val="single" w:sz="8" w:color="auto"/>
            </w:tcBorders>
          </w:tcPr>
          <w:p>
            <w:pPr>
              <w:spacing w:after="0"/>
              <w:rPr>
                <w:sz w:val="5"/>
                <w:szCs w:val="5"/>
                <w:color w:val="auto"/>
              </w:rPr>
            </w:pPr>
          </w:p>
        </w:tc>
        <w:tc>
          <w:tcPr>
            <w:tcW w:w="2260" w:type="dxa"/>
            <w:vAlign w:val="bottom"/>
            <w:tcBorders>
              <w:bottom w:val="single" w:sz="8" w:color="auto"/>
              <w:right w:val="single" w:sz="8" w:color="auto"/>
            </w:tcBorders>
            <w:vMerge w:val="continue"/>
          </w:tcPr>
          <w:p>
            <w:pPr>
              <w:spacing w:after="0"/>
              <w:rPr>
                <w:sz w:val="5"/>
                <w:szCs w:val="5"/>
                <w:color w:val="auto"/>
              </w:rPr>
            </w:pPr>
          </w:p>
        </w:tc>
        <w:tc>
          <w:tcPr>
            <w:tcW w:w="306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color w:val="auto"/>
              </w:rPr>
              <w:t>Debt Securities</w:t>
            </w:r>
          </w:p>
        </w:tc>
        <w:tc>
          <w:tcPr>
            <w:tcW w:w="168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$48,795,777</w:t>
            </w:r>
          </w:p>
        </w:tc>
        <w:tc>
          <w:tcPr>
            <w:tcW w:w="212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Income Approach</w:t>
            </w:r>
          </w:p>
        </w:tc>
        <w:tc>
          <w:tcPr>
            <w:tcW w:w="226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Market Yield</w:t>
            </w:r>
          </w:p>
        </w:tc>
        <w:tc>
          <w:tcPr>
            <w:tcW w:w="306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4.0% - 21.1% (weighted average 7.3%)</w:t>
            </w:r>
          </w:p>
        </w:tc>
        <w:tc>
          <w:tcPr>
            <w:tcW w:w="0" w:type="dxa"/>
            <w:vAlign w:val="bottom"/>
          </w:tcPr>
          <w:p>
            <w:pPr>
              <w:spacing w:after="0"/>
              <w:rPr>
                <w:sz w:val="1"/>
                <w:szCs w:val="1"/>
                <w:color w:val="auto"/>
              </w:rPr>
            </w:pPr>
          </w:p>
        </w:tc>
      </w:tr>
      <w:tr>
        <w:trPr>
          <w:trHeight w:val="76"/>
        </w:trPr>
        <w:tc>
          <w:tcPr>
            <w:tcW w:w="2220" w:type="dxa"/>
            <w:vAlign w:val="bottom"/>
            <w:tcBorders>
              <w:left w:val="single" w:sz="8" w:color="auto"/>
              <w:right w:val="single" w:sz="8" w:color="auto"/>
            </w:tcBorders>
            <w:vMerge w:val="continue"/>
          </w:tcPr>
          <w:p>
            <w:pPr>
              <w:spacing w:after="0"/>
              <w:rPr>
                <w:sz w:val="6"/>
                <w:szCs w:val="6"/>
                <w:color w:val="auto"/>
              </w:rPr>
            </w:pPr>
          </w:p>
        </w:tc>
        <w:tc>
          <w:tcPr>
            <w:tcW w:w="1680" w:type="dxa"/>
            <w:vAlign w:val="bottom"/>
            <w:tcBorders>
              <w:right w:val="single" w:sz="8" w:color="auto"/>
            </w:tcBorders>
            <w:vMerge w:val="restart"/>
          </w:tcPr>
          <w:p>
            <w:pPr>
              <w:ind w:left="100"/>
              <w:spacing w:after="0" w:line="142" w:lineRule="exact"/>
              <w:rPr>
                <w:sz w:val="20"/>
                <w:szCs w:val="20"/>
                <w:color w:val="auto"/>
              </w:rPr>
            </w:pPr>
            <w:r>
              <w:rPr>
                <w:rFonts w:ascii="Arial" w:cs="Arial" w:eastAsia="Arial" w:hAnsi="Arial"/>
                <w:sz w:val="14"/>
                <w:szCs w:val="14"/>
                <w:color w:val="auto"/>
              </w:rPr>
              <w:t>$30,352,595</w:t>
            </w:r>
          </w:p>
        </w:tc>
        <w:tc>
          <w:tcPr>
            <w:tcW w:w="2120" w:type="dxa"/>
            <w:vAlign w:val="bottom"/>
            <w:tcBorders>
              <w:right w:val="single" w:sz="8" w:color="auto"/>
            </w:tcBorders>
            <w:vMerge w:val="restart"/>
          </w:tcPr>
          <w:p>
            <w:pPr>
              <w:ind w:left="80"/>
              <w:spacing w:after="0" w:line="142" w:lineRule="exact"/>
              <w:rPr>
                <w:sz w:val="20"/>
                <w:szCs w:val="20"/>
                <w:color w:val="auto"/>
              </w:rPr>
            </w:pPr>
            <w:r>
              <w:rPr>
                <w:rFonts w:ascii="Arial" w:cs="Arial" w:eastAsia="Arial" w:hAnsi="Arial"/>
                <w:sz w:val="14"/>
                <w:szCs w:val="14"/>
                <w:color w:val="auto"/>
              </w:rPr>
              <w:t>Market Approach</w:t>
            </w:r>
          </w:p>
        </w:tc>
        <w:tc>
          <w:tcPr>
            <w:tcW w:w="2260" w:type="dxa"/>
            <w:vAlign w:val="bottom"/>
            <w:tcBorders>
              <w:right w:val="single" w:sz="8" w:color="auto"/>
            </w:tcBorders>
            <w:vMerge w:val="restart"/>
          </w:tcPr>
          <w:p>
            <w:pPr>
              <w:ind w:left="80"/>
              <w:spacing w:after="0" w:line="142" w:lineRule="exact"/>
              <w:rPr>
                <w:sz w:val="20"/>
                <w:szCs w:val="20"/>
                <w:color w:val="auto"/>
              </w:rPr>
            </w:pPr>
            <w:r>
              <w:rPr>
                <w:rFonts w:ascii="Arial" w:cs="Arial" w:eastAsia="Arial" w:hAnsi="Arial"/>
                <w:sz w:val="14"/>
                <w:szCs w:val="14"/>
                <w:color w:val="auto"/>
              </w:rPr>
              <w:t>Third Party Bid</w:t>
            </w:r>
          </w:p>
        </w:tc>
        <w:tc>
          <w:tcPr>
            <w:tcW w:w="3060" w:type="dxa"/>
            <w:vAlign w:val="bottom"/>
            <w:tcBorders>
              <w:right w:val="single" w:sz="8" w:color="auto"/>
            </w:tcBorders>
            <w:vMerge w:val="restart"/>
          </w:tcPr>
          <w:p>
            <w:pPr>
              <w:ind w:left="100"/>
              <w:spacing w:after="0" w:line="142" w:lineRule="exact"/>
              <w:rPr>
                <w:sz w:val="20"/>
                <w:szCs w:val="20"/>
                <w:color w:val="auto"/>
              </w:rPr>
            </w:pPr>
            <w:r>
              <w:rPr>
                <w:rFonts w:ascii="Arial" w:cs="Arial" w:eastAsia="Arial" w:hAnsi="Arial"/>
                <w:sz w:val="14"/>
                <w:szCs w:val="14"/>
                <w:color w:val="auto"/>
              </w:rPr>
              <w:t>1 - 100.7 (weighted average 99.3)</w:t>
            </w:r>
          </w:p>
        </w:tc>
        <w:tc>
          <w:tcPr>
            <w:tcW w:w="0" w:type="dxa"/>
            <w:vAlign w:val="bottom"/>
          </w:tcPr>
          <w:p>
            <w:pPr>
              <w:spacing w:after="0"/>
              <w:rPr>
                <w:sz w:val="1"/>
                <w:szCs w:val="1"/>
                <w:color w:val="auto"/>
              </w:rPr>
            </w:pPr>
          </w:p>
        </w:tc>
      </w:tr>
      <w:tr>
        <w:trPr>
          <w:trHeight w:val="71"/>
        </w:trPr>
        <w:tc>
          <w:tcPr>
            <w:tcW w:w="2220" w:type="dxa"/>
            <w:vAlign w:val="bottom"/>
            <w:tcBorders>
              <w:left w:val="single" w:sz="8" w:color="auto"/>
              <w:right w:val="single" w:sz="8" w:color="auto"/>
            </w:tcBorders>
          </w:tcPr>
          <w:p>
            <w:pPr>
              <w:spacing w:after="0"/>
              <w:rPr>
                <w:sz w:val="5"/>
                <w:szCs w:val="5"/>
                <w:color w:val="auto"/>
              </w:rPr>
            </w:pPr>
          </w:p>
        </w:tc>
        <w:tc>
          <w:tcPr>
            <w:tcW w:w="1680" w:type="dxa"/>
            <w:vAlign w:val="bottom"/>
            <w:tcBorders>
              <w:bottom w:val="single" w:sz="8" w:color="auto"/>
              <w:right w:val="single" w:sz="8" w:color="auto"/>
            </w:tcBorders>
            <w:vMerge w:val="continue"/>
          </w:tcPr>
          <w:p>
            <w:pPr>
              <w:spacing w:after="0"/>
              <w:rPr>
                <w:sz w:val="5"/>
                <w:szCs w:val="5"/>
                <w:color w:val="auto"/>
              </w:rPr>
            </w:pPr>
          </w:p>
        </w:tc>
        <w:tc>
          <w:tcPr>
            <w:tcW w:w="2120" w:type="dxa"/>
            <w:vAlign w:val="bottom"/>
            <w:tcBorders>
              <w:bottom w:val="single" w:sz="8" w:color="auto"/>
              <w:right w:val="single" w:sz="8" w:color="auto"/>
            </w:tcBorders>
            <w:vMerge w:val="continue"/>
          </w:tcPr>
          <w:p>
            <w:pPr>
              <w:spacing w:after="0"/>
              <w:rPr>
                <w:sz w:val="5"/>
                <w:szCs w:val="5"/>
                <w:color w:val="auto"/>
              </w:rPr>
            </w:pPr>
          </w:p>
        </w:tc>
        <w:tc>
          <w:tcPr>
            <w:tcW w:w="2260" w:type="dxa"/>
            <w:vAlign w:val="bottom"/>
            <w:tcBorders>
              <w:bottom w:val="single" w:sz="8" w:color="auto"/>
              <w:right w:val="single" w:sz="8" w:color="auto"/>
            </w:tcBorders>
            <w:vMerge w:val="continue"/>
          </w:tcPr>
          <w:p>
            <w:pPr>
              <w:spacing w:after="0"/>
              <w:rPr>
                <w:sz w:val="5"/>
                <w:szCs w:val="5"/>
                <w:color w:val="auto"/>
              </w:rPr>
            </w:pPr>
          </w:p>
        </w:tc>
        <w:tc>
          <w:tcPr>
            <w:tcW w:w="306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220" w:type="dxa"/>
            <w:vAlign w:val="bottom"/>
            <w:tcBorders>
              <w:left w:val="single" w:sz="8" w:color="auto"/>
              <w:right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$1,000</w:t>
            </w:r>
          </w:p>
        </w:tc>
        <w:tc>
          <w:tcPr>
            <w:tcW w:w="212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Options Value</w:t>
            </w:r>
          </w:p>
        </w:tc>
        <w:tc>
          <w:tcPr>
            <w:tcW w:w="226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Qualitative Inputs</w:t>
            </w:r>
          </w:p>
        </w:tc>
        <w:tc>
          <w:tcPr>
            <w:tcW w:w="3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20" w:type="dxa"/>
            <w:vAlign w:val="bottom"/>
            <w:tcBorders>
              <w:left w:val="single" w:sz="8" w:color="auto"/>
              <w:bottom w:val="single" w:sz="8" w:color="auto"/>
              <w:right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$567,324</w:t>
            </w:r>
          </w:p>
        </w:tc>
        <w:tc>
          <w:tcPr>
            <w:tcW w:w="212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Recovery Approach</w:t>
            </w:r>
          </w:p>
        </w:tc>
        <w:tc>
          <w:tcPr>
            <w:tcW w:w="226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Qualitative Inputs</w:t>
            </w:r>
          </w:p>
        </w:tc>
        <w:tc>
          <w:tcPr>
            <w:tcW w:w="3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color w:val="auto"/>
              </w:rPr>
              <w:t>Equity Securities</w:t>
            </w:r>
          </w:p>
        </w:tc>
        <w:tc>
          <w:tcPr>
            <w:tcW w:w="16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$7,839,699</w:t>
            </w:r>
          </w:p>
        </w:tc>
        <w:tc>
          <w:tcPr>
            <w:tcW w:w="2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Enterprise Value</w:t>
            </w:r>
          </w:p>
        </w:tc>
        <w:tc>
          <w:tcPr>
            <w:tcW w:w="226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Average EBITDA Multiple</w:t>
            </w:r>
          </w:p>
        </w:tc>
        <w:tc>
          <w:tcPr>
            <w:tcW w:w="306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4.2x – 7.2x (weighted average 6.1x)</w:t>
            </w:r>
          </w:p>
        </w:tc>
        <w:tc>
          <w:tcPr>
            <w:tcW w:w="0" w:type="dxa"/>
            <w:vAlign w:val="bottom"/>
          </w:tcPr>
          <w:p>
            <w:pPr>
              <w:spacing w:after="0"/>
              <w:rPr>
                <w:sz w:val="1"/>
                <w:szCs w:val="1"/>
                <w:color w:val="auto"/>
              </w:rPr>
            </w:pPr>
          </w:p>
        </w:tc>
      </w:tr>
      <w:tr>
        <w:trPr>
          <w:trHeight w:val="76"/>
        </w:trPr>
        <w:tc>
          <w:tcPr>
            <w:tcW w:w="2220" w:type="dxa"/>
            <w:vAlign w:val="bottom"/>
            <w:tcBorders>
              <w:left w:val="single" w:sz="8" w:color="auto"/>
              <w:right w:val="single" w:sz="8" w:color="auto"/>
            </w:tcBorders>
            <w:vMerge w:val="continue"/>
          </w:tcPr>
          <w:p>
            <w:pPr>
              <w:spacing w:after="0"/>
              <w:rPr>
                <w:sz w:val="6"/>
                <w:szCs w:val="6"/>
                <w:color w:val="auto"/>
              </w:rPr>
            </w:pPr>
          </w:p>
        </w:tc>
        <w:tc>
          <w:tcPr>
            <w:tcW w:w="1680" w:type="dxa"/>
            <w:vAlign w:val="bottom"/>
            <w:tcBorders>
              <w:right w:val="single" w:sz="8" w:color="auto"/>
            </w:tcBorders>
            <w:vMerge w:val="continue"/>
          </w:tcPr>
          <w:p>
            <w:pPr>
              <w:spacing w:after="0"/>
              <w:rPr>
                <w:sz w:val="6"/>
                <w:szCs w:val="6"/>
                <w:color w:val="auto"/>
              </w:rPr>
            </w:pPr>
          </w:p>
        </w:tc>
        <w:tc>
          <w:tcPr>
            <w:tcW w:w="2120" w:type="dxa"/>
            <w:vAlign w:val="bottom"/>
            <w:tcBorders>
              <w:right w:val="single" w:sz="8" w:color="auto"/>
            </w:tcBorders>
            <w:vMerge w:val="continue"/>
          </w:tcPr>
          <w:p>
            <w:pPr>
              <w:spacing w:after="0"/>
              <w:rPr>
                <w:sz w:val="6"/>
                <w:szCs w:val="6"/>
                <w:color w:val="auto"/>
              </w:rPr>
            </w:pPr>
          </w:p>
        </w:tc>
        <w:tc>
          <w:tcPr>
            <w:tcW w:w="2260" w:type="dxa"/>
            <w:vAlign w:val="bottom"/>
            <w:tcBorders>
              <w:right w:val="single" w:sz="8" w:color="auto"/>
            </w:tcBorders>
            <w:vMerge w:val="restart"/>
          </w:tcPr>
          <w:p>
            <w:pPr>
              <w:ind w:left="80"/>
              <w:spacing w:after="0" w:line="142" w:lineRule="exact"/>
              <w:rPr>
                <w:sz w:val="20"/>
                <w:szCs w:val="20"/>
                <w:color w:val="auto"/>
              </w:rPr>
            </w:pPr>
            <w:r>
              <w:rPr>
                <w:rFonts w:ascii="Arial" w:cs="Arial" w:eastAsia="Arial" w:hAnsi="Arial"/>
                <w:sz w:val="14"/>
                <w:szCs w:val="14"/>
                <w:color w:val="auto"/>
              </w:rPr>
              <w:t>Weighted Avg Cost of Capital</w:t>
            </w:r>
          </w:p>
        </w:tc>
        <w:tc>
          <w:tcPr>
            <w:tcW w:w="3060" w:type="dxa"/>
            <w:vAlign w:val="bottom"/>
            <w:tcBorders>
              <w:right w:val="single" w:sz="8" w:color="auto"/>
            </w:tcBorders>
            <w:vMerge w:val="restart"/>
          </w:tcPr>
          <w:p>
            <w:pPr>
              <w:ind w:left="100"/>
              <w:spacing w:after="0" w:line="142" w:lineRule="exact"/>
              <w:rPr>
                <w:sz w:val="20"/>
                <w:szCs w:val="20"/>
                <w:color w:val="auto"/>
              </w:rPr>
            </w:pPr>
            <w:r>
              <w:rPr>
                <w:rFonts w:ascii="Arial" w:cs="Arial" w:eastAsia="Arial" w:hAnsi="Arial"/>
                <w:sz w:val="14"/>
                <w:szCs w:val="14"/>
                <w:color w:val="auto"/>
              </w:rPr>
              <w:t>9.3% - 14.4% (weighted average 15.7%)</w:t>
            </w:r>
          </w:p>
        </w:tc>
        <w:tc>
          <w:tcPr>
            <w:tcW w:w="0" w:type="dxa"/>
            <w:vAlign w:val="bottom"/>
          </w:tcPr>
          <w:p>
            <w:pPr>
              <w:spacing w:after="0"/>
              <w:rPr>
                <w:sz w:val="1"/>
                <w:szCs w:val="1"/>
                <w:color w:val="auto"/>
              </w:rPr>
            </w:pPr>
          </w:p>
        </w:tc>
      </w:tr>
      <w:tr>
        <w:trPr>
          <w:trHeight w:val="66"/>
        </w:trPr>
        <w:tc>
          <w:tcPr>
            <w:tcW w:w="2220" w:type="dxa"/>
            <w:vAlign w:val="bottom"/>
            <w:tcBorders>
              <w:left w:val="single" w:sz="8" w:color="auto"/>
              <w:bottom w:val="single" w:sz="8" w:color="auto"/>
              <w:right w:val="single" w:sz="8" w:color="auto"/>
            </w:tcBorders>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2120" w:type="dxa"/>
            <w:vAlign w:val="bottom"/>
            <w:tcBorders>
              <w:bottom w:val="single" w:sz="8" w:color="auto"/>
              <w:right w:val="single" w:sz="8" w:color="auto"/>
            </w:tcBorders>
          </w:tcPr>
          <w:p>
            <w:pPr>
              <w:spacing w:after="0"/>
              <w:rPr>
                <w:sz w:val="5"/>
                <w:szCs w:val="5"/>
                <w:color w:val="auto"/>
              </w:rPr>
            </w:pPr>
          </w:p>
        </w:tc>
        <w:tc>
          <w:tcPr>
            <w:tcW w:w="2260" w:type="dxa"/>
            <w:vAlign w:val="bottom"/>
            <w:tcBorders>
              <w:bottom w:val="single" w:sz="8" w:color="auto"/>
              <w:right w:val="single" w:sz="8" w:color="auto"/>
            </w:tcBorders>
            <w:vMerge w:val="continue"/>
          </w:tcPr>
          <w:p>
            <w:pPr>
              <w:spacing w:after="0"/>
              <w:rPr>
                <w:sz w:val="5"/>
                <w:szCs w:val="5"/>
                <w:color w:val="auto"/>
              </w:rPr>
            </w:pPr>
          </w:p>
        </w:tc>
        <w:tc>
          <w:tcPr>
            <w:tcW w:w="306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220" w:type="dxa"/>
            <w:vAlign w:val="bottom"/>
            <w:tcBorders>
              <w:left w:val="single" w:sz="8" w:color="auto"/>
              <w:right w:val="single" w:sz="8" w:color="auto"/>
            </w:tcBorders>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2120" w:type="dxa"/>
            <w:vAlign w:val="bottom"/>
            <w:tcBorders>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Discount Rate</w:t>
            </w:r>
          </w:p>
        </w:tc>
        <w:tc>
          <w:tcPr>
            <w:tcW w:w="306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7.5%-14% (weighted average 13.0%)</w:t>
            </w:r>
          </w:p>
        </w:tc>
        <w:tc>
          <w:tcPr>
            <w:tcW w:w="0" w:type="dxa"/>
            <w:vAlign w:val="bottom"/>
          </w:tcPr>
          <w:p>
            <w:pPr>
              <w:spacing w:after="0"/>
              <w:rPr>
                <w:sz w:val="1"/>
                <w:szCs w:val="1"/>
                <w:color w:val="auto"/>
              </w:rPr>
            </w:pPr>
          </w:p>
        </w:tc>
      </w:tr>
      <w:tr>
        <w:trPr>
          <w:trHeight w:val="142"/>
        </w:trPr>
        <w:tc>
          <w:tcPr>
            <w:tcW w:w="2220" w:type="dxa"/>
            <w:vAlign w:val="bottom"/>
            <w:tcBorders>
              <w:left w:val="single" w:sz="8" w:color="auto"/>
              <w:right w:val="single" w:sz="8" w:color="auto"/>
            </w:tcBorders>
          </w:tcPr>
          <w:p>
            <w:pPr>
              <w:spacing w:after="0"/>
              <w:rPr>
                <w:sz w:val="12"/>
                <w:szCs w:val="12"/>
                <w:color w:val="auto"/>
              </w:rPr>
            </w:pPr>
          </w:p>
        </w:tc>
        <w:tc>
          <w:tcPr>
            <w:tcW w:w="16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$66,492,259</w:t>
            </w:r>
          </w:p>
        </w:tc>
        <w:tc>
          <w:tcPr>
            <w:tcW w:w="2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Discounted Cash Flow</w:t>
            </w:r>
          </w:p>
        </w:tc>
        <w:tc>
          <w:tcPr>
            <w:tcW w:w="226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Probability of Default</w:t>
            </w:r>
          </w:p>
        </w:tc>
        <w:tc>
          <w:tcPr>
            <w:tcW w:w="306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w w:val="96"/>
              </w:rPr>
              <w:t>1.00%-2.50% (weighted average 1.47% - 2.18%)</w:t>
            </w:r>
          </w:p>
        </w:tc>
        <w:tc>
          <w:tcPr>
            <w:tcW w:w="0" w:type="dxa"/>
            <w:vAlign w:val="bottom"/>
          </w:tcPr>
          <w:p>
            <w:pPr>
              <w:spacing w:after="0"/>
              <w:rPr>
                <w:sz w:val="1"/>
                <w:szCs w:val="1"/>
                <w:color w:val="auto"/>
              </w:rPr>
            </w:pPr>
          </w:p>
        </w:tc>
      </w:tr>
      <w:tr>
        <w:trPr>
          <w:trHeight w:val="142"/>
        </w:trPr>
        <w:tc>
          <w:tcPr>
            <w:tcW w:w="2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color w:val="auto"/>
              </w:rPr>
              <w:t>CLO Fund Securities</w:t>
            </w:r>
          </w:p>
        </w:tc>
        <w:tc>
          <w:tcPr>
            <w:tcW w:w="1680" w:type="dxa"/>
            <w:vAlign w:val="bottom"/>
            <w:tcBorders>
              <w:right w:val="single" w:sz="8" w:color="auto"/>
            </w:tcBorders>
            <w:vMerge w:val="continue"/>
          </w:tcPr>
          <w:p>
            <w:pPr>
              <w:spacing w:after="0"/>
              <w:rPr>
                <w:sz w:val="12"/>
                <w:szCs w:val="12"/>
                <w:color w:val="auto"/>
              </w:rPr>
            </w:pPr>
          </w:p>
        </w:tc>
        <w:tc>
          <w:tcPr>
            <w:tcW w:w="2120" w:type="dxa"/>
            <w:vAlign w:val="bottom"/>
            <w:tcBorders>
              <w:right w:val="single" w:sz="8" w:color="auto"/>
            </w:tcBorders>
            <w:vMerge w:val="continue"/>
          </w:tcPr>
          <w:p>
            <w:pPr>
              <w:spacing w:after="0"/>
              <w:rPr>
                <w:sz w:val="12"/>
                <w:szCs w:val="12"/>
                <w:color w:val="auto"/>
              </w:rPr>
            </w:pPr>
          </w:p>
        </w:tc>
        <w:tc>
          <w:tcPr>
            <w:tcW w:w="226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Loss Severity</w:t>
            </w:r>
          </w:p>
        </w:tc>
        <w:tc>
          <w:tcPr>
            <w:tcW w:w="306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30%-40% (weighted average 31% - 36%)</w:t>
            </w:r>
          </w:p>
        </w:tc>
        <w:tc>
          <w:tcPr>
            <w:tcW w:w="0" w:type="dxa"/>
            <w:vAlign w:val="bottom"/>
          </w:tcPr>
          <w:p>
            <w:pPr>
              <w:spacing w:after="0"/>
              <w:rPr>
                <w:sz w:val="1"/>
                <w:szCs w:val="1"/>
                <w:color w:val="auto"/>
              </w:rPr>
            </w:pPr>
          </w:p>
        </w:tc>
      </w:tr>
      <w:tr>
        <w:trPr>
          <w:trHeight w:val="76"/>
        </w:trPr>
        <w:tc>
          <w:tcPr>
            <w:tcW w:w="2220" w:type="dxa"/>
            <w:vAlign w:val="bottom"/>
            <w:tcBorders>
              <w:left w:val="single" w:sz="8" w:color="auto"/>
              <w:right w:val="single" w:sz="8" w:color="auto"/>
            </w:tcBorders>
            <w:vMerge w:val="continue"/>
          </w:tcPr>
          <w:p>
            <w:pPr>
              <w:spacing w:after="0"/>
              <w:rPr>
                <w:sz w:val="6"/>
                <w:szCs w:val="6"/>
                <w:color w:val="auto"/>
              </w:rPr>
            </w:pPr>
          </w:p>
        </w:tc>
        <w:tc>
          <w:tcPr>
            <w:tcW w:w="1680" w:type="dxa"/>
            <w:vAlign w:val="bottom"/>
            <w:tcBorders>
              <w:right w:val="single" w:sz="8" w:color="auto"/>
            </w:tcBorders>
          </w:tcPr>
          <w:p>
            <w:pPr>
              <w:spacing w:after="0"/>
              <w:rPr>
                <w:sz w:val="6"/>
                <w:szCs w:val="6"/>
                <w:color w:val="auto"/>
              </w:rPr>
            </w:pPr>
          </w:p>
        </w:tc>
        <w:tc>
          <w:tcPr>
            <w:tcW w:w="2120" w:type="dxa"/>
            <w:vAlign w:val="bottom"/>
            <w:tcBorders>
              <w:right w:val="single" w:sz="8" w:color="auto"/>
            </w:tcBorders>
          </w:tcPr>
          <w:p>
            <w:pPr>
              <w:spacing w:after="0"/>
              <w:rPr>
                <w:sz w:val="6"/>
                <w:szCs w:val="6"/>
                <w:color w:val="auto"/>
              </w:rPr>
            </w:pPr>
          </w:p>
        </w:tc>
        <w:tc>
          <w:tcPr>
            <w:tcW w:w="2260" w:type="dxa"/>
            <w:vAlign w:val="bottom"/>
            <w:tcBorders>
              <w:right w:val="single" w:sz="8" w:color="auto"/>
            </w:tcBorders>
            <w:vMerge w:val="restart"/>
          </w:tcPr>
          <w:p>
            <w:pPr>
              <w:ind w:left="80"/>
              <w:spacing w:after="0" w:line="142" w:lineRule="exact"/>
              <w:rPr>
                <w:sz w:val="20"/>
                <w:szCs w:val="20"/>
                <w:color w:val="auto"/>
              </w:rPr>
            </w:pPr>
            <w:r>
              <w:rPr>
                <w:rFonts w:ascii="Arial" w:cs="Arial" w:eastAsia="Arial" w:hAnsi="Arial"/>
                <w:sz w:val="14"/>
                <w:szCs w:val="14"/>
                <w:color w:val="auto"/>
              </w:rPr>
              <w:t>Recovery Rate</w:t>
            </w:r>
          </w:p>
        </w:tc>
        <w:tc>
          <w:tcPr>
            <w:tcW w:w="3060" w:type="dxa"/>
            <w:vAlign w:val="bottom"/>
            <w:tcBorders>
              <w:right w:val="single" w:sz="8" w:color="auto"/>
            </w:tcBorders>
            <w:vMerge w:val="restart"/>
          </w:tcPr>
          <w:p>
            <w:pPr>
              <w:ind w:left="100"/>
              <w:spacing w:after="0" w:line="142" w:lineRule="exact"/>
              <w:rPr>
                <w:sz w:val="20"/>
                <w:szCs w:val="20"/>
                <w:color w:val="auto"/>
              </w:rPr>
            </w:pPr>
            <w:r>
              <w:rPr>
                <w:rFonts w:ascii="Arial" w:cs="Arial" w:eastAsia="Arial" w:hAnsi="Arial"/>
                <w:sz w:val="14"/>
                <w:szCs w:val="14"/>
                <w:color w:val="auto"/>
              </w:rPr>
              <w:t>60%-70% (weighted average 64% - 69%)</w:t>
            </w:r>
          </w:p>
        </w:tc>
        <w:tc>
          <w:tcPr>
            <w:tcW w:w="0" w:type="dxa"/>
            <w:vAlign w:val="bottom"/>
          </w:tcPr>
          <w:p>
            <w:pPr>
              <w:spacing w:after="0"/>
              <w:rPr>
                <w:sz w:val="1"/>
                <w:szCs w:val="1"/>
                <w:color w:val="auto"/>
              </w:rPr>
            </w:pPr>
          </w:p>
        </w:tc>
      </w:tr>
      <w:tr>
        <w:trPr>
          <w:trHeight w:val="71"/>
        </w:trPr>
        <w:tc>
          <w:tcPr>
            <w:tcW w:w="2220" w:type="dxa"/>
            <w:vAlign w:val="bottom"/>
            <w:tcBorders>
              <w:left w:val="single" w:sz="8" w:color="auto"/>
              <w:right w:val="single" w:sz="8" w:color="auto"/>
            </w:tcBorders>
          </w:tcPr>
          <w:p>
            <w:pPr>
              <w:spacing w:after="0"/>
              <w:rPr>
                <w:sz w:val="5"/>
                <w:szCs w:val="5"/>
                <w:color w:val="auto"/>
              </w:rPr>
            </w:pPr>
          </w:p>
        </w:tc>
        <w:tc>
          <w:tcPr>
            <w:tcW w:w="1680" w:type="dxa"/>
            <w:vAlign w:val="bottom"/>
            <w:tcBorders>
              <w:right w:val="single" w:sz="8" w:color="auto"/>
            </w:tcBorders>
          </w:tcPr>
          <w:p>
            <w:pPr>
              <w:spacing w:after="0"/>
              <w:rPr>
                <w:sz w:val="5"/>
                <w:szCs w:val="5"/>
                <w:color w:val="auto"/>
              </w:rPr>
            </w:pPr>
          </w:p>
        </w:tc>
        <w:tc>
          <w:tcPr>
            <w:tcW w:w="2120" w:type="dxa"/>
            <w:vAlign w:val="bottom"/>
            <w:tcBorders>
              <w:right w:val="single" w:sz="8" w:color="auto"/>
            </w:tcBorders>
          </w:tcPr>
          <w:p>
            <w:pPr>
              <w:spacing w:after="0"/>
              <w:rPr>
                <w:sz w:val="5"/>
                <w:szCs w:val="5"/>
                <w:color w:val="auto"/>
              </w:rPr>
            </w:pPr>
          </w:p>
        </w:tc>
        <w:tc>
          <w:tcPr>
            <w:tcW w:w="2260" w:type="dxa"/>
            <w:vAlign w:val="bottom"/>
            <w:tcBorders>
              <w:bottom w:val="single" w:sz="8" w:color="auto"/>
              <w:right w:val="single" w:sz="8" w:color="auto"/>
            </w:tcBorders>
            <w:vMerge w:val="continue"/>
          </w:tcPr>
          <w:p>
            <w:pPr>
              <w:spacing w:after="0"/>
              <w:rPr>
                <w:sz w:val="5"/>
                <w:szCs w:val="5"/>
                <w:color w:val="auto"/>
              </w:rPr>
            </w:pPr>
          </w:p>
        </w:tc>
        <w:tc>
          <w:tcPr>
            <w:tcW w:w="306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220" w:type="dxa"/>
            <w:vAlign w:val="bottom"/>
            <w:tcBorders>
              <w:left w:val="single" w:sz="8" w:color="auto"/>
              <w:right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spacing w:after="0"/>
              <w:rPr>
                <w:sz w:val="12"/>
                <w:szCs w:val="12"/>
                <w:color w:val="auto"/>
              </w:rPr>
            </w:pPr>
          </w:p>
        </w:tc>
        <w:tc>
          <w:tcPr>
            <w:tcW w:w="212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Prepayment Rate</w:t>
            </w:r>
          </w:p>
        </w:tc>
        <w:tc>
          <w:tcPr>
            <w:tcW w:w="306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2"/>
        </w:trPr>
        <w:tc>
          <w:tcPr>
            <w:tcW w:w="2220" w:type="dxa"/>
            <w:vAlign w:val="bottom"/>
            <w:tcBorders>
              <w:left w:val="single" w:sz="8" w:color="auto"/>
              <w:bottom w:val="single" w:sz="8" w:color="auto"/>
              <w:right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$11,777,800</w:t>
            </w:r>
          </w:p>
        </w:tc>
        <w:tc>
          <w:tcPr>
            <w:tcW w:w="212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Market Approach</w:t>
            </w:r>
          </w:p>
        </w:tc>
        <w:tc>
          <w:tcPr>
            <w:tcW w:w="226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Third Party Bid</w:t>
            </w:r>
          </w:p>
        </w:tc>
        <w:tc>
          <w:tcPr>
            <w:tcW w:w="306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87 - 88</w:t>
            </w:r>
          </w:p>
        </w:tc>
        <w:tc>
          <w:tcPr>
            <w:tcW w:w="0" w:type="dxa"/>
            <w:vAlign w:val="bottom"/>
          </w:tcPr>
          <w:p>
            <w:pPr>
              <w:spacing w:after="0"/>
              <w:rPr>
                <w:sz w:val="1"/>
                <w:szCs w:val="1"/>
                <w:color w:val="auto"/>
              </w:rPr>
            </w:pPr>
          </w:p>
        </w:tc>
      </w:tr>
      <w:tr>
        <w:trPr>
          <w:trHeight w:val="142"/>
        </w:trPr>
        <w:tc>
          <w:tcPr>
            <w:tcW w:w="222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Asset Manager Affiliates</w:t>
            </w:r>
          </w:p>
        </w:tc>
        <w:tc>
          <w:tcPr>
            <w:tcW w:w="168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$80,354,000</w:t>
            </w:r>
          </w:p>
        </w:tc>
        <w:tc>
          <w:tcPr>
            <w:tcW w:w="212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Discounted Cash Flow</w:t>
            </w:r>
          </w:p>
        </w:tc>
        <w:tc>
          <w:tcPr>
            <w:tcW w:w="226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Discount Rate</w:t>
            </w:r>
          </w:p>
        </w:tc>
        <w:tc>
          <w:tcPr>
            <w:tcW w:w="306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1.5% - 11.87% (weighted average 7.88%)</w:t>
            </w:r>
          </w:p>
        </w:tc>
        <w:tc>
          <w:tcPr>
            <w:tcW w:w="0" w:type="dxa"/>
            <w:vAlign w:val="bottom"/>
          </w:tcPr>
          <w:p>
            <w:pPr>
              <w:spacing w:after="0"/>
              <w:rPr>
                <w:sz w:val="1"/>
                <w:szCs w:val="1"/>
                <w:color w:val="auto"/>
              </w:rPr>
            </w:pPr>
          </w:p>
        </w:tc>
      </w:tr>
      <w:tr>
        <w:trPr>
          <w:trHeight w:val="210"/>
        </w:trPr>
        <w:tc>
          <w:tcPr>
            <w:tcW w:w="22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TOTAL</w:t>
            </w:r>
          </w:p>
        </w:tc>
        <w:tc>
          <w:tcPr>
            <w:tcW w:w="16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247,584,330</w:t>
            </w:r>
          </w:p>
        </w:tc>
        <w:tc>
          <w:tcPr>
            <w:tcW w:w="212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3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significant unobservable inputs used in the fair value measurement of the Company’s debt securities include the comparable yields of similar investments in similar industries, effective discount rates, average EBITDA multiples, and weighted average cost of capital. Significant increases or decreases in such comparable yields would result in a significantly lower or higher fair value measurement.</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7" w:name="page38"/>
    <w:bookmarkEnd w:id="37"/>
    <w:p>
      <w:pPr>
        <w:jc w:val="both"/>
        <w:ind w:right="360" w:firstLine="324"/>
        <w:spacing w:after="0" w:line="264" w:lineRule="auto"/>
        <w:rPr>
          <w:sz w:val="20"/>
          <w:szCs w:val="20"/>
          <w:color w:val="auto"/>
        </w:rPr>
      </w:pPr>
      <w:r>
        <w:rPr>
          <w:rFonts w:ascii="Arial" w:cs="Arial" w:eastAsia="Arial" w:hAnsi="Arial"/>
          <w:sz w:val="18"/>
          <w:szCs w:val="18"/>
          <w:color w:val="auto"/>
        </w:rPr>
        <w:t>The significant unobservable inputs used in the fair value measurement of the Company’s equity securities include the EBITDA multiple of similar investments in similar industries and the weighted average cost of capital. Significant increases or decreases in such inputs would result in a significantly lower or higher fair value measurement.</w:t>
      </w:r>
    </w:p>
    <w:p>
      <w:pPr>
        <w:spacing w:after="0" w:line="181"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Significant unobservable inputs used in the fair value measurement of the Company’s CLO Fund securities include default rates, recovery rates, prepayment rates, and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 Significant increases or decreases in probability of default and loss severity inputs in isolation would result in a significantly lower or higher fair value measurement. In general, a change in the assumption of the probability of default is accompanied by a directionally similar change in the assumption used for the loss severity in an event of default. Significant increases or decreases in the discount rate in isolation would result in a significantly lower or higher fair value measurement.</w:t>
      </w:r>
    </w:p>
    <w:p>
      <w:pPr>
        <w:spacing w:after="0" w:line="17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significant unobservable inputs used in the fair value measurement of the Asset Manager Affiliates is the discount rate used to present value prospective cash flows. Prospective revenues are generally based on a fixed percentage of the par value of CLO Fund assets under management and are recurring in nature for the term of the CLO Fund so long as the Asset Manager Affiliates manage the fund. As a result, the annual management fees earned by the Asset Manager Affiliates are not subject to market value fluctuations in the underlying collateral. The discounted cash flow model incorporates different levels of discount rates depending on the hierarchy of fees earned (including the likelihood of realization of senior, subordinate and incentive fees) and prospective modeled performance. Significant increases or decreases in such discount rate would result in a significantly lower or higher fair value measurement.</w:t>
      </w:r>
    </w:p>
    <w:p>
      <w:pPr>
        <w:spacing w:after="0" w:line="18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qualitative inputs used in the fair value measurements of the Debt Securities include estimates of the distressed liquidation value of the pledged collateral.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ASSET MANAGER AFFILIATES</w:t>
      </w:r>
    </w:p>
    <w:p>
      <w:pPr>
        <w:spacing w:after="0" w:line="22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Asset Manager Affiliates are wholly-owned portfolio companies. The Asset Manager Affiliates manage CLO Funds primarily for third party investors that invest in broadly syndicated loans, high yield bonds and other credit instruments issued by corporations. At March 31, 2013, Asset Manager Affiliates had approximately $3.5 billion of par value of assets under management, and the Company’s 100% equity interest in the Asset Manager Affiliates was valued at approximately $80 million.</w:t>
      </w:r>
    </w:p>
    <w:p>
      <w:pPr>
        <w:spacing w:after="0" w:line="187"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As a manager of the CLO Funds, the Asset Manager Affiliates receive contractual and recurring management fees from the CLO Funds for their management and advisory services. The annual fees which the Asset Manager Affiliates receive are generally based on a fixed percentage of assets under management (at par value and not subject to changes in market value), and the Asset Manager Affiliates generate annual operating income equal to the amount by which their fee income exceeds their operating expenses. The annual management fees the Asset Manager Affiliates receive have two components</w:t>
      </w:r>
    </w:p>
    <w:p>
      <w:pPr>
        <w:spacing w:after="0" w:line="2" w:lineRule="exact"/>
        <w:rPr>
          <w:sz w:val="20"/>
          <w:szCs w:val="20"/>
          <w:color w:val="auto"/>
        </w:rPr>
      </w:pPr>
    </w:p>
    <w:p>
      <w:pPr>
        <w:ind w:right="360" w:firstLine="8"/>
        <w:spacing w:after="0" w:line="261" w:lineRule="auto"/>
        <w:tabs>
          <w:tab w:leader="none" w:pos="10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senior management fee and a subordinated management fee. Currently, all CLO Funds managed by the Asset Manager Affiliates are paying both their senior and subordinated management fees on a current basis.</w:t>
      </w:r>
    </w:p>
    <w:p>
      <w:pPr>
        <w:spacing w:after="0" w:line="18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revenue that the Asset Manager Affiliates generate through the fees they receive for managing CLO Funds and after paying the expenses associated with their operations, including compensation of their employees, may be distributed to the Company. Any distributions of the Asset Manager Affiliates’ net income are recorded as “dividends from affiliate asset managers” and are recorded as declared (where declaration date represents ex-dividend date) by the Asset Manager Affiliates as income on the Company’s statement of operations. For the three months ended March 31, 2013, the Asset Manager Affiliates made distributions of $3 million to the Company. For the three months ended March 31, 2012, the Asset Manager Affiliates made distributions of $825,000 to the Company; dividends are recorded as declared (where declaration date represents ex-dividend date) by the Asset Manager Affiliates as income on the Company’s statement of operations.</w:t>
      </w:r>
    </w:p>
    <w:p>
      <w:pPr>
        <w:spacing w:after="0" w:line="18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As with all other investments, the Asset Manager Affiliates’ fair value is determined quarterly. The valuation is primarily based on an analysis of both a percentage of their assets under management and the Asset Manager Affiliates’ estimated operating income. Any change in value from period to period is recognized as unrealized gain or loss. See Note 2, “Significant Accounting Policies” and Note 4, “Investments” for further information relating to the Company’s valuation methodology. For the three months ended March 31, 2013 the Asset Manager Affiliates had an increase in unrealized appreciation of approximately $3.1 million.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8" w:name="page39"/>
    <w:bookmarkEnd w:id="38"/>
    <w:p>
      <w:pPr>
        <w:ind w:right="40" w:firstLine="324"/>
        <w:spacing w:after="0" w:line="272" w:lineRule="auto"/>
        <w:rPr>
          <w:sz w:val="20"/>
          <w:szCs w:val="20"/>
          <w:color w:val="auto"/>
        </w:rPr>
      </w:pPr>
      <w:r>
        <w:rPr>
          <w:rFonts w:ascii="Arial" w:cs="Arial" w:eastAsia="Arial" w:hAnsi="Arial"/>
          <w:sz w:val="17"/>
          <w:szCs w:val="17"/>
          <w:color w:val="auto"/>
        </w:rPr>
        <w:t>Effective January 1, 2010, the Asset Manager Affiliates adopted guidance encompassed in Accounting Standards Codification Topic 810, “Consolidation.” The adoption of this new guidance had an impact on the disclosures relating to the Asset Manager Affiliates which had previously not been required, as its provisions require the Asset Manager Affiliates to consolidate certain of their managed CLO Funds that were not previously consolidated. As a result of the consolidation of these CLO Funds into the Asset Manager Affiliates, the financial results of the Asset Manager Affiliates indicate that they qualify as a “significant subsidiary” of the Company requiring the following additional disclosures. In addition, Katonah 2007-I CLO qualifies as a “significant subsidiary” of the Company and is also required to make the additional disclosures. These disclosures regarding the Asset Manager Affiliates and Katonah 2007-I CLO do not directly impact the financial position, results of operations or cash flows of the Company.</w:t>
      </w:r>
    </w:p>
    <w:p>
      <w:pPr>
        <w:spacing w:after="0" w:line="17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Asset Manager Affiliates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Summarized Balance Sheet Information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As of</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As of</w:t>
            </w:r>
          </w:p>
        </w:tc>
      </w:tr>
      <w:tr>
        <w:trPr>
          <w:trHeight w:val="234"/>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March 31, 2013</w:t>
            </w:r>
          </w:p>
        </w:tc>
        <w:tc>
          <w:tcPr>
            <w:tcW w:w="2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2012</w:t>
            </w:r>
          </w:p>
        </w:tc>
      </w:tr>
      <w:tr>
        <w:trPr>
          <w:trHeight w:val="210"/>
        </w:trPr>
        <w:tc>
          <w:tcPr>
            <w:tcW w:w="80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Investments of CLO Funds, at fair value</w:t>
            </w:r>
          </w:p>
        </w:tc>
        <w:tc>
          <w:tcPr>
            <w:tcW w:w="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3,153,246,598</w:t>
            </w:r>
          </w:p>
        </w:tc>
        <w:tc>
          <w:tcPr>
            <w:tcW w:w="3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3,255,805,442</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Restricted cash of CLO Funds</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399,208,297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53,322,266</w:t>
            </w:r>
          </w:p>
        </w:tc>
      </w:tr>
      <w:tr>
        <w:trPr>
          <w:trHeight w:val="216"/>
        </w:trPr>
        <w:tc>
          <w:tcPr>
            <w:tcW w:w="8000" w:type="dxa"/>
            <w:vAlign w:val="bottom"/>
            <w:shd w:val="clear" w:color="auto" w:fill="CCFFCC"/>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3,667,735,603</w:t>
            </w: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3,847,297,787</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CLO Fund liabilities at fair value</w:t>
            </w:r>
          </w:p>
        </w:tc>
        <w:tc>
          <w:tcPr>
            <w:tcW w:w="12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3,385,428,629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3,459,529,711</w:t>
            </w:r>
          </w:p>
        </w:tc>
      </w:tr>
      <w:tr>
        <w:trPr>
          <w:trHeight w:val="216"/>
        </w:trPr>
        <w:tc>
          <w:tcPr>
            <w:tcW w:w="8000" w:type="dxa"/>
            <w:vAlign w:val="bottom"/>
            <w:shd w:val="clear" w:color="auto" w:fill="CCFFCC"/>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3,529,735,430</w:t>
            </w: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3,698,915,974</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Appropriated retained earnings of consolidated VIEs</w:t>
            </w:r>
          </w:p>
        </w:tc>
        <w:tc>
          <w:tcPr>
            <w:tcW w:w="120" w:type="dxa"/>
            <w:vAlign w:val="bottom"/>
          </w:tcPr>
          <w:p>
            <w:pPr>
              <w:spacing w:after="0"/>
              <w:rPr>
                <w:sz w:val="20"/>
                <w:szCs w:val="20"/>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92,826,264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104,870,995</w:t>
            </w:r>
          </w:p>
        </w:tc>
      </w:tr>
      <w:tr>
        <w:trPr>
          <w:trHeight w:val="431"/>
        </w:trPr>
        <w:tc>
          <w:tcPr>
            <w:tcW w:w="8000" w:type="dxa"/>
            <w:vAlign w:val="bottom"/>
          </w:tcPr>
          <w:p>
            <w:pPr>
              <w:ind w:left="4720"/>
              <w:spacing w:after="0"/>
              <w:rPr>
                <w:sz w:val="20"/>
                <w:szCs w:val="20"/>
                <w:color w:val="auto"/>
              </w:rPr>
            </w:pPr>
            <w:r>
              <w:rPr>
                <w:rFonts w:ascii="Arial" w:cs="Arial" w:eastAsia="Arial" w:hAnsi="Arial"/>
                <w:sz w:val="18"/>
                <w:szCs w:val="18"/>
                <w:b w:val="1"/>
                <w:bCs w:val="1"/>
                <w:color w:val="auto"/>
              </w:rPr>
              <w:t>Asset Manager Affiliates</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8000" w:type="dxa"/>
            <w:vAlign w:val="bottom"/>
          </w:tcPr>
          <w:p>
            <w:pPr>
              <w:ind w:left="3380"/>
              <w:spacing w:after="0"/>
              <w:rPr>
                <w:sz w:val="20"/>
                <w:szCs w:val="20"/>
                <w:color w:val="auto"/>
              </w:rPr>
            </w:pPr>
            <w:r>
              <w:rPr>
                <w:rFonts w:ascii="Arial" w:cs="Arial" w:eastAsia="Arial" w:hAnsi="Arial"/>
                <w:sz w:val="18"/>
                <w:szCs w:val="18"/>
                <w:color w:val="auto"/>
                <w:w w:val="91"/>
              </w:rPr>
              <w:t>Summarized Statements of Operations Information (unaudited)</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For the three months ended</w:t>
            </w:r>
          </w:p>
        </w:tc>
      </w:tr>
      <w:tr>
        <w:trPr>
          <w:trHeight w:val="234"/>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gridSpan w:val="6"/>
          </w:tcPr>
          <w:p>
            <w:pPr>
              <w:jc w:val="right"/>
              <w:ind w:right="1360"/>
              <w:spacing w:after="0"/>
              <w:rPr>
                <w:sz w:val="20"/>
                <w:szCs w:val="20"/>
                <w:color w:val="auto"/>
              </w:rPr>
            </w:pPr>
            <w:r>
              <w:rPr>
                <w:rFonts w:ascii="Arial" w:cs="Arial" w:eastAsia="Arial" w:hAnsi="Arial"/>
                <w:sz w:val="18"/>
                <w:szCs w:val="18"/>
                <w:b w:val="1"/>
                <w:bCs w:val="1"/>
                <w:color w:val="auto"/>
              </w:rPr>
              <w:t>March 31,</w:t>
            </w:r>
          </w:p>
        </w:tc>
      </w:tr>
      <w:tr>
        <w:trPr>
          <w:trHeight w:val="223"/>
        </w:trPr>
        <w:tc>
          <w:tcPr>
            <w:tcW w:w="8000" w:type="dxa"/>
            <w:vAlign w:val="bottom"/>
            <w:tcBorders>
              <w:bottom w:val="single" w:sz="8" w:color="CCFFC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2013</w:t>
            </w:r>
          </w:p>
        </w:tc>
        <w:tc>
          <w:tcPr>
            <w:tcW w:w="320" w:type="dxa"/>
            <w:vAlign w:val="bottom"/>
            <w:tcBorders>
              <w:top w:val="single" w:sz="8" w:color="auto"/>
              <w:bottom w:val="single" w:sz="8" w:color="CCFFCC"/>
            </w:tcBorders>
          </w:tcPr>
          <w:p>
            <w:pPr>
              <w:spacing w:after="0"/>
              <w:rPr>
                <w:sz w:val="19"/>
                <w:szCs w:val="19"/>
                <w:color w:val="auto"/>
              </w:rPr>
            </w:pPr>
          </w:p>
        </w:tc>
        <w:tc>
          <w:tcPr>
            <w:tcW w:w="20" w:type="dxa"/>
            <w:vAlign w:val="bottom"/>
            <w:tcBorders>
              <w:top w:val="single" w:sz="8" w:color="auto"/>
              <w:bottom w:val="single" w:sz="8" w:color="CCFFC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Borders>
              <w:bottom w:val="single" w:sz="8" w:color="CCFFCC"/>
            </w:tcBorders>
          </w:tcPr>
          <w:p>
            <w:pPr>
              <w:spacing w:after="0"/>
              <w:rPr>
                <w:sz w:val="19"/>
                <w:szCs w:val="19"/>
                <w:color w:val="auto"/>
              </w:rPr>
            </w:pPr>
          </w:p>
        </w:tc>
      </w:tr>
      <w:tr>
        <w:trPr>
          <w:trHeight w:val="210"/>
        </w:trPr>
        <w:tc>
          <w:tcPr>
            <w:tcW w:w="8000" w:type="dxa"/>
            <w:vAlign w:val="bottom"/>
            <w:shd w:val="clear" w:color="auto" w:fill="CCFFCC"/>
          </w:tcPr>
          <w:p>
            <w:pPr>
              <w:spacing w:after="0"/>
              <w:rPr>
                <w:sz w:val="20"/>
                <w:szCs w:val="20"/>
                <w:color w:val="auto"/>
              </w:rPr>
            </w:pPr>
            <w:r>
              <w:rPr>
                <w:rFonts w:ascii="Arial" w:cs="Arial" w:eastAsia="Arial" w:hAnsi="Arial"/>
                <w:sz w:val="18"/>
                <w:szCs w:val="18"/>
                <w:color w:val="auto"/>
              </w:rPr>
              <w:t>Interest income - investments of CLO Funds</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33,267,427</w:t>
            </w:r>
          </w:p>
        </w:tc>
        <w:tc>
          <w:tcPr>
            <w:tcW w:w="3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29,764,690</w:t>
            </w:r>
          </w:p>
        </w:tc>
        <w:tc>
          <w:tcPr>
            <w:tcW w:w="100" w:type="dxa"/>
            <w:vAlign w:val="bottom"/>
            <w:shd w:val="clear" w:color="auto" w:fill="CCFFCC"/>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Total income</w:t>
            </w:r>
          </w:p>
        </w:tc>
        <w:tc>
          <w:tcPr>
            <w:tcW w:w="12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36,311,272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32,187,154</w:t>
            </w:r>
          </w:p>
        </w:tc>
      </w:tr>
      <w:tr>
        <w:trPr>
          <w:trHeight w:val="216"/>
        </w:trPr>
        <w:tc>
          <w:tcPr>
            <w:tcW w:w="8000" w:type="dxa"/>
            <w:vAlign w:val="bottom"/>
            <w:shd w:val="clear" w:color="auto" w:fill="CCFFCC"/>
          </w:tcPr>
          <w:p>
            <w:pPr>
              <w:spacing w:after="0"/>
              <w:rPr>
                <w:sz w:val="20"/>
                <w:szCs w:val="20"/>
                <w:color w:val="auto"/>
              </w:rPr>
            </w:pPr>
            <w:r>
              <w:rPr>
                <w:rFonts w:ascii="Arial" w:cs="Arial" w:eastAsia="Arial" w:hAnsi="Arial"/>
                <w:sz w:val="18"/>
                <w:szCs w:val="18"/>
                <w:color w:val="auto"/>
              </w:rPr>
              <w:t>Interest expense of CLO Fund liabilities</w:t>
            </w:r>
          </w:p>
        </w:tc>
        <w:tc>
          <w:tcPr>
            <w:tcW w:w="12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29,772,085</w:t>
            </w: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30,541,329</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Total expenses</w:t>
            </w:r>
          </w:p>
        </w:tc>
        <w:tc>
          <w:tcPr>
            <w:tcW w:w="12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34,844,224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34,777,990</w:t>
            </w:r>
          </w:p>
        </w:tc>
      </w:tr>
      <w:tr>
        <w:trPr>
          <w:trHeight w:val="216"/>
        </w:trPr>
        <w:tc>
          <w:tcPr>
            <w:tcW w:w="8000" w:type="dxa"/>
            <w:vAlign w:val="bottom"/>
            <w:shd w:val="clear" w:color="auto" w:fill="CCFFCC"/>
          </w:tcPr>
          <w:p>
            <w:pPr>
              <w:spacing w:after="0"/>
              <w:rPr>
                <w:sz w:val="20"/>
                <w:szCs w:val="20"/>
                <w:color w:val="auto"/>
              </w:rPr>
            </w:pPr>
            <w:r>
              <w:rPr>
                <w:rFonts w:ascii="Arial" w:cs="Arial" w:eastAsia="Arial" w:hAnsi="Arial"/>
                <w:sz w:val="18"/>
                <w:szCs w:val="18"/>
                <w:color w:val="auto"/>
              </w:rPr>
              <w:t>Net realized and unrealized gains (losses)</w:t>
            </w:r>
          </w:p>
        </w:tc>
        <w:tc>
          <w:tcPr>
            <w:tcW w:w="12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(9,478,937)</w:t>
            </w: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(6,226,958)</w:t>
            </w:r>
          </w:p>
        </w:tc>
      </w:tr>
      <w:tr>
        <w:trPr>
          <w:trHeight w:val="202"/>
        </w:trPr>
        <w:tc>
          <w:tcPr>
            <w:tcW w:w="8000" w:type="dxa"/>
            <w:vAlign w:val="bottom"/>
          </w:tcPr>
          <w:p>
            <w:pPr>
              <w:spacing w:after="0" w:line="201" w:lineRule="exact"/>
              <w:rPr>
                <w:sz w:val="20"/>
                <w:szCs w:val="20"/>
                <w:color w:val="auto"/>
              </w:rPr>
            </w:pPr>
            <w:r>
              <w:rPr>
                <w:rFonts w:ascii="Arial" w:cs="Arial" w:eastAsia="Arial" w:hAnsi="Arial"/>
                <w:sz w:val="18"/>
                <w:szCs w:val="18"/>
                <w:color w:val="auto"/>
                <w:w w:val="98"/>
              </w:rPr>
              <w:t>Net income (loss) attributable to noncontrolling interests in consolidated consolidated Variable Interest</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Entities</w:t>
            </w:r>
          </w:p>
        </w:tc>
        <w:tc>
          <w:tcPr>
            <w:tcW w:w="120" w:type="dxa"/>
            <w:vAlign w:val="bottom"/>
          </w:tcPr>
          <w:p>
            <w:pPr>
              <w:spacing w:after="0"/>
              <w:rPr>
                <w:sz w:val="20"/>
                <w:szCs w:val="20"/>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(9,171,141)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(8,615,948)</w:t>
            </w:r>
          </w:p>
        </w:tc>
      </w:tr>
      <w:tr>
        <w:trPr>
          <w:trHeight w:val="216"/>
        </w:trPr>
        <w:tc>
          <w:tcPr>
            <w:tcW w:w="8000" w:type="dxa"/>
            <w:vAlign w:val="bottom"/>
            <w:shd w:val="clear" w:color="auto" w:fill="CCFFCC"/>
          </w:tcPr>
          <w:p>
            <w:pPr>
              <w:spacing w:after="0"/>
              <w:rPr>
                <w:sz w:val="20"/>
                <w:szCs w:val="20"/>
                <w:color w:val="auto"/>
              </w:rPr>
            </w:pPr>
            <w:r>
              <w:rPr>
                <w:rFonts w:ascii="Arial" w:cs="Arial" w:eastAsia="Arial" w:hAnsi="Arial"/>
                <w:sz w:val="18"/>
                <w:szCs w:val="18"/>
                <w:color w:val="auto"/>
              </w:rPr>
              <w:t>Net income (loss) attributable to Asset Manager Affiliates</w:t>
            </w: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762,649</w:t>
            </w:r>
          </w:p>
        </w:tc>
        <w:tc>
          <w:tcPr>
            <w:tcW w:w="3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(380,021)</w:t>
            </w:r>
          </w:p>
        </w:tc>
      </w:tr>
      <w:tr>
        <w:trPr>
          <w:trHeight w:val="418"/>
        </w:trPr>
        <w:tc>
          <w:tcPr>
            <w:tcW w:w="8000" w:type="dxa"/>
            <w:vAlign w:val="bottom"/>
          </w:tcPr>
          <w:p>
            <w:pPr>
              <w:jc w:val="center"/>
              <w:ind w:left="3330"/>
              <w:spacing w:after="0"/>
              <w:rPr>
                <w:sz w:val="20"/>
                <w:szCs w:val="20"/>
                <w:color w:val="auto"/>
              </w:rPr>
            </w:pPr>
            <w:r>
              <w:rPr>
                <w:rFonts w:ascii="Arial" w:cs="Arial" w:eastAsia="Arial" w:hAnsi="Arial"/>
                <w:sz w:val="18"/>
                <w:szCs w:val="18"/>
                <w:b w:val="1"/>
                <w:bCs w:val="1"/>
                <w:color w:val="auto"/>
                <w:w w:val="96"/>
              </w:rPr>
              <w:t>Katonah 2007-I CLO Ltd.</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8000" w:type="dxa"/>
            <w:vAlign w:val="bottom"/>
          </w:tcPr>
          <w:p>
            <w:pPr>
              <w:jc w:val="center"/>
              <w:ind w:left="3350"/>
              <w:spacing w:after="0"/>
              <w:rPr>
                <w:sz w:val="20"/>
                <w:szCs w:val="20"/>
                <w:color w:val="auto"/>
              </w:rPr>
            </w:pPr>
            <w:r>
              <w:rPr>
                <w:rFonts w:ascii="Arial" w:cs="Arial" w:eastAsia="Arial" w:hAnsi="Arial"/>
                <w:sz w:val="18"/>
                <w:szCs w:val="18"/>
                <w:color w:val="auto"/>
                <w:w w:val="90"/>
              </w:rPr>
              <w:t>Summarized Balance Sheet Information (unaudited)</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As of</w:t>
            </w:r>
          </w:p>
        </w:tc>
      </w:tr>
      <w:tr>
        <w:trPr>
          <w:trHeight w:val="234"/>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March 31, 2013</w:t>
            </w:r>
          </w:p>
        </w:tc>
      </w:tr>
      <w:tr>
        <w:trPr>
          <w:trHeight w:val="210"/>
        </w:trPr>
        <w:tc>
          <w:tcPr>
            <w:tcW w:w="80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investments at fair value</w:t>
            </w:r>
          </w:p>
        </w:tc>
        <w:tc>
          <w:tcPr>
            <w:tcW w:w="120" w:type="dxa"/>
            <w:vAlign w:val="bottom"/>
            <w:tcBorders>
              <w:top w:val="single" w:sz="8" w:color="CCFFCC"/>
            </w:tcBorders>
            <w:shd w:val="clear" w:color="auto" w:fill="CCFFCC"/>
          </w:tcPr>
          <w:p>
            <w:pPr>
              <w:spacing w:after="0"/>
              <w:rPr>
                <w:sz w:val="18"/>
                <w:szCs w:val="18"/>
                <w:color w:val="auto"/>
              </w:rPr>
            </w:pPr>
          </w:p>
        </w:tc>
        <w:tc>
          <w:tcPr>
            <w:tcW w:w="138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gridSpan w:val="2"/>
            <w:shd w:val="clear" w:color="auto" w:fill="CCFFCC"/>
          </w:tcPr>
          <w:p>
            <w:pPr>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302,464,094</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22,944,935</w:t>
            </w:r>
          </w:p>
        </w:tc>
      </w:tr>
      <w:tr>
        <w:trPr>
          <w:trHeight w:val="216"/>
        </w:trPr>
        <w:tc>
          <w:tcPr>
            <w:tcW w:w="8000" w:type="dxa"/>
            <w:vAlign w:val="bottom"/>
            <w:shd w:val="clear" w:color="auto" w:fill="CCFFCC"/>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329,213,882</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CLO Debt at fair value</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314,551,967</w:t>
            </w:r>
          </w:p>
        </w:tc>
      </w:tr>
      <w:tr>
        <w:trPr>
          <w:trHeight w:val="216"/>
        </w:trPr>
        <w:tc>
          <w:tcPr>
            <w:tcW w:w="8000" w:type="dxa"/>
            <w:vAlign w:val="bottom"/>
            <w:shd w:val="clear" w:color="auto" w:fill="CCFFCC"/>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322,522,864</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Total Net Assets</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6,691,012</w:t>
            </w:r>
          </w:p>
        </w:tc>
      </w:tr>
      <w:tr>
        <w:trPr>
          <w:trHeight w:val="661"/>
        </w:trPr>
        <w:tc>
          <w:tcPr>
            <w:tcW w:w="8000" w:type="dxa"/>
            <w:vAlign w:val="bottom"/>
            <w:tcBorders>
              <w:bottom w:val="single" w:sz="8" w:color="auto"/>
            </w:tcBorders>
          </w:tcPr>
          <w:p>
            <w:pPr>
              <w:jc w:val="center"/>
              <w:ind w:left="3330"/>
              <w:spacing w:after="0"/>
              <w:rPr>
                <w:sz w:val="20"/>
                <w:szCs w:val="20"/>
                <w:color w:val="auto"/>
              </w:rPr>
            </w:pPr>
            <w:r>
              <w:rPr>
                <w:rFonts w:ascii="Arial" w:cs="Arial" w:eastAsia="Arial" w:hAnsi="Arial"/>
                <w:sz w:val="18"/>
                <w:szCs w:val="18"/>
                <w:color w:val="auto"/>
                <w:w w:val="89"/>
              </w:rPr>
              <w:t>37</w:t>
            </w: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Katonah 2007-I CLO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Statements of Operations Information (unaudited)</w:t>
      </w:r>
    </w:p>
    <w:p>
      <w:pPr>
        <w:spacing w:after="0" w:line="207" w:lineRule="exact"/>
        <w:rPr>
          <w:sz w:val="20"/>
          <w:szCs w:val="20"/>
          <w:color w:val="auto"/>
        </w:rPr>
      </w:pPr>
    </w:p>
    <w:p>
      <w:pPr>
        <w:jc w:val="center"/>
        <w:ind w:left="9680"/>
        <w:spacing w:after="0"/>
        <w:rPr>
          <w:sz w:val="20"/>
          <w:szCs w:val="20"/>
          <w:color w:val="auto"/>
        </w:rPr>
      </w:pPr>
      <w:r>
        <w:rPr>
          <w:rFonts w:ascii="Arial" w:cs="Arial" w:eastAsia="Arial" w:hAnsi="Arial"/>
          <w:sz w:val="18"/>
          <w:szCs w:val="18"/>
          <w:b w:val="1"/>
          <w:bCs w:val="1"/>
          <w:color w:val="auto"/>
        </w:rPr>
        <w:t>For the three</w:t>
      </w:r>
    </w:p>
    <w:p>
      <w:pPr>
        <w:spacing w:after="0" w:line="27" w:lineRule="exact"/>
        <w:rPr>
          <w:sz w:val="20"/>
          <w:szCs w:val="20"/>
          <w:color w:val="auto"/>
        </w:rPr>
      </w:pPr>
    </w:p>
    <w:p>
      <w:pPr>
        <w:jc w:val="center"/>
        <w:ind w:left="9720"/>
        <w:spacing w:after="0"/>
        <w:rPr>
          <w:sz w:val="20"/>
          <w:szCs w:val="20"/>
          <w:color w:val="auto"/>
        </w:rPr>
      </w:pPr>
      <w:r>
        <w:rPr>
          <w:rFonts w:ascii="Arial" w:cs="Arial" w:eastAsia="Arial" w:hAnsi="Arial"/>
          <w:sz w:val="18"/>
          <w:szCs w:val="18"/>
          <w:b w:val="1"/>
          <w:bCs w:val="1"/>
          <w:color w:val="auto"/>
        </w:rPr>
        <w:t>months ended</w:t>
      </w:r>
    </w:p>
    <w:p>
      <w:pPr>
        <w:spacing w:after="0" w:line="9" w:lineRule="exact"/>
        <w:rPr>
          <w:sz w:val="20"/>
          <w:szCs w:val="20"/>
          <w:color w:val="auto"/>
        </w:rPr>
      </w:pPr>
    </w:p>
    <w:p>
      <w:pPr>
        <w:jc w:val="center"/>
        <w:ind w:left="9720"/>
        <w:spacing w:after="0"/>
        <w:rPr>
          <w:sz w:val="20"/>
          <w:szCs w:val="20"/>
          <w:color w:val="auto"/>
        </w:rPr>
      </w:pPr>
      <w:r>
        <w:rPr>
          <w:rFonts w:ascii="Arial" w:cs="Arial" w:eastAsia="Arial" w:hAnsi="Arial"/>
          <w:sz w:val="18"/>
          <w:szCs w:val="18"/>
          <w:b w:val="1"/>
          <w:bCs w:val="1"/>
          <w:color w:val="auto"/>
        </w:rPr>
        <w:t>March 31,</w:t>
      </w:r>
    </w:p>
    <w:p>
      <w:pPr>
        <w:spacing w:after="0" w:line="23" w:lineRule="exact"/>
        <w:rPr>
          <w:sz w:val="20"/>
          <w:szCs w:val="20"/>
          <w:color w:val="auto"/>
        </w:rPr>
      </w:pPr>
    </w:p>
    <w:p>
      <w:pPr>
        <w:ind w:left="10380"/>
        <w:spacing w:after="0"/>
        <w:rPr>
          <w:sz w:val="20"/>
          <w:szCs w:val="20"/>
          <w:color w:val="auto"/>
        </w:rPr>
      </w:pPr>
      <w:r>
        <w:rPr>
          <w:rFonts w:ascii="Arial" w:cs="Arial" w:eastAsia="Arial" w:hAnsi="Arial"/>
          <w:sz w:val="18"/>
          <w:szCs w:val="18"/>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6239510</wp:posOffset>
            </wp:positionH>
            <wp:positionV relativeFrom="paragraph">
              <wp:posOffset>-130810</wp:posOffset>
            </wp:positionV>
            <wp:extent cx="94361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8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Interest income from investments</w:t>
            </w:r>
          </w:p>
        </w:tc>
        <w:tc>
          <w:tcPr>
            <w:tcW w:w="400" w:type="dxa"/>
            <w:vAlign w:val="bottom"/>
            <w:tcBorders>
              <w:top w:val="single" w:sz="8" w:color="auto"/>
            </w:tcBorders>
            <w:shd w:val="clear" w:color="auto" w:fill="CCFFCC"/>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3,225,687</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9820" w:type="dxa"/>
            <w:vAlign w:val="bottom"/>
          </w:tcPr>
          <w:p>
            <w:pPr>
              <w:spacing w:after="0"/>
              <w:rPr>
                <w:sz w:val="20"/>
                <w:szCs w:val="20"/>
                <w:color w:val="auto"/>
              </w:rPr>
            </w:pPr>
            <w:r>
              <w:rPr>
                <w:rFonts w:ascii="Arial" w:cs="Arial" w:eastAsia="Arial" w:hAnsi="Arial"/>
                <w:sz w:val="18"/>
                <w:szCs w:val="18"/>
                <w:color w:val="auto"/>
              </w:rPr>
              <w:t>Total income</w:t>
            </w:r>
          </w:p>
        </w:tc>
        <w:tc>
          <w:tcPr>
            <w:tcW w:w="4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3,386,608</w:t>
            </w:r>
          </w:p>
        </w:tc>
      </w:tr>
      <w:tr>
        <w:trPr>
          <w:trHeight w:val="216"/>
        </w:trPr>
        <w:tc>
          <w:tcPr>
            <w:tcW w:w="9820" w:type="dxa"/>
            <w:vAlign w:val="bottom"/>
            <w:shd w:val="clear" w:color="auto" w:fill="CCFFCC"/>
          </w:tcPr>
          <w:p>
            <w:pPr>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2,993,892</w:t>
            </w:r>
          </w:p>
        </w:tc>
      </w:tr>
      <w:tr>
        <w:trPr>
          <w:trHeight w:val="216"/>
        </w:trPr>
        <w:tc>
          <w:tcPr>
            <w:tcW w:w="9820" w:type="dxa"/>
            <w:vAlign w:val="bottom"/>
          </w:tcPr>
          <w:p>
            <w:pPr>
              <w:spacing w:after="0"/>
              <w:rPr>
                <w:sz w:val="20"/>
                <w:szCs w:val="20"/>
                <w:color w:val="auto"/>
              </w:rPr>
            </w:pPr>
            <w:r>
              <w:rPr>
                <w:rFonts w:ascii="Arial" w:cs="Arial" w:eastAsia="Arial" w:hAnsi="Arial"/>
                <w:sz w:val="18"/>
                <w:szCs w:val="18"/>
                <w:color w:val="auto"/>
              </w:rPr>
              <w:t>Total expenses</w:t>
            </w:r>
          </w:p>
        </w:tc>
        <w:tc>
          <w:tcPr>
            <w:tcW w:w="4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3,270,996</w:t>
            </w:r>
          </w:p>
        </w:tc>
      </w:tr>
      <w:tr>
        <w:trPr>
          <w:trHeight w:val="216"/>
        </w:trPr>
        <w:tc>
          <w:tcPr>
            <w:tcW w:w="9820" w:type="dxa"/>
            <w:vAlign w:val="bottom"/>
            <w:shd w:val="clear" w:color="auto" w:fill="CCFFCC"/>
          </w:tcPr>
          <w:p>
            <w:pPr>
              <w:spacing w:after="0"/>
              <w:rPr>
                <w:sz w:val="20"/>
                <w:szCs w:val="20"/>
                <w:color w:val="auto"/>
              </w:rPr>
            </w:pPr>
            <w:r>
              <w:rPr>
                <w:rFonts w:ascii="Arial" w:cs="Arial" w:eastAsia="Arial" w:hAnsi="Arial"/>
                <w:sz w:val="18"/>
                <w:szCs w:val="18"/>
                <w:color w:val="auto"/>
              </w:rPr>
              <w:t>Net realized and unrealized gains (losses)</w:t>
            </w:r>
          </w:p>
        </w:tc>
        <w:tc>
          <w:tcPr>
            <w:tcW w:w="4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(1,759,451)</w:t>
            </w:r>
          </w:p>
        </w:tc>
      </w:tr>
      <w:tr>
        <w:trPr>
          <w:trHeight w:val="230"/>
        </w:trPr>
        <w:tc>
          <w:tcPr>
            <w:tcW w:w="9820" w:type="dxa"/>
            <w:vAlign w:val="bottom"/>
          </w:tcPr>
          <w:p>
            <w:pPr>
              <w:spacing w:after="0"/>
              <w:rPr>
                <w:sz w:val="20"/>
                <w:szCs w:val="20"/>
                <w:color w:val="auto"/>
              </w:rPr>
            </w:pPr>
            <w:r>
              <w:rPr>
                <w:rFonts w:ascii="Arial" w:cs="Arial" w:eastAsia="Arial" w:hAnsi="Arial"/>
                <w:sz w:val="18"/>
                <w:szCs w:val="18"/>
                <w:color w:val="auto"/>
              </w:rPr>
              <w:t>Decrease in net assets resulting from operations</w:t>
            </w:r>
          </w:p>
        </w:tc>
        <w:tc>
          <w:tcPr>
            <w:tcW w:w="40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(1,643,839)</w:t>
            </w:r>
          </w:p>
        </w:tc>
      </w:tr>
    </w:tbl>
    <w:p>
      <w:pPr>
        <w:spacing w:after="0" w:line="187"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All of the consolidated VIEs’ investment balances are CLO Fund-related. The assets of the CLO Funds are held solely to satisfy the obligations of the CLO Funds. The Asset Manager Affiliates have no right to the benefits from, nor do they bear the risks associated with, the collateral assets held by the CLO Funds, beyond the management fees generated from the CLO Funds. If the Asset Manager Affiliates were to liquidate, the collateral assets would not be available to the general creditors of the Asset Manager Affiliates. Additionally, the investors in the CLO Funds have no recourse to the general credit of the Asset Manager Affiliates for the securities issued by the CLO Funds.</w:t>
      </w:r>
    </w:p>
    <w:p>
      <w:pPr>
        <w:spacing w:after="0" w:line="188"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The consolidation of the VIEs’ investment products in the Asset Manager Affiliates’ financial statements is not reflective of the underlying financial position, results of operations or cash flows of the Asset Manager Affiliates as stand-alone entities. Furthermore, the financial operations of the Asset Manager Affiliates, whether consolidated with the CLO funds they manage or on a stand-alone basis, are not reflective of the fair value of the Asset Manager Affiliates as reported on the Company’s balance sheet and schedule of investments as the Company is required under U.S. GAAP to report the Asset Manager Affiliates as a portfolio company at fair value.</w:t>
      </w:r>
    </w:p>
    <w:p>
      <w:pPr>
        <w:spacing w:after="0" w:line="188"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As separately regarded entities for tax purposes, the Asset Manager Affiliates are taxed at normal corporate rates. For tax purposes, any distributions of taxable net income earned by the Asset Manager Affiliates to the Company would generally need to be distributed to the Company’s shareholders. Generally, such distributions of the Asset Manager Affiliates’ income to the Company’s shareholders will be considered as qualified dividends for tax purposes. The Asset Manager Affiliates’ taxable net income will differ from U.S. GAAP net income because of deferred tax timing adjustments and permanent tax adjustments. Deferred tax timing adjustments may include differences for the recognition and timing of depreciation, bonuses to employees and stock option expense. Permanent differences may include adjustments, limitations or disallowances for meals and entertainment expenses, penalties, tax goodwill amortization and net operating loss carryforward.</w:t>
      </w:r>
    </w:p>
    <w:p>
      <w:pPr>
        <w:spacing w:after="0" w:line="189"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Goodwill amortization for tax purposes was created upon the purchase of 100% of the equity interests in Katonah Debt Advisors prior to the Company’s IPO in exchange for shares of the Company’s stock valued at $33 million. Although this transaction was a stock transaction rather than an asset purchase and thus no goodwill was recognized for U.S. GAAP purposes, such exchange was considered an asset purchase under Section 351(a) of the Code. At the time of the transfer, Katonah Debt Advisors had equity of approximately $1 million resulting in tax goodwill of approximately $32 million which will be amortized for tax purposes on a straight-line basis over 15 years, which accounts for an annual difference between U.S. GAAP income and taxable income by approximately $2 million per year over such period.</w:t>
      </w:r>
    </w:p>
    <w:p>
      <w:pPr>
        <w:spacing w:after="0" w:line="193" w:lineRule="exact"/>
        <w:rPr>
          <w:sz w:val="20"/>
          <w:szCs w:val="20"/>
          <w:color w:val="auto"/>
        </w:rPr>
      </w:pPr>
    </w:p>
    <w:p>
      <w:pPr>
        <w:ind w:right="360" w:firstLine="486"/>
        <w:spacing w:after="0" w:line="257" w:lineRule="auto"/>
        <w:rPr>
          <w:sz w:val="20"/>
          <w:szCs w:val="20"/>
          <w:color w:val="auto"/>
        </w:rPr>
      </w:pPr>
      <w:r>
        <w:rPr>
          <w:rFonts w:ascii="Arial" w:cs="Arial" w:eastAsia="Arial" w:hAnsi="Arial"/>
          <w:sz w:val="18"/>
          <w:szCs w:val="18"/>
          <w:color w:val="auto"/>
        </w:rPr>
        <w:t>Additional goodwill amortization for tax purposes was created upon the purchase of 100% of the equity interests in Trimaran Advisors by its sole member, Commodore Holdings, L.L.C., in exchange for shares of the KCAP Financial’s stock valued at $25.5 million and cash of $13.0 million. The transaction was considered an asset purchase under Section 351(a) of the Code and resulted in tax goodwill of approximately $22.8 million which will be amortized for tax purposes on a straight-line basis over 15 years, which accounts for an annual difference between GAAP income and taxable income by approximately $1.5 million per year over such period.</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March 31, 2013 there were no intercompany balances with our affiliates.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0" w:name="page41"/>
    <w:bookmarkEnd w:id="40"/>
    <w:p>
      <w:pPr>
        <w:ind w:left="340"/>
        <w:spacing w:after="0"/>
        <w:rPr>
          <w:sz w:val="20"/>
          <w:szCs w:val="20"/>
          <w:color w:val="auto"/>
        </w:rPr>
      </w:pPr>
      <w:r>
        <w:rPr>
          <w:rFonts w:ascii="Arial" w:cs="Arial" w:eastAsia="Arial" w:hAnsi="Arial"/>
          <w:sz w:val="18"/>
          <w:szCs w:val="18"/>
          <w:i w:val="1"/>
          <w:iCs w:val="1"/>
          <w:color w:val="auto"/>
        </w:rPr>
        <w:t>Related Party Transactions</w:t>
      </w:r>
    </w:p>
    <w:p>
      <w:pPr>
        <w:spacing w:after="0" w:line="22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On November 20, 2012, the Company entered into a senior credit agreement (the “Senior Credit Facility”) with Trimaran Advisors, pursuant to which Trimaran Advisors may borrow from time to time up to $20 million from the Company in order to provide the capital necessary to support one or more of Trimaran Advisors’ warehouse lines and/or working capital in connection with Trimaran Advisors’ warehouse activities. The Senior Credit Facility expires on November 20, 2017 and bears interest at an annual rate of 9.0%. The Company’s average debt obligation relating to the Senior Credit Facility was $20 million. As of December 27, 2012, the Senior Credit Facility was terminated and there were no borrowings outstanding.</w:t>
      </w:r>
    </w:p>
    <w:p>
      <w:pPr>
        <w:spacing w:after="0" w:line="173"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On February 26, 2013, the Company entered into a senior credit agreement (the “Trimaran Credit Facility”) with Trimaran Advisors, pursuant to which Trimaran Advisors may borrow from time to time up to $20 million from the Company in order to provide capital necessary to support one or more of Trimaran Advisors’ warehouse lines of credit and/or working capital in connection with Trimaran Advisors’ warehouse activities. The Trimaran Credit Facility expires on November 20, 2017 and bears interest at an annual rate of 9.0%. At March 31, 2013, $20 million was outstanding under the Trimaran Credit Facility.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April 15, 2013, the Trimaran Credit Facility was amended and upsized from $20 million to $23 million.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three months end March 31, 2013 the Company recognized interest income related to the Senior Credit Facility of $170,000.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6. BORROWINGS</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The Company’s debt obligations consist of the following:</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As of</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March 31, 2013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2012</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79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Convertible Senior Notes, due March 15, 2016</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60,000,000</w:t>
            </w:r>
          </w:p>
        </w:tc>
        <w:tc>
          <w:tcPr>
            <w:tcW w:w="46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Senior Notes, due September 30, 2019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41,400,000</w:t>
            </w: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41,400,000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Convertible Senior Notes</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On March 16, 2011, the Company issued $55 million in aggregate principal amount of unsecured 8.75% convertible senior notes due March 2016 (“Convertible Senior Notes”). On March 23, 2011, pursuant to an over-allotment option, the Company issued an additional $5 million of such Convertible Senior Notes for a total of $60 million in aggregate principal amount. The net proceeds from the sale of the Convertible Senior Notes, following underwriting expenses, were approximately $57.7 million. Interest on the Convertible Senior Notes is paid semi-annually in arrears on March 15 and September 15, at a rate of 8.75%, commencing September 15, 2011. The Notes mature on March 15, 2016 unless converted earlier. The Convertible Senior Notes are senior unsecured obligations of the Company.</w:t>
      </w:r>
    </w:p>
    <w:p>
      <w:pPr>
        <w:spacing w:after="0" w:line="193"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Convertible Senior Notes are convertible into shares of Company’s common stock. As of March 31, 2013 the conversion rate was 122.5638 shares of common stock per $1,000 principal amount of Convertible Senior Notes, which is equivalent to a conversion price of approximately $8.159 per share of common stock. The conversion rate is subject to adjustment upon certain events.</w:t>
      </w:r>
    </w:p>
    <w:p>
      <w:pPr>
        <w:spacing w:after="0" w:line="181" w:lineRule="exact"/>
        <w:rPr>
          <w:sz w:val="20"/>
          <w:szCs w:val="20"/>
          <w:color w:val="auto"/>
        </w:rPr>
      </w:pPr>
    </w:p>
    <w:p>
      <w:pPr>
        <w:jc w:val="both"/>
        <w:ind w:right="60" w:firstLine="324"/>
        <w:spacing w:after="0" w:line="312" w:lineRule="auto"/>
        <w:rPr>
          <w:sz w:val="20"/>
          <w:szCs w:val="20"/>
          <w:color w:val="auto"/>
        </w:rPr>
      </w:pPr>
      <w:r>
        <w:rPr>
          <w:rFonts w:ascii="Arial" w:cs="Arial" w:eastAsia="Arial" w:hAnsi="Arial"/>
          <w:sz w:val="16"/>
          <w:szCs w:val="16"/>
          <w:color w:val="auto"/>
        </w:rPr>
        <w:t>Upon conversion, unless a holder converts after a record date for an interest payment but prior to the corresponding interest payment date, the holder will receive a separate cash payment with respect to the Convertible Senior Notes surrendered for conversion representing accrued and unpaid interest to, but not including the conversion date. Any such payment will be made on the settlement date applicable to the relevant conversion on the Convertible Senior Notes.</w:t>
      </w:r>
    </w:p>
    <w:p>
      <w:pPr>
        <w:spacing w:after="0" w:line="147"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No holder of Convertible Senior Notes will be entitled to receive shares of the Company’s common stock upon conversion to the extent (but only to the extent) that such receipt would cause such converting holder to become, directly or indirectly, a beneficial owner (within the meaning of Section 13(d) of the Securities Exchange Act of 1934 and the rules and regulations promulgated thereunder) of more than 5.0% of the shares of the Company’s common stock outstanding at such time. The 5.0% limitation shall no longer apply following the effective date of any fundamental change. The Company will not issue any shares in connection with the conversion or redemption of the Convertible Senior Notes which would equal or exceed 20% of the shares outstanding at the time of the transaction in accordance with NASDAQ rules. At March 31, 2013, the company was in compliance with all of its debt covenants.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ind w:firstLine="324"/>
        <w:spacing w:after="0" w:line="276" w:lineRule="auto"/>
        <w:rPr>
          <w:sz w:val="20"/>
          <w:szCs w:val="20"/>
          <w:color w:val="auto"/>
        </w:rPr>
      </w:pPr>
      <w:r>
        <w:rPr>
          <w:rFonts w:ascii="Arial" w:cs="Arial" w:eastAsia="Arial" w:hAnsi="Arial"/>
          <w:sz w:val="17"/>
          <w:szCs w:val="17"/>
          <w:color w:val="auto"/>
        </w:rPr>
        <w:t>Subject to certain exceptions, holders may require us to repurchase, for cash, all or part of their Convertible Senior Notes upon a fundamental change at a price equal to 100% of the principal amount of the Convertible Senior Notes being repurchased plus any accrued and unpaid interest up to, but excluding, the fundamental change repurchase date. In addition, in the case of certain fundamental changes and without duplication of the foregoing amount, the Company will also pay holders an amount in cash (or, in certain circumstances, shares of the Company’s common stock) equal to the present value of the remaining interest payments on such notes through, and including, the maturity date.</w:t>
      </w:r>
    </w:p>
    <w:p>
      <w:pPr>
        <w:spacing w:after="0" w:line="173"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In connection with the issuance of the Convertible Senior Notes, the Company incurred approximately $2.4 million of debt offering costs, which are being amortized over the term of the facility on an effective yield method, of which approximately $1.5 million remains to be amortized.</w:t>
      </w:r>
    </w:p>
    <w:p>
      <w:pPr>
        <w:spacing w:after="0" w:line="14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Convertible Senior Notes have been analyzed for any features that would require its accounting to be bifurcated. There are no features that require accounting to be bifurcated, and as a result, they are recorded as a liability at their contractual amounts.</w:t>
      </w:r>
    </w:p>
    <w:p>
      <w:pPr>
        <w:spacing w:after="0" w:line="170" w:lineRule="exact"/>
        <w:rPr>
          <w:sz w:val="20"/>
          <w:szCs w:val="20"/>
          <w:color w:val="auto"/>
        </w:rPr>
      </w:pPr>
    </w:p>
    <w:p>
      <w:pPr>
        <w:ind w:right="300" w:firstLine="324"/>
        <w:spacing w:after="0" w:line="312" w:lineRule="auto"/>
        <w:rPr>
          <w:sz w:val="20"/>
          <w:szCs w:val="20"/>
          <w:color w:val="auto"/>
        </w:rPr>
      </w:pPr>
      <w:r>
        <w:rPr>
          <w:rFonts w:ascii="Arial" w:cs="Arial" w:eastAsia="Arial" w:hAnsi="Arial"/>
          <w:sz w:val="16"/>
          <w:szCs w:val="16"/>
          <w:i w:val="1"/>
          <w:iCs w:val="1"/>
          <w:color w:val="auto"/>
        </w:rPr>
        <w:t xml:space="preserve">Fair Value of Convertible Senior Notes. </w:t>
      </w:r>
      <w:r>
        <w:rPr>
          <w:rFonts w:ascii="Arial" w:cs="Arial" w:eastAsia="Arial" w:hAnsi="Arial"/>
          <w:sz w:val="16"/>
          <w:szCs w:val="16"/>
          <w:color w:val="auto"/>
        </w:rPr>
        <w:t>The Company carries the Convertible Senior Notes at cost. The Convertible Senior Notes were issued in a</w:t>
      </w:r>
      <w:r>
        <w:rPr>
          <w:rFonts w:ascii="Arial" w:cs="Arial" w:eastAsia="Arial" w:hAnsi="Arial"/>
          <w:sz w:val="16"/>
          <w:szCs w:val="16"/>
          <w:i w:val="1"/>
          <w:iCs w:val="1"/>
          <w:color w:val="auto"/>
        </w:rPr>
        <w:t xml:space="preserve"> </w:t>
      </w:r>
      <w:r>
        <w:rPr>
          <w:rFonts w:ascii="Arial" w:cs="Arial" w:eastAsia="Arial" w:hAnsi="Arial"/>
          <w:sz w:val="16"/>
          <w:szCs w:val="16"/>
          <w:color w:val="auto"/>
        </w:rPr>
        <w:t>private placement and there is no active trading of these notes. The fair value of the Company’s outstanding Convertible Senior Notes was approximately $79.8 million at March 31, 2013. The fair value was determined based on the average of indicative bid and offer pricing for the Convertible Senior Notes.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Senior Notes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On October 10, 2012, the Company issued $41.4 million in aggregate principal amount of unsecured 7.375% Senior Notes due 2019. The net proceeds for the Senior Notes, following underwriting expenses, were approximately $ 39.9 million. Interest on the Senior Notes is paid quarterly in arrears on March 30, June 30, September 30 and December 30, at a rate of 7.375%, commencing December 30, 2012. The Notes mature on September, 30, 2019. The Senior Notes are senior unsecured obligations of the Company. In addition, due to the asset coverage test applicable to us as a BDC and a covenant that we agreed to in connection with the issuance of the Senior Notes, we are limited in our ability to make distributions in certain circumstances. At March 31, 2013, the Company was in compliance with all of its debt covenants.</w:t>
      </w:r>
    </w:p>
    <w:p>
      <w:pPr>
        <w:spacing w:after="0" w:line="193"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In connection with the issuance of the Senior Notes, the Company incurred approximately $1.5 million of debt offering costs which are being amortized over the term of the facility on an effective yield method, of which approximately $1.4 million remains to be amortized.</w:t>
      </w:r>
    </w:p>
    <w:p>
      <w:pPr>
        <w:spacing w:after="0" w:line="170"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i w:val="1"/>
          <w:iCs w:val="1"/>
          <w:color w:val="auto"/>
        </w:rPr>
        <w:t>Fair Value of Senior Notes</w:t>
      </w:r>
      <w:r>
        <w:rPr>
          <w:rFonts w:ascii="Arial" w:cs="Arial" w:eastAsia="Arial" w:hAnsi="Arial"/>
          <w:sz w:val="18"/>
          <w:szCs w:val="18"/>
          <w:color w:val="auto"/>
        </w:rPr>
        <w:t>. The Senior Notes were issued in a public offering on October 10, 2012. The fair value of the Company’s outstanding Senior</w:t>
      </w:r>
      <w:r>
        <w:rPr>
          <w:rFonts w:ascii="Arial" w:cs="Arial" w:eastAsia="Arial" w:hAnsi="Arial"/>
          <w:sz w:val="18"/>
          <w:szCs w:val="18"/>
          <w:i w:val="1"/>
          <w:iCs w:val="1"/>
          <w:color w:val="auto"/>
        </w:rPr>
        <w:t xml:space="preserve"> </w:t>
      </w:r>
      <w:r>
        <w:rPr>
          <w:rFonts w:ascii="Arial" w:cs="Arial" w:eastAsia="Arial" w:hAnsi="Arial"/>
          <w:sz w:val="18"/>
          <w:szCs w:val="18"/>
          <w:color w:val="auto"/>
        </w:rPr>
        <w:t>Notes was approximately $43 million at March 31, 2013. The fair value was determined based on the average of indicative bid and offer pricing for the Senior Notes.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The Facility</w:t>
      </w:r>
    </w:p>
    <w:p>
      <w:pPr>
        <w:spacing w:after="0" w:line="22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On February 24, 2012, the Company entered into a Note Purchase Agreement with Credit Suisse AG, Cayman Islands Branch, Credit Suisse Securities (USA) LLC, as arranger, The Bank of New York Mellon Trust Company, National Association, as collateral administrator and collateral agent, and KCAP Funding, a special-purpose bankruptcy remote wholly-owned subsidiary of the Company (“KCAP Funding”), under which the Company may obtain up to $30 million in financing (the “Facility”). The scheduled maturity date for the Facility is December 20, 2014. Interest on the Facility is LIBOR + 300 basis points and payable quarterly.</w:t>
      </w:r>
    </w:p>
    <w:p>
      <w:pPr>
        <w:spacing w:after="0" w:line="188"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Advances under the Facility are used by the Company primarily to make additional investments. The Facility is secured by loans that it currently owns and a security interest in the Company’s right to receive certain management fees. The Company’s borrowings under the Facility are effectuated through KCAP Funding.</w:t>
      </w:r>
    </w:p>
    <w:p>
      <w:pPr>
        <w:spacing w:after="0" w:line="18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As of March 31, 2013, there were no amounts outstanding under the Facility and the Company was in compliance with all of its debt covenants. The average amount outstanding in 2013 under the Facility was $0.</w:t>
      </w:r>
    </w:p>
    <w:p>
      <w:pPr>
        <w:spacing w:after="0" w:line="17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In connection with the Facility, the Company incurred approximately $444,000 of debt origination costs which are being amortized over the term of the Facility on a straight-line basis of which approximately $286,000 remains to be amortized.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2013, we had $101.4 million of borrowings outstanding at a weighted average fixed rate of 8.19%.</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7. DISTRIBUTABLE TAXABLE INCOME</w:t>
      </w:r>
    </w:p>
    <w:p>
      <w:pPr>
        <w:spacing w:after="0" w:line="229"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Effective December 11, 2006, the Company elected to be treated as a RIC under the Code and adopted a December 31 calendar year end. As a RIC, the Company is not subject to federal income tax on the portion of its taxable income and gains distributed currently to its stockholders as a dividend. The Company’s quarterly dividends, if any, are determined by the Board of Directors. The Company anticipates distributing at least 90% of its taxable income and gains, within the Subchapter M rules, and thus the Company anticipates that it will not incur any federal or state income tax at the RIC level. As a RIC, the Company is also subject to a federal excise tax based on distributive requirements of its taxable income on a calendar year basis (e.g., calendar year 2013). Depending on the level of taxable income earned in a tax year, the Company may choose to carry forward taxable income in excess of current year distributions into the next tax year and pay a 4% excise tax on such income, to the extent required. The Company anticipates timely distribution of its taxable income within the tax rules, and the Company anticipates that it will not incur a US federal excise tax for the calendar year 2013.</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reconciles net increase in shareholders’ equity resulting from operations to taxable income for the three months ended March 31, 2013: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9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5"/>
              </w:rPr>
              <w:t>Three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March 31, 2013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46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6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7,213,281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FFCC"/>
          </w:tcPr>
          <w:p>
            <w:pPr>
              <w:spacing w:after="0"/>
              <w:rPr>
                <w:sz w:val="20"/>
                <w:szCs w:val="20"/>
                <w:color w:val="auto"/>
              </w:rPr>
            </w:pPr>
            <w:r>
              <w:rPr>
                <w:rFonts w:ascii="Arial" w:cs="Arial" w:eastAsia="Arial" w:hAnsi="Arial"/>
                <w:sz w:val="18"/>
                <w:szCs w:val="18"/>
                <w:color w:val="auto"/>
              </w:rPr>
              <w:t>Net change in unrealized (appreciation) depreciation from investments</w:t>
            </w:r>
          </w:p>
        </w:tc>
        <w:tc>
          <w:tcPr>
            <w:tcW w:w="220" w:type="dxa"/>
            <w:vAlign w:val="bottom"/>
            <w:shd w:val="clear" w:color="auto" w:fill="CCFFCC"/>
          </w:tcPr>
          <w:p>
            <w:pPr>
              <w:spacing w:after="0"/>
              <w:rPr>
                <w:sz w:val="18"/>
                <w:szCs w:val="18"/>
                <w:color w:val="auto"/>
              </w:rPr>
            </w:pPr>
          </w:p>
        </w:tc>
        <w:tc>
          <w:tcPr>
            <w:tcW w:w="17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(349,862)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Excess capital losses over capital gains</w:t>
            </w:r>
          </w:p>
        </w:tc>
        <w:tc>
          <w:tcPr>
            <w:tcW w:w="22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(82,937)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FFCC"/>
          </w:tcPr>
          <w:p>
            <w:pPr>
              <w:spacing w:after="0"/>
              <w:rPr>
                <w:sz w:val="20"/>
                <w:szCs w:val="20"/>
                <w:color w:val="auto"/>
              </w:rPr>
            </w:pPr>
            <w:r>
              <w:rPr>
                <w:rFonts w:ascii="Arial" w:cs="Arial" w:eastAsia="Arial" w:hAnsi="Arial"/>
                <w:sz w:val="18"/>
                <w:szCs w:val="18"/>
                <w:color w:val="auto"/>
              </w:rPr>
              <w:t>Income not on GAAP books currently taxable</w:t>
            </w:r>
          </w:p>
        </w:tc>
        <w:tc>
          <w:tcPr>
            <w:tcW w:w="220" w:type="dxa"/>
            <w:vAlign w:val="bottom"/>
            <w:shd w:val="clear" w:color="auto" w:fill="CCFFCC"/>
          </w:tcPr>
          <w:p>
            <w:pPr>
              <w:spacing w:after="0"/>
              <w:rPr>
                <w:sz w:val="18"/>
                <w:szCs w:val="18"/>
                <w:color w:val="auto"/>
              </w:rPr>
            </w:pPr>
          </w:p>
        </w:tc>
        <w:tc>
          <w:tcPr>
            <w:tcW w:w="17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Income not currently taxable</w:t>
            </w:r>
          </w:p>
        </w:tc>
        <w:tc>
          <w:tcPr>
            <w:tcW w:w="22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(17,089)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60" w:type="dxa"/>
            <w:vAlign w:val="bottom"/>
            <w:shd w:val="clear" w:color="auto" w:fill="CCFFCC"/>
          </w:tcPr>
          <w:p>
            <w:pPr>
              <w:spacing w:after="0"/>
              <w:rPr>
                <w:sz w:val="20"/>
                <w:szCs w:val="20"/>
                <w:color w:val="auto"/>
              </w:rPr>
            </w:pPr>
            <w:r>
              <w:rPr>
                <w:rFonts w:ascii="Arial" w:cs="Arial" w:eastAsia="Arial" w:hAnsi="Arial"/>
                <w:sz w:val="18"/>
                <w:szCs w:val="18"/>
                <w:color w:val="auto"/>
              </w:rPr>
              <w:t>Expenses not currently deductible</w:t>
            </w:r>
          </w:p>
        </w:tc>
        <w:tc>
          <w:tcPr>
            <w:tcW w:w="220" w:type="dxa"/>
            <w:vAlign w:val="bottom"/>
            <w:shd w:val="clear" w:color="auto" w:fill="CCFFCC"/>
          </w:tcPr>
          <w:p>
            <w:pPr>
              <w:spacing w:after="0"/>
              <w:rPr>
                <w:sz w:val="19"/>
                <w:szCs w:val="19"/>
                <w:color w:val="auto"/>
              </w:rPr>
            </w:pPr>
          </w:p>
        </w:tc>
        <w:tc>
          <w:tcPr>
            <w:tcW w:w="17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5,911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4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9460" w:type="dxa"/>
            <w:vAlign w:val="bottom"/>
            <w:shd w:val="clear" w:color="auto" w:fill="CCFFCC"/>
          </w:tcPr>
          <w:p>
            <w:pPr>
              <w:spacing w:after="0"/>
              <w:rPr>
                <w:sz w:val="20"/>
                <w:szCs w:val="20"/>
                <w:color w:val="auto"/>
              </w:rPr>
            </w:pPr>
            <w:r>
              <w:rPr>
                <w:rFonts w:ascii="Arial" w:cs="Arial" w:eastAsia="Arial" w:hAnsi="Arial"/>
                <w:sz w:val="18"/>
                <w:szCs w:val="18"/>
                <w:color w:val="auto"/>
              </w:rPr>
              <w:t>Taxable income before deductions for distributions</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6,815,447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FFCC"/>
          </w:tcPr>
          <w:p>
            <w:pPr>
              <w:spacing w:after="0"/>
              <w:rPr>
                <w:sz w:val="20"/>
                <w:szCs w:val="20"/>
                <w:color w:val="auto"/>
              </w:rPr>
            </w:pPr>
            <w:r>
              <w:rPr>
                <w:rFonts w:ascii="Arial" w:cs="Arial" w:eastAsia="Arial" w:hAnsi="Arial"/>
                <w:sz w:val="18"/>
                <w:szCs w:val="18"/>
                <w:color w:val="auto"/>
              </w:rPr>
              <w:t>Taxable income before deductions for distributions per weighted average shares for the period</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For the quarter ended March 31, 2013, the Company declared a dividend on March 15, 2013 of $0.28 per share for a total of approximately $9 million. The record date was April 5, 2013 and the dividend was distributed on April 26, 2013.</w:t>
      </w:r>
    </w:p>
    <w:p>
      <w:pPr>
        <w:spacing w:after="0" w:line="170"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Taxable income differs from net increase (decrease) in stockholders’ equity resulting from operations primarily due to: (1) unrealized appreciation (depreciation) on investments, as investment gains and losses are not included in taxable income until they are realized; (2) amortization of discount on CLO Fund securities; (3) amortization of organizational costs; (4) non-deductible expenses; (5) stock compensation expense that is not currently deductible for tax purposes; (6) excess of capital losses over capital gains; and (7) recognition of interest income on certain loans.</w:t>
      </w:r>
    </w:p>
    <w:p>
      <w:pPr>
        <w:spacing w:after="0" w:line="17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At March 31, 2013, the Company had a net capital loss carryforward of approximately $54 million to offset net capital gains, to the extent provided by federal tax law. The capital loss carryforward will begin to expire in the tax year ending December 31, 2015.</w:t>
      </w:r>
    </w:p>
    <w:p>
      <w:pPr>
        <w:spacing w:after="0" w:line="17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Company adopted Financial Accounting Standards Board ASC Topic 740 Accounting for Uncertainty in Income Taxes (“ASC 740”) as of January 1, 2007. ASC 740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of being sustained by the applicable tax authority. The Company recognizes the tax benefits of uncertain tax positions only where the position is “more likely than not” to be sustained assuming examination by tax authorities. Management has analyzed the Company’s tax positions, and has concluded that no liability for unrecognized tax benefits should be recorded related to uncertain tax positions taken on returns filed for open tax years (the last three fiscal years) or expected to be taken in the Company’s current year tax return. The Company identifies its major tax jurisdictions as U.S. Federal and New York State, and the Company is not aware of any tax positions for which it is reasonably possible that the total amounts of unrecognized tax benefits will change materially in the next 12 months. The adoption of ASC 740 did not have an effect on the financial position or results of operations of the Company as there was no liability for unrecognized tax benefits and no change to the beginning capital of the Company. Management’s determinations regarding ASC 740 may be subject to review and adjustment at a later date based upon factors including, but not limited to, an ongoing analysis of tax laws, regulations and interpretations thereof.</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ind w:right="220" w:firstLine="414"/>
        <w:spacing w:after="0" w:line="276" w:lineRule="auto"/>
        <w:rPr>
          <w:sz w:val="20"/>
          <w:szCs w:val="20"/>
          <w:color w:val="auto"/>
        </w:rPr>
      </w:pPr>
      <w:r>
        <w:rPr>
          <w:rFonts w:ascii="Arial" w:cs="Arial" w:eastAsia="Arial" w:hAnsi="Arial"/>
          <w:sz w:val="17"/>
          <w:szCs w:val="17"/>
          <w:color w:val="auto"/>
        </w:rPr>
        <w:t>The Company is a party to financial instruments with off-balance sheet risk in the normal course of business in order to meet the needs of the Company’s investment in portfolio companies. Such instruments include commitments to extend credit and may involve, in varying degrees, elements of credit risk in excess of amounts recognized on the Company’s balance sheet. Prior to extending such credit, the Company attempts to limit its credit risk by conducting extensive due diligence, obtaining collateral where necessary and negotiating appropriate financial covenants. As of March 31, 2013 and December 31, 2012, the Company committed to make no investments in delayed draw senior secured loans.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29" w:lineRule="exact"/>
        <w:rPr>
          <w:sz w:val="20"/>
          <w:szCs w:val="20"/>
          <w:color w:val="auto"/>
        </w:rPr>
      </w:pPr>
    </w:p>
    <w:p>
      <w:pPr>
        <w:ind w:right="60" w:firstLine="414"/>
        <w:spacing w:after="0" w:line="297" w:lineRule="auto"/>
        <w:rPr>
          <w:sz w:val="20"/>
          <w:szCs w:val="20"/>
          <w:color w:val="auto"/>
        </w:rPr>
      </w:pPr>
      <w:r>
        <w:rPr>
          <w:rFonts w:ascii="Arial" w:cs="Arial" w:eastAsia="Arial" w:hAnsi="Arial"/>
          <w:sz w:val="16"/>
          <w:szCs w:val="16"/>
          <w:color w:val="auto"/>
        </w:rPr>
        <w:t>During the three months ended March 31, 2013 and the year ended December 31, 2012, the Company issued 23,572 and 76,208 shares, respectively, of common stock under its dividend reinvestment plan. For the three months ended March 31, 2013, the Company issued no shares of restricted stock, no shares were forfeited and no shares of restricted stock were converted to common stock due to vesting. For the year ended December 31, 2012, the Company issued 34,757 shares of restricted stock for which 232,768 shares were forfeited and 97,071 shares vested. The total number of shares of the Company’s common stock issued and outstanding as of March 31, 2013 and December 31, 2012 was 31,936,480 and 26,470,408,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INCENTIVE PLAN</w:t>
      </w:r>
    </w:p>
    <w:p>
      <w:pPr>
        <w:spacing w:after="0" w:line="229" w:lineRule="exact"/>
        <w:rPr>
          <w:sz w:val="20"/>
          <w:szCs w:val="20"/>
          <w:color w:val="auto"/>
        </w:rPr>
      </w:pPr>
    </w:p>
    <w:p>
      <w:pPr>
        <w:ind w:right="20" w:firstLine="414"/>
        <w:spacing w:after="0" w:line="257" w:lineRule="auto"/>
        <w:rPr>
          <w:sz w:val="20"/>
          <w:szCs w:val="20"/>
          <w:color w:val="auto"/>
        </w:rPr>
      </w:pPr>
      <w:r>
        <w:rPr>
          <w:rFonts w:ascii="Arial" w:cs="Arial" w:eastAsia="Arial" w:hAnsi="Arial"/>
          <w:sz w:val="18"/>
          <w:szCs w:val="18"/>
          <w:color w:val="auto"/>
        </w:rPr>
        <w:t>During 2006 and as amended in 2008, the Company established the equity incentive plan, (“the “Plan”) and reserved 2,000,000 shares of common stock for issuance under the Plan. The purpose of the Plan is to provide officers and prospective employees of the Company with additional incentives and align the interests of its employees with those of its shareholders. Options granted under the Plan are exercisable at a price equal to the fair market value (market closing price) of the shares on the day the option is granted. Restricted stock granted under the Plan is granted at a price equal to the fair market value (market closing price) of the shares on the day such restricted stock is granted.</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Information with respect to options granted, exercised and forfeited under the Plan for the period January 1, 2012 through March 31, 2013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Weighted Average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9"/>
              </w:rPr>
              <w:t>Weighted Average</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Contractual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40" w:type="dxa"/>
            <w:vAlign w:val="bottom"/>
            <w:gridSpan w:val="3"/>
          </w:tcPr>
          <w:p>
            <w:pPr>
              <w:jc w:val="center"/>
              <w:ind w:right="320"/>
              <w:spacing w:after="0" w:line="183" w:lineRule="exact"/>
              <w:rPr>
                <w:sz w:val="20"/>
                <w:szCs w:val="20"/>
                <w:color w:val="auto"/>
              </w:rPr>
            </w:pPr>
            <w:r>
              <w:rPr>
                <w:rFonts w:ascii="Arial" w:cs="Arial" w:eastAsia="Arial" w:hAnsi="Arial"/>
                <w:sz w:val="18"/>
                <w:szCs w:val="18"/>
                <w:b w:val="1"/>
                <w:bCs w:val="1"/>
                <w:color w:val="auto"/>
                <w:w w:val="89"/>
              </w:rPr>
              <w:t>Exercise Price per</w:t>
            </w:r>
          </w:p>
        </w:tc>
        <w:tc>
          <w:tcPr>
            <w:tcW w:w="1640" w:type="dxa"/>
            <w:vAlign w:val="bottom"/>
            <w:gridSpan w:val="2"/>
          </w:tcPr>
          <w:p>
            <w:pPr>
              <w:jc w:val="center"/>
              <w:ind w:right="160"/>
              <w:spacing w:after="0" w:line="183" w:lineRule="exact"/>
              <w:rPr>
                <w:sz w:val="20"/>
                <w:szCs w:val="20"/>
                <w:color w:val="auto"/>
              </w:rPr>
            </w:pPr>
            <w:r>
              <w:rPr>
                <w:rFonts w:ascii="Arial" w:cs="Arial" w:eastAsia="Arial" w:hAnsi="Arial"/>
                <w:sz w:val="18"/>
                <w:szCs w:val="18"/>
                <w:b w:val="1"/>
                <w:bCs w:val="1"/>
                <w:color w:val="auto"/>
                <w:w w:val="90"/>
              </w:rPr>
              <w:t>Remaining Term</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184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Shares</w:t>
            </w:r>
          </w:p>
        </w:tc>
        <w:tc>
          <w:tcPr>
            <w:tcW w:w="320" w:type="dxa"/>
            <w:vAlign w:val="bottom"/>
          </w:tcPr>
          <w:p>
            <w:pPr>
              <w:spacing w:after="0"/>
              <w:rPr>
                <w:sz w:val="23"/>
                <w:szCs w:val="23"/>
                <w:color w:val="auto"/>
              </w:rPr>
            </w:pPr>
          </w:p>
        </w:tc>
        <w:tc>
          <w:tcPr>
            <w:tcW w:w="152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87"/>
              </w:rPr>
              <w:t>Share</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(years)</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gridSpan w:val="2"/>
          </w:tcPr>
          <w:p>
            <w:pPr>
              <w:jc w:val="center"/>
              <w:ind w:right="220"/>
              <w:spacing w:after="0" w:line="266" w:lineRule="exact"/>
              <w:rPr>
                <w:sz w:val="20"/>
                <w:szCs w:val="20"/>
                <w:color w:val="auto"/>
              </w:rPr>
            </w:pPr>
            <w:r>
              <w:rPr>
                <w:rFonts w:ascii="Arial" w:cs="Arial" w:eastAsia="Arial" w:hAnsi="Arial"/>
                <w:sz w:val="18"/>
                <w:szCs w:val="18"/>
                <w:b w:val="1"/>
                <w:bCs w:val="1"/>
                <w:color w:val="auto"/>
                <w:w w:val="90"/>
              </w:rPr>
              <w:t>Intrinsic Value</w:t>
            </w:r>
            <w:r>
              <w:rPr>
                <w:rFonts w:ascii="Arial" w:cs="Arial" w:eastAsia="Arial" w:hAnsi="Arial"/>
                <w:sz w:val="30"/>
                <w:szCs w:val="30"/>
                <w:color w:val="auto"/>
                <w:w w:val="90"/>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Options outstanding at January 1, 2012</w:t>
            </w:r>
          </w:p>
        </w:tc>
        <w:tc>
          <w:tcPr>
            <w:tcW w:w="15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60,000</w:t>
            </w:r>
          </w:p>
        </w:tc>
        <w:tc>
          <w:tcPr>
            <w:tcW w:w="34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7.24</w:t>
            </w:r>
          </w:p>
        </w:tc>
        <w:tc>
          <w:tcPr>
            <w:tcW w:w="340" w:type="dxa"/>
            <w:vAlign w:val="bottom"/>
            <w:tcBorders>
              <w:top w:val="single" w:sz="8" w:color="CCFFCC"/>
            </w:tcBorders>
            <w:shd w:val="clear" w:color="auto" w:fill="CCFFCC"/>
          </w:tcPr>
          <w:p>
            <w:pPr>
              <w:spacing w:after="0"/>
              <w:rPr>
                <w:sz w:val="18"/>
                <w:szCs w:val="18"/>
                <w:color w:val="auto"/>
              </w:rPr>
            </w:pPr>
          </w:p>
        </w:tc>
        <w:tc>
          <w:tcPr>
            <w:tcW w:w="148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Granted</w:t>
            </w:r>
          </w:p>
        </w:tc>
        <w:tc>
          <w:tcPr>
            <w:tcW w:w="1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Exercised</w:t>
            </w:r>
          </w:p>
        </w:tc>
        <w:tc>
          <w:tcPr>
            <w:tcW w:w="184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Forfeited</w:t>
            </w:r>
          </w:p>
        </w:tc>
        <w:tc>
          <w:tcPr>
            <w:tcW w:w="1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Options outstanding at December 31, 2012</w:t>
            </w:r>
          </w:p>
        </w:tc>
        <w:tc>
          <w:tcPr>
            <w:tcW w:w="15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60,000</w:t>
            </w:r>
          </w:p>
        </w:tc>
        <w:tc>
          <w:tcPr>
            <w:tcW w:w="34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7.24</w:t>
            </w:r>
          </w:p>
        </w:tc>
        <w:tc>
          <w:tcPr>
            <w:tcW w:w="340" w:type="dxa"/>
            <w:vAlign w:val="bottom"/>
            <w:tcBorders>
              <w:top w:val="single" w:sz="8" w:color="CCFFCC"/>
            </w:tcBorders>
            <w:shd w:val="clear" w:color="auto" w:fill="CCFFCC"/>
          </w:tcPr>
          <w:p>
            <w:pPr>
              <w:spacing w:after="0"/>
              <w:rPr>
                <w:sz w:val="18"/>
                <w:szCs w:val="18"/>
                <w:color w:val="auto"/>
              </w:rPr>
            </w:pPr>
          </w:p>
        </w:tc>
        <w:tc>
          <w:tcPr>
            <w:tcW w:w="14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6.5</w:t>
            </w: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172,400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Granted</w:t>
            </w:r>
          </w:p>
        </w:tc>
        <w:tc>
          <w:tcPr>
            <w:tcW w:w="1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Exercised</w:t>
            </w:r>
          </w:p>
        </w:tc>
        <w:tc>
          <w:tcPr>
            <w:tcW w:w="18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(10,000)</w:t>
            </w:r>
          </w:p>
        </w:tc>
        <w:tc>
          <w:tcPr>
            <w:tcW w:w="32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Forfeited</w:t>
            </w:r>
          </w:p>
        </w:tc>
        <w:tc>
          <w:tcPr>
            <w:tcW w:w="1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340" w:type="dxa"/>
            <w:vAlign w:val="bottom"/>
            <w:tcBorders>
              <w:top w:val="single" w:sz="8" w:color="CCFFCC"/>
            </w:tcBorders>
            <w:shd w:val="clear" w:color="auto" w:fill="CCFFCC"/>
          </w:tcPr>
          <w:p>
            <w:pPr>
              <w:spacing w:after="0"/>
              <w:rPr>
                <w:sz w:val="20"/>
                <w:szCs w:val="20"/>
                <w:color w:val="auto"/>
              </w:rPr>
            </w:pPr>
          </w:p>
        </w:tc>
        <w:tc>
          <w:tcPr>
            <w:tcW w:w="1500" w:type="dxa"/>
            <w:vAlign w:val="bottom"/>
            <w:tcBorders>
              <w:top w:val="single" w:sz="8" w:color="auto"/>
            </w:tcBorders>
            <w:shd w:val="clear" w:color="auto" w:fill="CCFFCC"/>
          </w:tcPr>
          <w:p>
            <w:pPr>
              <w:spacing w:after="0"/>
              <w:rPr>
                <w:sz w:val="20"/>
                <w:szCs w:val="20"/>
                <w:color w:val="auto"/>
              </w:rPr>
            </w:pPr>
          </w:p>
        </w:tc>
        <w:tc>
          <w:tcPr>
            <w:tcW w:w="340" w:type="dxa"/>
            <w:vAlign w:val="bottom"/>
            <w:tcBorders>
              <w:top w:val="single" w:sz="8" w:color="CCFFCC"/>
            </w:tcBorders>
            <w:shd w:val="clear" w:color="auto" w:fill="CCFFCC"/>
          </w:tcPr>
          <w:p>
            <w:pPr>
              <w:spacing w:after="0"/>
              <w:rPr>
                <w:sz w:val="20"/>
                <w:szCs w:val="20"/>
                <w:color w:val="auto"/>
              </w:rPr>
            </w:pPr>
          </w:p>
        </w:tc>
        <w:tc>
          <w:tcPr>
            <w:tcW w:w="320" w:type="dxa"/>
            <w:vAlign w:val="bottom"/>
            <w:tcBorders>
              <w:top w:val="single" w:sz="8" w:color="auto"/>
            </w:tcBorders>
            <w:shd w:val="clear" w:color="auto" w:fill="CCFFCC"/>
          </w:tcPr>
          <w:p>
            <w:pPr>
              <w:spacing w:after="0"/>
              <w:rPr>
                <w:sz w:val="20"/>
                <w:szCs w:val="20"/>
                <w:color w:val="auto"/>
              </w:rPr>
            </w:pPr>
          </w:p>
        </w:tc>
        <w:tc>
          <w:tcPr>
            <w:tcW w:w="1180" w:type="dxa"/>
            <w:vAlign w:val="bottom"/>
            <w:tcBorders>
              <w:top w:val="single" w:sz="8" w:color="auto"/>
            </w:tcBorders>
            <w:shd w:val="clear" w:color="auto" w:fill="CCFFCC"/>
          </w:tcPr>
          <w:p>
            <w:pPr>
              <w:spacing w:after="0"/>
              <w:rPr>
                <w:sz w:val="20"/>
                <w:szCs w:val="20"/>
                <w:color w:val="auto"/>
              </w:rPr>
            </w:pPr>
          </w:p>
        </w:tc>
        <w:tc>
          <w:tcPr>
            <w:tcW w:w="340" w:type="dxa"/>
            <w:vAlign w:val="bottom"/>
            <w:tcBorders>
              <w:top w:val="single" w:sz="8" w:color="CCFFCC"/>
            </w:tcBorders>
            <w:shd w:val="clear" w:color="auto" w:fill="CCFFCC"/>
          </w:tcPr>
          <w:p>
            <w:pPr>
              <w:spacing w:after="0"/>
              <w:rPr>
                <w:sz w:val="20"/>
                <w:szCs w:val="20"/>
                <w:color w:val="auto"/>
              </w:rPr>
            </w:pPr>
          </w:p>
        </w:tc>
        <w:tc>
          <w:tcPr>
            <w:tcW w:w="1480" w:type="dxa"/>
            <w:vAlign w:val="bottom"/>
            <w:tcBorders>
              <w:top w:val="single" w:sz="8" w:color="auto"/>
            </w:tcBorders>
            <w:shd w:val="clear" w:color="auto" w:fill="CCFFCC"/>
          </w:tcPr>
          <w:p>
            <w:pPr>
              <w:spacing w:after="0"/>
              <w:rPr>
                <w:sz w:val="20"/>
                <w:szCs w:val="20"/>
                <w:color w:val="auto"/>
              </w:rPr>
            </w:pPr>
          </w:p>
        </w:tc>
        <w:tc>
          <w:tcPr>
            <w:tcW w:w="160" w:type="dxa"/>
            <w:vAlign w:val="bottom"/>
            <w:tcBorders>
              <w:top w:val="single" w:sz="8" w:color="CCFFCC"/>
            </w:tcBorders>
            <w:shd w:val="clear" w:color="auto" w:fill="CCFFCC"/>
          </w:tcPr>
          <w:p>
            <w:pPr>
              <w:spacing w:after="0"/>
              <w:rPr>
                <w:sz w:val="20"/>
                <w:szCs w:val="20"/>
                <w:color w:val="auto"/>
              </w:rPr>
            </w:pPr>
          </w:p>
        </w:tc>
        <w:tc>
          <w:tcPr>
            <w:tcW w:w="160" w:type="dxa"/>
            <w:vAlign w:val="bottom"/>
            <w:tcBorders>
              <w:top w:val="single" w:sz="8" w:color="CCFFCC"/>
            </w:tcBorders>
            <w:shd w:val="clear" w:color="auto" w:fill="CCFFCC"/>
          </w:tcPr>
          <w:p>
            <w:pPr>
              <w:spacing w:after="0"/>
              <w:rPr>
                <w:sz w:val="20"/>
                <w:szCs w:val="20"/>
                <w:color w:val="auto"/>
              </w:rPr>
            </w:pPr>
          </w:p>
        </w:tc>
        <w:tc>
          <w:tcPr>
            <w:tcW w:w="100" w:type="dxa"/>
            <w:vAlign w:val="bottom"/>
            <w:tcBorders>
              <w:top w:val="single" w:sz="8" w:color="auto"/>
            </w:tcBorders>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100" w:type="dxa"/>
            <w:vAlign w:val="bottom"/>
            <w:tcBorders>
              <w:top w:val="single" w:sz="8" w:color="CCFFCC"/>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Outstanding at March 31, 2013</w:t>
            </w:r>
          </w:p>
        </w:tc>
        <w:tc>
          <w:tcPr>
            <w:tcW w:w="1840" w:type="dxa"/>
            <w:vAlign w:val="bottom"/>
            <w:gridSpan w:val="2"/>
          </w:tcPr>
          <w:p>
            <w:pPr>
              <w:jc w:val="right"/>
              <w:ind w:right="340"/>
              <w:spacing w:after="0"/>
              <w:rPr>
                <w:sz w:val="20"/>
                <w:szCs w:val="20"/>
                <w:color w:val="auto"/>
              </w:rPr>
            </w:pPr>
            <w:r>
              <w:rPr>
                <w:rFonts w:ascii="Arial" w:cs="Arial" w:eastAsia="Arial" w:hAnsi="Arial"/>
                <w:sz w:val="18"/>
                <w:szCs w:val="18"/>
                <w:color w:val="auto"/>
              </w:rPr>
              <w:t>50,000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7.72</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235,600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Borders>
              <w:top w:val="single" w:sz="8" w:color="CCFFCC"/>
            </w:tcBorders>
            <w:shd w:val="clear" w:color="auto" w:fill="CCFFCC"/>
          </w:tcPr>
          <w:p>
            <w:pPr>
              <w:spacing w:after="0"/>
              <w:rPr>
                <w:sz w:val="17"/>
                <w:szCs w:val="17"/>
                <w:color w:val="auto"/>
              </w:rPr>
            </w:pPr>
          </w:p>
        </w:tc>
        <w:tc>
          <w:tcPr>
            <w:tcW w:w="1500" w:type="dxa"/>
            <w:vAlign w:val="bottom"/>
            <w:tcBorders>
              <w:top w:val="single" w:sz="8" w:color="auto"/>
            </w:tcBorders>
            <w:shd w:val="clear" w:color="auto" w:fill="CCFFCC"/>
          </w:tcPr>
          <w:p>
            <w:pPr>
              <w:spacing w:after="0"/>
              <w:rPr>
                <w:sz w:val="17"/>
                <w:szCs w:val="17"/>
                <w:color w:val="auto"/>
              </w:rPr>
            </w:pPr>
          </w:p>
        </w:tc>
        <w:tc>
          <w:tcPr>
            <w:tcW w:w="340" w:type="dxa"/>
            <w:vAlign w:val="bottom"/>
            <w:tcBorders>
              <w:top w:val="single" w:sz="8" w:color="CCFFCC"/>
            </w:tcBorders>
            <w:shd w:val="clear" w:color="auto" w:fill="CCFFCC"/>
          </w:tcPr>
          <w:p>
            <w:pPr>
              <w:spacing w:after="0"/>
              <w:rPr>
                <w:sz w:val="17"/>
                <w:szCs w:val="17"/>
                <w:color w:val="auto"/>
              </w:rPr>
            </w:pPr>
          </w:p>
        </w:tc>
        <w:tc>
          <w:tcPr>
            <w:tcW w:w="320" w:type="dxa"/>
            <w:vAlign w:val="bottom"/>
            <w:tcBorders>
              <w:top w:val="single" w:sz="8" w:color="auto"/>
            </w:tcBorders>
            <w:shd w:val="clear" w:color="auto" w:fill="CCFFCC"/>
          </w:tcPr>
          <w:p>
            <w:pPr>
              <w:spacing w:after="0"/>
              <w:rPr>
                <w:sz w:val="17"/>
                <w:szCs w:val="17"/>
                <w:color w:val="auto"/>
              </w:rPr>
            </w:pPr>
          </w:p>
        </w:tc>
        <w:tc>
          <w:tcPr>
            <w:tcW w:w="1180" w:type="dxa"/>
            <w:vAlign w:val="bottom"/>
            <w:tcBorders>
              <w:top w:val="single" w:sz="8" w:color="auto"/>
            </w:tcBorders>
            <w:shd w:val="clear" w:color="auto" w:fill="CCFFCC"/>
          </w:tcPr>
          <w:p>
            <w:pPr>
              <w:spacing w:after="0"/>
              <w:rPr>
                <w:sz w:val="17"/>
                <w:szCs w:val="17"/>
                <w:color w:val="auto"/>
              </w:rPr>
            </w:pPr>
          </w:p>
        </w:tc>
        <w:tc>
          <w:tcPr>
            <w:tcW w:w="340" w:type="dxa"/>
            <w:vAlign w:val="bottom"/>
            <w:tcBorders>
              <w:top w:val="single" w:sz="8" w:color="CCFFCC"/>
            </w:tcBorders>
            <w:shd w:val="clear" w:color="auto" w:fill="CCFFCC"/>
          </w:tcPr>
          <w:p>
            <w:pPr>
              <w:spacing w:after="0"/>
              <w:rPr>
                <w:sz w:val="17"/>
                <w:szCs w:val="17"/>
                <w:color w:val="auto"/>
              </w:rPr>
            </w:pPr>
          </w:p>
        </w:tc>
        <w:tc>
          <w:tcPr>
            <w:tcW w:w="1480" w:type="dxa"/>
            <w:vAlign w:val="bottom"/>
            <w:tcBorders>
              <w:top w:val="single" w:sz="8" w:color="auto"/>
            </w:tcBorders>
            <w:shd w:val="clear" w:color="auto" w:fill="CCFFCC"/>
          </w:tcPr>
          <w:p>
            <w:pPr>
              <w:spacing w:after="0"/>
              <w:rPr>
                <w:sz w:val="17"/>
                <w:szCs w:val="17"/>
                <w:color w:val="auto"/>
              </w:rPr>
            </w:pPr>
          </w:p>
        </w:tc>
        <w:tc>
          <w:tcPr>
            <w:tcW w:w="160" w:type="dxa"/>
            <w:vAlign w:val="bottom"/>
            <w:tcBorders>
              <w:top w:val="single" w:sz="8" w:color="CCFFCC"/>
            </w:tcBorders>
            <w:shd w:val="clear" w:color="auto" w:fill="CCFFCC"/>
          </w:tcPr>
          <w:p>
            <w:pPr>
              <w:spacing w:after="0"/>
              <w:rPr>
                <w:sz w:val="17"/>
                <w:szCs w:val="17"/>
                <w:color w:val="auto"/>
              </w:rPr>
            </w:pPr>
          </w:p>
        </w:tc>
        <w:tc>
          <w:tcPr>
            <w:tcW w:w="16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auto"/>
            </w:tcBorders>
            <w:shd w:val="clear" w:color="auto" w:fill="CCFFCC"/>
          </w:tcPr>
          <w:p>
            <w:pPr>
              <w:spacing w:after="0"/>
              <w:rPr>
                <w:sz w:val="17"/>
                <w:szCs w:val="17"/>
                <w:color w:val="auto"/>
              </w:rPr>
            </w:pPr>
          </w:p>
        </w:tc>
        <w:tc>
          <w:tcPr>
            <w:tcW w:w="138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Total vested at March 31, 2013</w:t>
            </w:r>
          </w:p>
        </w:tc>
        <w:tc>
          <w:tcPr>
            <w:tcW w:w="1840" w:type="dxa"/>
            <w:vAlign w:val="bottom"/>
            <w:gridSpan w:val="2"/>
          </w:tcPr>
          <w:p>
            <w:pPr>
              <w:jc w:val="right"/>
              <w:ind w:right="340"/>
              <w:spacing w:after="0"/>
              <w:rPr>
                <w:sz w:val="20"/>
                <w:szCs w:val="20"/>
                <w:color w:val="auto"/>
              </w:rPr>
            </w:pPr>
            <w:r>
              <w:rPr>
                <w:rFonts w:ascii="Arial" w:cs="Arial" w:eastAsia="Arial" w:hAnsi="Arial"/>
                <w:sz w:val="18"/>
                <w:szCs w:val="18"/>
                <w:color w:val="auto"/>
              </w:rPr>
              <w:t>50,000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7.72</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40" w:right="100" w:hanging="332"/>
        <w:spacing w:after="0" w:line="194" w:lineRule="auto"/>
        <w:tabs>
          <w:tab w:leader="none" w:pos="340" w:val="left"/>
        </w:tabs>
        <w:numPr>
          <w:ilvl w:val="0"/>
          <w:numId w:val="35"/>
        </w:numPr>
        <w:rPr>
          <w:rFonts w:ascii="Arial" w:cs="Arial" w:eastAsia="Arial" w:hAnsi="Arial"/>
          <w:sz w:val="30"/>
          <w:szCs w:val="30"/>
          <w:color w:val="auto"/>
          <w:vertAlign w:val="superscript"/>
        </w:rPr>
      </w:pPr>
      <w:r>
        <w:rPr>
          <w:rFonts w:ascii="Arial" w:cs="Arial" w:eastAsia="Arial" w:hAnsi="Arial"/>
          <w:sz w:val="18"/>
          <w:szCs w:val="18"/>
          <w:color w:val="auto"/>
        </w:rPr>
        <w:t>Represents the difference between the market value of shares of the Company upon exercise of the options at March 31, 2013 and the cost for the option holders to exercise the options.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 w:name="page45"/>
    <w:bookmarkEnd w:id="44"/>
    <w:p>
      <w:pPr>
        <w:jc w:val="both"/>
        <w:ind w:right="40" w:firstLine="324"/>
        <w:spacing w:after="0" w:line="264" w:lineRule="auto"/>
        <w:rPr>
          <w:sz w:val="20"/>
          <w:szCs w:val="20"/>
          <w:color w:val="auto"/>
        </w:rPr>
      </w:pPr>
      <w:r>
        <w:rPr>
          <w:rFonts w:ascii="Arial" w:cs="Arial" w:eastAsia="Arial" w:hAnsi="Arial"/>
          <w:sz w:val="18"/>
          <w:szCs w:val="18"/>
          <w:color w:val="auto"/>
        </w:rPr>
        <w:t>The Company uses a Binary Option Pricing Model (American, call option) to establish the expected value of all stock option grants. For the three months ended March 31, 2013 and 2012, the Company recognized no non-cash compensation expense related to stock options. At March 31, 2013, the Company had no remaining compensation cost related to unvested stock option-based awards.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On June 13, 2008, the Company’s shareholders approved the Plan, as amended, and the Board of Directors approved the grant of awards of 100,250 shares of restricted stock to certain executive officers of the Company. On October 7, 2011 and July 22, 2010, the Board of Directors approved the grant of an additional 86,805 and 103,519 shares of restricted stock, respectively, to a certain executive officer of the Company. Such awards of restricted stock will vest as to 50% of the shares on the third anniversary of the grant date and the remaining 50% of the shares on the fourth anniversary of the grant date.</w:t>
      </w:r>
    </w:p>
    <w:p>
      <w:pPr>
        <w:spacing w:after="0" w:line="154"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On June 13, 2008, the Company’s Board of Directors authorized the Company to allow employees who agree to cancel options that they hold to receive shares of the Company's common stock to receive 1 share of restricted stock for every 5 options so cancelled. The shares of restricted stock received by employees through any such transaction will vest annually generally over the remaining vesting schedule as was applicable to the cancelled options. Subsequently, employees holding options to purchase 1,295,000 shares individually entered into agreements to cancel such options and to receive 259,000 shares of restricted stock. As of March 31, 2013, 233,998 of such shares were vested and converted to common shares. The remaining 25,002 shares have been forfeited.</w:t>
      </w:r>
    </w:p>
    <w:p>
      <w:pPr>
        <w:spacing w:after="0" w:line="19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On June 10, 2011, the Company’s shareholders approved the Amended and Restated Non-Employee Director Plan, and the Board of Directors approved the grant of awards of 4,000 shares of restricted stock to the non-employee directors of the Company as partial annual compensation for their services as director. Such awards of restricted stock will vest as to 50% of the shares on the grant date and the remaining 50% of the shares on the first anniversary of the grant date.</w:t>
      </w:r>
    </w:p>
    <w:p>
      <w:pPr>
        <w:spacing w:after="0" w:line="18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During the three months ended March 31, 2013, no shares of restricted stock had vested. As of March 31, 2013, after giving effect to these option cancellations and restricted stock awards, there were options to purchase 50,000 shares of common stock outstanding and there were 32,257 shares of restricted stock outstanding. Information with respect to restricted stock granted, exercised and forfeited under the Plan for the period January 1, 2012 through March 31, 2013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7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Unvested</w:t>
            </w:r>
          </w:p>
        </w:tc>
        <w:tc>
          <w:tcPr>
            <w:tcW w:w="14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Exercise Price per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1"/>
              </w:rPr>
              <w:t>Restricted Shares</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Unvested shares outstanding at December 31, 2011</w:t>
            </w:r>
          </w:p>
        </w:tc>
        <w:tc>
          <w:tcPr>
            <w:tcW w:w="15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327,339</w:t>
            </w: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auto"/>
            </w:tcBorders>
            <w:shd w:val="clear" w:color="auto" w:fill="CCFFCC"/>
          </w:tcPr>
          <w:p>
            <w:pPr>
              <w:jc w:val="right"/>
              <w:ind w:right="139"/>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Granted</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34,757</w:t>
            </w:r>
          </w:p>
        </w:tc>
        <w:tc>
          <w:tcPr>
            <w:tcW w:w="44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Vested</w:t>
            </w:r>
          </w:p>
        </w:tc>
        <w:tc>
          <w:tcPr>
            <w:tcW w:w="17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(97,071)</w:t>
            </w:r>
          </w:p>
        </w:tc>
        <w:tc>
          <w:tcPr>
            <w:tcW w:w="440" w:type="dxa"/>
            <w:vAlign w:val="bottom"/>
            <w:gridSpan w:val="2"/>
            <w:shd w:val="clear" w:color="auto" w:fill="CCFFCC"/>
          </w:tcPr>
          <w:p>
            <w:pPr>
              <w:jc w:val="right"/>
              <w:ind w:right="139"/>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Forfeited</w:t>
            </w: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(232,768)</w:t>
            </w:r>
          </w:p>
        </w:tc>
        <w:tc>
          <w:tcPr>
            <w:tcW w:w="44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Unvested shares outstanding at December 31, 2012</w:t>
            </w:r>
          </w:p>
        </w:tc>
        <w:tc>
          <w:tcPr>
            <w:tcW w:w="15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32,257</w:t>
            </w: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auto"/>
            </w:tcBorders>
            <w:shd w:val="clear" w:color="auto" w:fill="CCFFCC"/>
          </w:tcPr>
          <w:p>
            <w:pPr>
              <w:jc w:val="right"/>
              <w:ind w:right="139"/>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Granted</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Vested</w:t>
            </w:r>
          </w:p>
        </w:tc>
        <w:tc>
          <w:tcPr>
            <w:tcW w:w="17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FFCC"/>
          </w:tcPr>
          <w:p>
            <w:pPr>
              <w:jc w:val="right"/>
              <w:ind w:right="139"/>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Forfeited</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March 31, 2013</w:t>
            </w:r>
          </w:p>
        </w:tc>
        <w:tc>
          <w:tcPr>
            <w:tcW w:w="15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32,257</w:t>
            </w:r>
          </w:p>
        </w:tc>
        <w:tc>
          <w:tcPr>
            <w:tcW w:w="200" w:type="dxa"/>
            <w:vAlign w:val="bottom"/>
            <w:tcBorders>
              <w:top w:val="single" w:sz="8" w:color="CCFFCC"/>
              <w:bottom w:val="single" w:sz="8" w:color="CCFFCC"/>
            </w:tcBorders>
            <w:shd w:val="clear" w:color="auto" w:fill="CCFFCC"/>
          </w:tcPr>
          <w:p>
            <w:pPr>
              <w:spacing w:after="0"/>
              <w:rPr>
                <w:sz w:val="19"/>
                <w:szCs w:val="19"/>
                <w:color w:val="auto"/>
              </w:rPr>
            </w:pPr>
          </w:p>
        </w:tc>
        <w:tc>
          <w:tcPr>
            <w:tcW w:w="140" w:type="dxa"/>
            <w:vAlign w:val="bottom"/>
            <w:tcBorders>
              <w:top w:val="single" w:sz="8" w:color="CCFFCC"/>
              <w:bottom w:val="single" w:sz="8" w:color="CCFFCC"/>
            </w:tcBorders>
            <w:shd w:val="clear" w:color="auto" w:fill="CCFFCC"/>
          </w:tcPr>
          <w:p>
            <w:pPr>
              <w:spacing w:after="0"/>
              <w:rPr>
                <w:sz w:val="19"/>
                <w:szCs w:val="19"/>
                <w:color w:val="auto"/>
              </w:rPr>
            </w:pPr>
          </w:p>
        </w:tc>
        <w:tc>
          <w:tcPr>
            <w:tcW w:w="300" w:type="dxa"/>
            <w:vAlign w:val="bottom"/>
            <w:tcBorders>
              <w:top w:val="single" w:sz="8" w:color="auto"/>
              <w:bottom w:val="single" w:sz="8" w:color="auto"/>
            </w:tcBorders>
            <w:shd w:val="clear" w:color="auto" w:fill="CCFFCC"/>
          </w:tcPr>
          <w:p>
            <w:pPr>
              <w:jc w:val="right"/>
              <w:ind w:right="139"/>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Total non-vested shares at March 31, 2013</w:t>
            </w:r>
          </w:p>
        </w:tc>
        <w:tc>
          <w:tcPr>
            <w:tcW w:w="17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FFCC"/>
          </w:tcPr>
          <w:p>
            <w:pPr>
              <w:jc w:val="right"/>
              <w:ind w:right="139"/>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For the three months ended March 31, 2013, non-cash compensation expense related to restricted stock was approximately $20,000; of this amount approximately $15,000 was expensed at the Company, and approximately $5,000 was a reimbursable expense allocated to the Asset Manager Affiliates. For the three months ended March 31, 2012, non-cash compensation expense related to restricted stock was approximately $173,000; of this amount approximately $169,000 was expensed at the Company and approximately $4,000 was a reimbursable expense allocated to the Asset Manager Affiliates.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5" w:name="page46"/>
    <w:bookmarkEnd w:id="45"/>
    <w:p>
      <w:pPr>
        <w:ind w:firstLine="324"/>
        <w:spacing w:after="0" w:line="286" w:lineRule="auto"/>
        <w:rPr>
          <w:sz w:val="20"/>
          <w:szCs w:val="20"/>
          <w:color w:val="auto"/>
        </w:rPr>
      </w:pPr>
      <w:r>
        <w:rPr>
          <w:rFonts w:ascii="Arial" w:cs="Arial" w:eastAsia="Arial" w:hAnsi="Arial"/>
          <w:sz w:val="17"/>
          <w:szCs w:val="17"/>
          <w:color w:val="auto"/>
        </w:rPr>
        <w:t>Dividends are paid on all outstanding shares of restricted stock, whether or not vested. In general, shares of unvested restricted stock are forfeited upon the recipient’s termination of employment. As of March 31, 2013, the company had approximately $99,000 of total unrecognized compensation cost related to non-vested share-based awards. That cost is expected to be recognized over a weighted average period of 3.1 years.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EMPLOYEE COMPENSATION</w:t>
      </w:r>
    </w:p>
    <w:p>
      <w:pPr>
        <w:spacing w:after="0" w:line="229"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The Company adopted a 401(k) plan (“401K Plan”) effective January 1, 2007. The Plan is open to all full time employees. The 401K Plan permits an employee to defer a portion of their total annual compensation up to the Internal Revenue Service annual maximum based on age and eligibility. The Company makes contributions to the 401K Plan of up to 2% of the $250,000 maximum eligible compensation, which fully vest at the time of contribution. For the three months ended March 31, 2013 and 2012, the Company made contributions to the 401K Plan of approximately $11,000 and $11,000, respectively.</w:t>
      </w:r>
    </w:p>
    <w:p>
      <w:pPr>
        <w:spacing w:after="0" w:line="188" w:lineRule="exact"/>
        <w:rPr>
          <w:sz w:val="20"/>
          <w:szCs w:val="20"/>
          <w:color w:val="auto"/>
        </w:rPr>
      </w:pPr>
    </w:p>
    <w:p>
      <w:pPr>
        <w:ind w:right="240" w:firstLine="324"/>
        <w:spacing w:after="0" w:line="291" w:lineRule="auto"/>
        <w:rPr>
          <w:sz w:val="20"/>
          <w:szCs w:val="20"/>
          <w:color w:val="auto"/>
        </w:rPr>
      </w:pPr>
      <w:r>
        <w:rPr>
          <w:rFonts w:ascii="Arial" w:cs="Arial" w:eastAsia="Arial" w:hAnsi="Arial"/>
          <w:sz w:val="16"/>
          <w:szCs w:val="16"/>
          <w:color w:val="auto"/>
        </w:rPr>
        <w:t>The Company has also adopted a deferred compensation plan (“Profit-Sharing Plan”) effective January 1, 2007. Employees are eligible for the Profit-Sharing Plan provided that they are employed and working with the Company to participate in at least 100 days during the year and remain employed as of the last day of the year. Employees do not make contributions to the Profit-Sharing Plan. On behalf of the employee, the Company may contribute to the Profit-Sharing Plan 1) up to 8.0% of all compensation up to the Internal Revenue Service annual maximum and 2) up to 5.7% excess contributions on any incremental amounts above the social security wage base limitation and up to the Internal Revenue Service annual maximum. Employees vest 100% in the Profit-Sharing Plan after five years of service. For the three months ended March 31, 2013, the Company made a contribution of approximately $45,000 to the Profit-Sharing Plan and a contribution of $35,000 to the Profit Sharing Plan Plan for the three months ended March 31, 2012.</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On April 4, 2013 $8,992,000 of the Company’s 8.75% Convertible Senior Notes were converted at a price basis per share of $8.159 into 1,102,093 shares of KCAP common stock. The effect on the March 31, 2013 earnings per share would have been a decrease of $0.01 per share.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320" w:firstLine="414"/>
        <w:spacing w:after="0" w:line="277" w:lineRule="auto"/>
        <w:rPr>
          <w:sz w:val="20"/>
          <w:szCs w:val="20"/>
          <w:color w:val="auto"/>
        </w:rPr>
      </w:pPr>
      <w:r>
        <w:rPr>
          <w:rFonts w:ascii="Arial" w:cs="Arial" w:eastAsia="Arial" w:hAnsi="Arial"/>
          <w:sz w:val="18"/>
          <w:szCs w:val="18"/>
          <w:color w:val="auto"/>
        </w:rPr>
        <w:t>In this Quarterly Report on Form 10-Q, “KCAP Financial,” “Company,” “we,” “us,” and “our” refer to KCAP Financial, Inc., and its wholly-owned subsidiary.</w:t>
      </w:r>
    </w:p>
    <w:p>
      <w:pPr>
        <w:spacing w:after="0" w:line="170" w:lineRule="exact"/>
        <w:rPr>
          <w:sz w:val="20"/>
          <w:szCs w:val="20"/>
          <w:color w:val="auto"/>
        </w:rPr>
      </w:pPr>
    </w:p>
    <w:p>
      <w:pPr>
        <w:ind w:firstLine="414"/>
        <w:spacing w:after="0" w:line="269" w:lineRule="auto"/>
        <w:rPr>
          <w:sz w:val="20"/>
          <w:szCs w:val="20"/>
          <w:color w:val="auto"/>
        </w:rPr>
      </w:pPr>
      <w:r>
        <w:rPr>
          <w:rFonts w:ascii="Arial" w:cs="Arial" w:eastAsia="Arial" w:hAnsi="Arial"/>
          <w:sz w:val="17"/>
          <w:szCs w:val="17"/>
          <w:color w:val="auto"/>
        </w:rPr>
        <w:t>The information contained in this section should be read in conjunction with our financial statements and notes thereto appearing elsewhere in this Quarterly Report. In addition, some of the statements in this report constitute forward-looking statements. The matters discussed in this Quarterly Report, as well as in future oral and written statements by management of KCAP Financial, that are forward-looking statements are based on current management expectations that involve substantial risks and uncertainties which could cause actual results to differ materially from the results expressed in, or implied by, these forward-looking statements. Forward-looking statements relate to future events or our future financial performance. We generally identify forward-looking statements by terminology such as “may,” “will,” “should,” “expects,” “plans,” “anticipates,” “could,” “intends,” “target,” “projects,” “believes,” “estimates,” “predicts,” “potential” or “continue” or the negative of these terms or other similar words. Important assumptions include our ability to originate new investments, achieve certain margins and levels of profitability, the availability of funds under our credit facility, the availability of additional capital, and the ability to maintain certain debt to asset ratios. In light of these and other uncertainties, the inclusion of a projection or forward-looking statement in this Quarterly Report should not be regarded as a representation by us that our plans or objectives will be achieved. The forward-looking statements contained in this Quarterly Report include statements as to:</w:t>
      </w:r>
    </w:p>
    <w:p>
      <w:pPr>
        <w:spacing w:after="0" w:line="183" w:lineRule="exact"/>
        <w:rPr>
          <w:sz w:val="20"/>
          <w:szCs w:val="20"/>
          <w:color w:val="auto"/>
        </w:rPr>
      </w:pPr>
    </w:p>
    <w:p>
      <w:pPr>
        <w:ind w:left="920" w:hanging="331"/>
        <w:spacing w:after="0"/>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business prospects and the prospects of our existing and prospective portfolio companies;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return or impact of current and future investments;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contractual arrangements and other relationships with third parties;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financial condition and ability of our existing and prospective portfolio companies to achieve their objectives;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regulatory structure and tax treatment;</w:t>
      </w:r>
    </w:p>
    <w:p>
      <w:pPr>
        <w:spacing w:after="0" w:line="225" w:lineRule="exact"/>
        <w:rPr>
          <w:rFonts w:ascii="Arial" w:cs="Arial" w:eastAsia="Arial" w:hAnsi="Arial"/>
          <w:sz w:val="18"/>
          <w:szCs w:val="18"/>
          <w:color w:val="auto"/>
        </w:rPr>
      </w:pPr>
    </w:p>
    <w:p>
      <w:pPr>
        <w:ind w:left="920" w:right="460" w:hanging="331"/>
        <w:spacing w:after="0" w:line="277" w:lineRule="auto"/>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operate as a business development company and a registered investment company, including the impact of changes in laws or regulations governing our operations, or the operations of our portfolio companies;</w:t>
      </w:r>
    </w:p>
    <w:p>
      <w:pPr>
        <w:spacing w:after="0" w:line="170" w:lineRule="exact"/>
        <w:rPr>
          <w:rFonts w:ascii="Arial" w:cs="Arial" w:eastAsia="Arial" w:hAnsi="Arial"/>
          <w:sz w:val="18"/>
          <w:szCs w:val="18"/>
          <w:color w:val="auto"/>
        </w:rPr>
      </w:pPr>
    </w:p>
    <w:p>
      <w:pPr>
        <w:ind w:left="920" w:hanging="331"/>
        <w:spacing w:after="0"/>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recover unrealized losses;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market conditions and our ability to access additional capital; and</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timing, form and amount of any dividend distributions.</w:t>
      </w:r>
    </w:p>
    <w:p>
      <w:pPr>
        <w:spacing w:after="0" w:line="225" w:lineRule="exact"/>
        <w:rPr>
          <w:sz w:val="20"/>
          <w:szCs w:val="20"/>
          <w:color w:val="auto"/>
        </w:rPr>
      </w:pPr>
    </w:p>
    <w:p>
      <w:pPr>
        <w:ind w:right="80" w:firstLine="414"/>
        <w:spacing w:after="0" w:line="273" w:lineRule="auto"/>
        <w:rPr>
          <w:sz w:val="20"/>
          <w:szCs w:val="20"/>
          <w:color w:val="auto"/>
        </w:rPr>
      </w:pPr>
      <w:r>
        <w:rPr>
          <w:rFonts w:ascii="Arial" w:cs="Arial" w:eastAsia="Arial" w:hAnsi="Arial"/>
          <w:sz w:val="17"/>
          <w:szCs w:val="17"/>
          <w:color w:val="auto"/>
        </w:rPr>
        <w:t>There are a number of important risks and uncertainties that could cause our actual results to differ materially from those indicated by such forward-looking statements. For a discussion of factors that could cause our actual results to differ from forward-looking statements contained in this Quarterly Report, please see the discussion in Part II, “Item 1A. Risk Factors”, and in Part I, “Item 1A. Risk Factors” in our Annual Report on Form 10-K for the fiscal year ended December 31, 2012. You should not place undue reliance on these forward-looking statements. The forward-looking statements made in this Quarterly Report relate only to events as of the date on which the statements are made. We undertake no obligation to update any forward-looking statement to reflect events or circumstances occurring after the date this Quarterly Report is filed with the SEC.</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We are an internally managed, non-diversified closed-end investment company that is regulated as a BDC under the 1940 Act. We originate, structure, and invest in senior secured term loans, mezzanine debt and selected equity securities primarily in privately-held middle market companies. We define the middle market as comprising companies with EBITDA of $10 million to $50 million and/or total debt of $25 million to $150 million.</w:t>
      </w:r>
    </w:p>
    <w:p>
      <w:pPr>
        <w:spacing w:after="0" w:line="166" w:lineRule="exact"/>
        <w:rPr>
          <w:sz w:val="20"/>
          <w:szCs w:val="20"/>
          <w:color w:val="auto"/>
        </w:rPr>
      </w:pPr>
    </w:p>
    <w:p>
      <w:pPr>
        <w:ind w:right="320" w:firstLine="270"/>
        <w:spacing w:after="0" w:line="312" w:lineRule="auto"/>
        <w:rPr>
          <w:sz w:val="20"/>
          <w:szCs w:val="20"/>
          <w:color w:val="auto"/>
        </w:rPr>
      </w:pPr>
      <w:r>
        <w:rPr>
          <w:rFonts w:ascii="Arial" w:cs="Arial" w:eastAsia="Arial" w:hAnsi="Arial"/>
          <w:sz w:val="16"/>
          <w:szCs w:val="16"/>
          <w:color w:val="auto"/>
        </w:rPr>
        <w:t>Our investment objective is to generate current income and capital appreciation from the investments made by our middle market business in senior secured term loans, mezzanine debt and selected equity investments in privately-held middle market companies. We also expect to receive distributions of recurring fee income and to generate capital appreciation from our investments in the asset management businesses of the Asset Manager Affiliates.</w:t>
      </w:r>
    </w:p>
    <w:p>
      <w:pPr>
        <w:spacing w:after="0" w:line="147" w:lineRule="exact"/>
        <w:rPr>
          <w:sz w:val="20"/>
          <w:szCs w:val="20"/>
          <w:color w:val="auto"/>
        </w:rPr>
      </w:pPr>
    </w:p>
    <w:p>
      <w:pPr>
        <w:jc w:val="both"/>
        <w:ind w:right="300" w:firstLine="270"/>
        <w:spacing w:after="0" w:line="264" w:lineRule="auto"/>
        <w:rPr>
          <w:sz w:val="20"/>
          <w:szCs w:val="20"/>
          <w:color w:val="auto"/>
        </w:rPr>
      </w:pPr>
      <w:r>
        <w:rPr>
          <w:rFonts w:ascii="Arial" w:cs="Arial" w:eastAsia="Arial" w:hAnsi="Arial"/>
          <w:sz w:val="18"/>
          <w:szCs w:val="18"/>
          <w:color w:val="auto"/>
        </w:rPr>
        <w:t>We intend to grow our portfolio of assets by raising additional capital, including through the prudent use of leverage available to us. As a BDC, we are limited in the amount of leverage we can incur under the 1940 Act. We are only allowed to borrow amounts such that our asset coverage, as defined in the 1940 Act, equals at least 200% after such borrowing.</w:t>
      </w:r>
    </w:p>
    <w:p>
      <w:pPr>
        <w:spacing w:after="0" w:line="181" w:lineRule="exact"/>
        <w:rPr>
          <w:sz w:val="20"/>
          <w:szCs w:val="20"/>
          <w:color w:val="auto"/>
        </w:rPr>
      </w:pPr>
    </w:p>
    <w:p>
      <w:pPr>
        <w:ind w:right="60" w:firstLine="270"/>
        <w:spacing w:after="0" w:line="255" w:lineRule="auto"/>
        <w:rPr>
          <w:sz w:val="20"/>
          <w:szCs w:val="20"/>
          <w:color w:val="auto"/>
        </w:rPr>
      </w:pPr>
      <w:r>
        <w:rPr>
          <w:rFonts w:ascii="Arial" w:cs="Arial" w:eastAsia="Arial" w:hAnsi="Arial"/>
          <w:sz w:val="18"/>
          <w:szCs w:val="18"/>
          <w:color w:val="auto"/>
        </w:rPr>
        <w:t>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While our primary investment focus is on making loans to, and selected equity investments in, privately-held middle market companies, we may also invest in other investments such as loans to larger, publicly-traded companies, high-yield bonds and distressed debt securities. We may also receive warrants or options to purchase common stock in connection with our debt investments. In addition, we may also invest in debt and equity securities issued by CLO Funds managed by our Asset Manager Affiliates or by other asset managers.</w:t>
      </w:r>
    </w:p>
    <w:p>
      <w:pPr>
        <w:spacing w:after="0" w:line="193" w:lineRule="exact"/>
        <w:rPr>
          <w:sz w:val="20"/>
          <w:szCs w:val="20"/>
          <w:color w:val="auto"/>
        </w:rPr>
      </w:pPr>
    </w:p>
    <w:p>
      <w:pPr>
        <w:ind w:right="20" w:firstLine="270"/>
        <w:spacing w:after="0" w:line="290" w:lineRule="auto"/>
        <w:rPr>
          <w:sz w:val="20"/>
          <w:szCs w:val="20"/>
          <w:color w:val="auto"/>
        </w:rPr>
      </w:pPr>
      <w:r>
        <w:rPr>
          <w:rFonts w:ascii="Arial" w:cs="Arial" w:eastAsia="Arial" w:hAnsi="Arial"/>
          <w:sz w:val="16"/>
          <w:szCs w:val="16"/>
          <w:color w:val="auto"/>
        </w:rPr>
        <w:t>Katonah Debt Advisors, a registered investment adviser, is a wholly-owned portfolio company of the Company. Katonah Debt Advisors manages collateralized loan obligation funds (“CLO Funds”) which invest in broadly syndicated loans, high-yield bonds and other credit instruments. On February 29, 2012, we purchased Trimaran Advisors, a registered investment adviser and CLO manager similar to Katonah Debt Advisors with assets under management of approximately $1.5 billion, for total consideration of $13.0 million in cash and 3,600,000 shares of our common stock. Contemporaneously with the acquisition of Trimaran Advisors, we acquired from Trimaran Advisors equity interests in certain CLO Funds managed by Trimaran Advisors for an aggregate purchase price of $12.0 million in cash. As of March 31, 2013, Katonah Debt Advisors and Trimaran Advisors are our only wholly-owned portfolio companies (collectively, “Asset Manager Affiliates”) and have approximately $3.5 billion of par value assets under management. Katonah Debt Advisors and Trimaran Advisors are each managed independently from us by separate management teams and investment committees.</w:t>
      </w:r>
    </w:p>
    <w:p>
      <w:pPr>
        <w:spacing w:after="0" w:line="166" w:lineRule="exact"/>
        <w:rPr>
          <w:sz w:val="20"/>
          <w:szCs w:val="20"/>
          <w:color w:val="auto"/>
        </w:rPr>
      </w:pPr>
    </w:p>
    <w:p>
      <w:pPr>
        <w:ind w:right="20" w:firstLine="270"/>
        <w:spacing w:after="0" w:line="254" w:lineRule="auto"/>
        <w:rPr>
          <w:sz w:val="20"/>
          <w:szCs w:val="20"/>
          <w:color w:val="auto"/>
        </w:rPr>
      </w:pPr>
      <w:r>
        <w:rPr>
          <w:rFonts w:ascii="Arial" w:cs="Arial" w:eastAsia="Arial" w:hAnsi="Arial"/>
          <w:sz w:val="18"/>
          <w:szCs w:val="18"/>
          <w:color w:val="auto"/>
        </w:rPr>
        <w:t>Under the investment company rules and regulations pursuant to Article 6 of Regulation S-X and the “Audit and Accounting Guide for Investment Companies” issued by the AICPA Guide, we are precluded from consolidating portfolio company investments, including those in which we have a controlling interest, unless the portfolio company is another investment company. An exception to this general principle in the AICPA Guide occurs if we own a controlled operating company that provides all or substantially all of its services directly to us, or to an investment company of ours. None of the investments made by us qualify for this exception. Therefore, our portfolio investments, including our investments in the Asset Manager Affiliates, are carried on the balance sheet at fair value with any adjustments to fair value recognized as “Net Change in Unrealized Appreciation (Depreciation)” in our statement of operations until the investment is exited, resulting in any gain or loss on exit being recognized as a “Net Realized Gains (Losses) from Investment Transactions.”</w:t>
      </w:r>
    </w:p>
    <w:p>
      <w:pPr>
        <w:spacing w:after="0" w:line="192"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We have elected to be treated for U.S. federal income tax purposes as a RIC and intend to operate in a manner to maintain our RIC status. As a RIC, we intend to distribute to our stockholders substantially all of our net ordinary income and the excess of realized net short-term capital gains over realized net long-term capital losses, if any, for each year. To qualify as a RIC, we must, among other things, meet certain source-of-income and asset diversification requirements. Pursuant to this election, we generally will not have to pay corporate-level U.S. federal income taxes on any income that we timely distribute to our stockholders. Our common stock is traded on The NASDAQ Global Select Market under the symbol “KCAP.” The net asset value per share of our common stock at March 31, 2013 was $8.33. On March 31, 2013, the last reported sale price of a share of our common stock on The NASDAQ Global Select Market was $10.77.</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KEY QUANTITATIVE AND QUALITATIVE FINANCIAL MEASURES AND INDICATORS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Asset Value</w:t>
      </w:r>
    </w:p>
    <w:p>
      <w:pPr>
        <w:spacing w:after="0" w:line="22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net asset value per share was $8.33 and $7.85 as of March 31, 2013 and December 31, 2012, respectively. As we must report our assets at fair value for each reporting period, net asset value also represents the amount of stockholder’s equity per share for the reporting period. Our net asset value is comprised mostly of investment assets less debt and other liabilities. The table below sets forth information relating to our net asset value and net asset value per share.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4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March 31, 2013 (unaudited)</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0" w:type="dxa"/>
            <w:vAlign w:val="bottom"/>
            <w:gridSpan w:val="6"/>
          </w:tcPr>
          <w:p>
            <w:pPr>
              <w:ind w:left="740"/>
              <w:spacing w:after="0"/>
              <w:rPr>
                <w:sz w:val="20"/>
                <w:szCs w:val="20"/>
                <w:color w:val="auto"/>
              </w:rPr>
            </w:pPr>
            <w:r>
              <w:rPr>
                <w:rFonts w:ascii="Arial" w:cs="Arial" w:eastAsia="Arial" w:hAnsi="Arial"/>
                <w:sz w:val="18"/>
                <w:szCs w:val="18"/>
                <w:b w:val="1"/>
                <w:bCs w:val="1"/>
                <w:color w:val="auto"/>
              </w:rPr>
              <w:t>December 31, 2012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Fair Value ¹</w:t>
            </w: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8"/>
              </w:rPr>
              <w:t>Per Share ¹</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Fair Value ¹</w:t>
            </w:r>
          </w:p>
        </w:tc>
        <w:tc>
          <w:tcPr>
            <w:tcW w:w="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8"/>
              </w:rPr>
              <w:t>Per Share ¹</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Investments at fair value:</w:t>
            </w:r>
          </w:p>
        </w:tc>
        <w:tc>
          <w:tcPr>
            <w:tcW w:w="180" w:type="dxa"/>
            <w:vAlign w:val="bottom"/>
            <w:tcBorders>
              <w:top w:val="single" w:sz="8" w:color="auto"/>
            </w:tcBorders>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34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Investments in time deposits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1,942,834</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FFCC"/>
          </w:tcPr>
          <w:p>
            <w:pPr>
              <w:ind w:left="220"/>
              <w:spacing w:after="0"/>
              <w:rPr>
                <w:sz w:val="20"/>
                <w:szCs w:val="20"/>
                <w:color w:val="auto"/>
              </w:rPr>
            </w:pPr>
            <w:r>
              <w:rPr>
                <w:rFonts w:ascii="Arial" w:cs="Arial" w:eastAsia="Arial" w:hAnsi="Arial"/>
                <w:sz w:val="18"/>
                <w:szCs w:val="18"/>
                <w:color w:val="auto"/>
              </w:rPr>
              <w:t>Investments in money market accounts</w:t>
            </w:r>
          </w:p>
        </w:tc>
        <w:tc>
          <w:tcPr>
            <w:tcW w:w="180" w:type="dxa"/>
            <w:vAlign w:val="bottom"/>
            <w:shd w:val="clear" w:color="auto" w:fill="CCFFCC"/>
          </w:tcPr>
          <w:p>
            <w:pPr>
              <w:spacing w:after="0"/>
              <w:rPr>
                <w:sz w:val="18"/>
                <w:szCs w:val="18"/>
                <w:color w:val="auto"/>
              </w:rPr>
            </w:pPr>
          </w:p>
        </w:tc>
        <w:tc>
          <w:tcPr>
            <w:tcW w:w="166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38,887,925</w:t>
            </w:r>
          </w:p>
        </w:tc>
        <w:tc>
          <w:tcPr>
            <w:tcW w:w="22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30,543,824</w:t>
            </w: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Investments in debt securities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151,549,821</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4.75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111,037,882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FFCC"/>
          </w:tcPr>
          <w:p>
            <w:pPr>
              <w:ind w:left="220"/>
              <w:spacing w:after="0"/>
              <w:rPr>
                <w:sz w:val="20"/>
                <w:szCs w:val="20"/>
                <w:color w:val="auto"/>
              </w:rPr>
            </w:pPr>
            <w:r>
              <w:rPr>
                <w:rFonts w:ascii="Arial" w:cs="Arial" w:eastAsia="Arial" w:hAnsi="Arial"/>
                <w:sz w:val="18"/>
                <w:szCs w:val="18"/>
                <w:color w:val="auto"/>
              </w:rPr>
              <w:t>Investments in CLO Fund securities</w:t>
            </w:r>
          </w:p>
        </w:tc>
        <w:tc>
          <w:tcPr>
            <w:tcW w:w="180" w:type="dxa"/>
            <w:vAlign w:val="bottom"/>
            <w:shd w:val="clear" w:color="auto" w:fill="CCFFCC"/>
          </w:tcPr>
          <w:p>
            <w:pPr>
              <w:spacing w:after="0"/>
              <w:rPr>
                <w:sz w:val="18"/>
                <w:szCs w:val="18"/>
                <w:color w:val="auto"/>
              </w:rPr>
            </w:pPr>
          </w:p>
        </w:tc>
        <w:tc>
          <w:tcPr>
            <w:tcW w:w="166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78,270,059</w:t>
            </w:r>
          </w:p>
        </w:tc>
        <w:tc>
          <w:tcPr>
            <w:tcW w:w="22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2.45</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83,257,507</w:t>
            </w: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Investments in equity securities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7,839,699</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0.25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8,020,716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FFCC"/>
          </w:tcPr>
          <w:p>
            <w:pPr>
              <w:ind w:left="220"/>
              <w:spacing w:after="0"/>
              <w:rPr>
                <w:sz w:val="20"/>
                <w:szCs w:val="20"/>
                <w:color w:val="auto"/>
              </w:rPr>
            </w:pPr>
            <w:r>
              <w:rPr>
                <w:rFonts w:ascii="Arial" w:cs="Arial" w:eastAsia="Arial" w:hAnsi="Arial"/>
                <w:sz w:val="18"/>
                <w:szCs w:val="18"/>
                <w:color w:val="auto"/>
              </w:rPr>
              <w:t>Investments in Asset Manager Affiliates</w:t>
            </w:r>
          </w:p>
        </w:tc>
        <w:tc>
          <w:tcPr>
            <w:tcW w:w="180" w:type="dxa"/>
            <w:vAlign w:val="bottom"/>
            <w:shd w:val="clear" w:color="auto" w:fill="CCFFCC"/>
          </w:tcPr>
          <w:p>
            <w:pPr>
              <w:spacing w:after="0"/>
              <w:rPr>
                <w:sz w:val="18"/>
                <w:szCs w:val="18"/>
                <w:color w:val="auto"/>
              </w:rPr>
            </w:pPr>
          </w:p>
        </w:tc>
        <w:tc>
          <w:tcPr>
            <w:tcW w:w="166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80,354,000</w:t>
            </w:r>
          </w:p>
        </w:tc>
        <w:tc>
          <w:tcPr>
            <w:tcW w:w="22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2.52</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77,242,000</w:t>
            </w: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Cash</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5,070,802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0.16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738,756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FFCC"/>
          </w:tcPr>
          <w:p>
            <w:pPr>
              <w:spacing w:after="0"/>
              <w:rPr>
                <w:sz w:val="19"/>
                <w:szCs w:val="19"/>
                <w:color w:val="auto"/>
              </w:rPr>
            </w:pP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9,215,655</w:t>
            </w:r>
          </w:p>
        </w:tc>
        <w:tc>
          <w:tcPr>
            <w:tcW w:w="34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4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0.29</w:t>
            </w:r>
          </w:p>
        </w:tc>
        <w:tc>
          <w:tcPr>
            <w:tcW w:w="16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6,476,954</w:t>
            </w:r>
          </w:p>
        </w:tc>
        <w:tc>
          <w:tcPr>
            <w:tcW w:w="16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371,187,961</w:t>
            </w:r>
          </w:p>
        </w:tc>
        <w:tc>
          <w:tcPr>
            <w:tcW w:w="340" w:type="dxa"/>
            <w:vAlign w:val="bottom"/>
            <w:shd w:val="clear" w:color="auto" w:fill="CCFFCC"/>
          </w:tcPr>
          <w:p>
            <w:pPr>
              <w:spacing w:after="0"/>
              <w:rPr>
                <w:sz w:val="18"/>
                <w:szCs w:val="18"/>
                <w:color w:val="auto"/>
              </w:rPr>
            </w:pP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11.64</w:t>
            </w:r>
          </w:p>
        </w:tc>
        <w:tc>
          <w:tcPr>
            <w:tcW w:w="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319,260,473</w:t>
            </w:r>
          </w:p>
        </w:tc>
        <w:tc>
          <w:tcPr>
            <w:tcW w:w="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Senior Convertible Notes</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60,000,000</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1.88</w:t>
            </w:r>
          </w:p>
        </w:tc>
        <w:tc>
          <w:tcPr>
            <w:tcW w:w="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60,000,000</w:t>
            </w:r>
          </w:p>
        </w:tc>
        <w:tc>
          <w:tcPr>
            <w:tcW w:w="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Senior Notes</w:t>
            </w:r>
          </w:p>
        </w:tc>
        <w:tc>
          <w:tcPr>
            <w:tcW w:w="18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41,400,000</w:t>
            </w:r>
          </w:p>
        </w:tc>
        <w:tc>
          <w:tcPr>
            <w:tcW w:w="2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41,400,000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FFCC"/>
          </w:tcPr>
          <w:p>
            <w:pPr>
              <w:spacing w:after="0"/>
              <w:rPr>
                <w:sz w:val="19"/>
                <w:szCs w:val="19"/>
                <w:color w:val="auto"/>
              </w:rPr>
            </w:pP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3,915,636</w:t>
            </w:r>
          </w:p>
        </w:tc>
        <w:tc>
          <w:tcPr>
            <w:tcW w:w="34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4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0.13</w:t>
            </w:r>
          </w:p>
        </w:tc>
        <w:tc>
          <w:tcPr>
            <w:tcW w:w="16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9,984,814</w:t>
            </w:r>
          </w:p>
        </w:tc>
        <w:tc>
          <w:tcPr>
            <w:tcW w:w="16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105,315,636</w:t>
            </w:r>
          </w:p>
        </w:tc>
        <w:tc>
          <w:tcPr>
            <w:tcW w:w="340" w:type="dxa"/>
            <w:vAlign w:val="bottom"/>
            <w:shd w:val="clear" w:color="auto" w:fill="CCFFCC"/>
          </w:tcPr>
          <w:p>
            <w:pPr>
              <w:spacing w:after="0"/>
              <w:rPr>
                <w:sz w:val="19"/>
                <w:szCs w:val="19"/>
                <w:color w:val="auto"/>
              </w:rPr>
            </w:pP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3.31</w:t>
            </w:r>
          </w:p>
        </w:tc>
        <w:tc>
          <w:tcPr>
            <w:tcW w:w="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111,384,814</w:t>
            </w:r>
          </w:p>
        </w:tc>
        <w:tc>
          <w:tcPr>
            <w:tcW w:w="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NET ASSET VALUE</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265,872,325</w:t>
            </w:r>
          </w:p>
        </w:tc>
        <w:tc>
          <w:tcPr>
            <w:tcW w:w="340" w:type="dxa"/>
            <w:vAlign w:val="bottom"/>
            <w:shd w:val="clear" w:color="auto" w:fill="CCFFCC"/>
          </w:tcPr>
          <w:p>
            <w:pPr>
              <w:spacing w:after="0"/>
              <w:rPr>
                <w:sz w:val="21"/>
                <w:szCs w:val="21"/>
                <w:color w:val="auto"/>
              </w:rPr>
            </w:pP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8.33</w:t>
            </w:r>
          </w:p>
        </w:tc>
        <w:tc>
          <w:tcPr>
            <w:tcW w:w="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207,875,659</w:t>
            </w:r>
          </w:p>
        </w:tc>
        <w:tc>
          <w:tcPr>
            <w:tcW w:w="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4490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44" w:lineRule="exact"/>
        <w:rPr>
          <w:sz w:val="20"/>
          <w:szCs w:val="20"/>
          <w:color w:val="auto"/>
        </w:rPr>
      </w:pPr>
    </w:p>
    <w:p>
      <w:pPr>
        <w:ind w:left="340" w:right="20" w:hanging="332"/>
        <w:spacing w:after="0" w:line="256" w:lineRule="auto"/>
        <w:tabs>
          <w:tab w:leader="none" w:pos="340" w:val="left"/>
        </w:tabs>
        <w:numPr>
          <w:ilvl w:val="0"/>
          <w:numId w:val="37"/>
        </w:numPr>
        <w:rPr>
          <w:rFonts w:ascii="Arial" w:cs="Arial" w:eastAsia="Arial" w:hAnsi="Arial"/>
          <w:sz w:val="26"/>
          <w:szCs w:val="26"/>
          <w:color w:val="auto"/>
          <w:vertAlign w:val="superscript"/>
        </w:rPr>
      </w:pPr>
      <w:r>
        <w:rPr>
          <w:rFonts w:ascii="Arial" w:cs="Arial" w:eastAsia="Arial" w:hAnsi="Arial"/>
          <w:sz w:val="16"/>
          <w:szCs w:val="16"/>
          <w:color w:val="auto"/>
        </w:rPr>
        <w:t>Our balance sheet at fair value and resultant net asset value are calculated on a basis consistent with accounting principles generally accepted in the United States of America ("GAAP"). Our per share presentation of such amounts (other than net asset value per share) is an internally derived non-GAAP performance measure calculated by dividing the applicable balance sheet amount by outstanding shares. We believe that the per share amounts for such balance sheet items are helpful in analyzing our balance sheet both quantitatively and qualitatively in that our shares may trade based on a percentage of net asset value and individual investors may weight certain balance sheet items differently in performing an analysis of the Company.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 Summary Attributes as of and for the Three Months ended March 31, 2013</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Our investment portfolio generates net investment income which is generally used to pay principal and interest on our borrowings and to fund our dividend. Our investment portfolio consists of three primary components: debt securities, CLO Fund securities and our investments in the Asset Manager Affiliates. We also have investments in equity securities of approximately $8 million, which comprises approximately 2% of our investment portfolio. Below are summary attributes for each of our primary investment portfolio components (see “—Investment Securities” for a more detailed description) as of and for the three months ended March 31,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Securities</w:t>
      </w:r>
    </w:p>
    <w:p>
      <w:pPr>
        <w:spacing w:after="0" w:line="225" w:lineRule="exact"/>
        <w:rPr>
          <w:sz w:val="20"/>
          <w:szCs w:val="20"/>
          <w:color w:val="auto"/>
        </w:rPr>
      </w:pPr>
    </w:p>
    <w:p>
      <w:pPr>
        <w:ind w:left="820" w:hanging="326"/>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 approximately 41% of total assets;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 credit instruments issued by corporate borrowers;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primarily senior secured and junior secured loans (49% and 26% of debt securities, respectively);</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spread across 24 different industries and 54 different entities;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average balance per investment of approximately $2.8 million;</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but five issuers (representing less than 1% of total investments at fair value) are current on their debt service obligations;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weighted average interest rate of 7.7% on income producing debt investments.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 xml:space="preserve">CLO Fund Securities </w:t>
      </w:r>
      <w:r>
        <w:rPr>
          <w:rFonts w:ascii="Arial" w:cs="Arial" w:eastAsia="Arial" w:hAnsi="Arial"/>
          <w:sz w:val="18"/>
          <w:szCs w:val="18"/>
          <w:color w:val="auto"/>
        </w:rPr>
        <w:t>(as of the last monthly trustee report prior to March 31, 2013 unless otherwise specified)</w:t>
      </w:r>
    </w:p>
    <w:p>
      <w:pPr>
        <w:spacing w:after="0" w:line="225" w:lineRule="exact"/>
        <w:rPr>
          <w:sz w:val="20"/>
          <w:szCs w:val="20"/>
          <w:color w:val="auto"/>
        </w:rPr>
      </w:pPr>
    </w:p>
    <w:p>
      <w:pPr>
        <w:ind w:left="820" w:hanging="326"/>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 approximately 21% of total assets at March 31, 2013;</w:t>
      </w:r>
    </w:p>
    <w:p>
      <w:pPr>
        <w:spacing w:after="0" w:line="225" w:lineRule="exact"/>
        <w:rPr>
          <w:rFonts w:ascii="Arial" w:cs="Arial" w:eastAsia="Arial" w:hAnsi="Arial"/>
          <w:sz w:val="18"/>
          <w:szCs w:val="18"/>
          <w:color w:val="auto"/>
        </w:rPr>
      </w:pPr>
    </w:p>
    <w:p>
      <w:pPr>
        <w:ind w:left="820" w:right="320" w:hanging="326"/>
        <w:spacing w:after="0" w:line="277" w:lineRule="auto"/>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88% of CLO Fund securities represent investments in subordinated securities or equity securities issued by CLO Funds and 12% of CLO Fund securities are rated notes;</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CLO Funds invest primarily in credit instruments issued by corporate borrowers;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15 different CLO Fund securities; 12 of such CLO Fund securities are managed by our Asset Manager Affiliates; and</w:t>
      </w:r>
    </w:p>
    <w:p>
      <w:pPr>
        <w:spacing w:after="0" w:line="225" w:lineRule="exact"/>
        <w:rPr>
          <w:rFonts w:ascii="Arial" w:cs="Arial" w:eastAsia="Arial" w:hAnsi="Arial"/>
          <w:sz w:val="18"/>
          <w:szCs w:val="18"/>
          <w:color w:val="auto"/>
        </w:rPr>
      </w:pPr>
    </w:p>
    <w:p>
      <w:pPr>
        <w:ind w:left="820" w:right="520" w:hanging="326"/>
        <w:spacing w:after="0" w:line="277" w:lineRule="auto"/>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two CLO Fund securities, not managed by our Asset Manager Affiliates, representing a fair value of $450,000, are not currently providing a dividend payment to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Manager Affiliates</w:t>
      </w:r>
    </w:p>
    <w:p>
      <w:pPr>
        <w:spacing w:after="0" w:line="225" w:lineRule="exact"/>
        <w:rPr>
          <w:sz w:val="20"/>
          <w:szCs w:val="20"/>
          <w:color w:val="auto"/>
        </w:rPr>
      </w:pPr>
    </w:p>
    <w:p>
      <w:pPr>
        <w:ind w:left="820" w:hanging="326"/>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 approximately 22% of fair value of total assets;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have approximately $3.5 billion of assets under management;</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receive contractual and recurring asset management fees based on par value of managed investments;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may receive an incentive fee provided that the CLO Fund achieves a minimum designated return on investment;</w:t>
      </w:r>
    </w:p>
    <w:p>
      <w:pPr>
        <w:spacing w:after="0" w:line="225" w:lineRule="exact"/>
        <w:rPr>
          <w:rFonts w:ascii="Arial" w:cs="Arial" w:eastAsia="Arial" w:hAnsi="Arial"/>
          <w:sz w:val="18"/>
          <w:szCs w:val="18"/>
          <w:color w:val="auto"/>
        </w:rPr>
      </w:pPr>
    </w:p>
    <w:p>
      <w:pPr>
        <w:ind w:left="820" w:right="40" w:hanging="326"/>
        <w:spacing w:after="0" w:line="277" w:lineRule="auto"/>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dividends paid by our Asset Manager Affiliates are recognized as dividend income from affiliate asset manager on our statement of operations and are an additional source of income to pay our dividend;</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 the three months ended March 31, 2013, our Asset Manager Affiliates had EBITDA of approximately $2 million; and</w:t>
      </w:r>
    </w:p>
    <w:p>
      <w:pPr>
        <w:spacing w:after="0" w:line="225" w:lineRule="exact"/>
        <w:rPr>
          <w:rFonts w:ascii="Arial" w:cs="Arial" w:eastAsia="Arial" w:hAnsi="Arial"/>
          <w:sz w:val="18"/>
          <w:szCs w:val="18"/>
          <w:color w:val="auto"/>
        </w:rPr>
      </w:pPr>
    </w:p>
    <w:p>
      <w:pPr>
        <w:ind w:left="820" w:right="520" w:hanging="326"/>
        <w:spacing w:after="0" w:line="277" w:lineRule="auto"/>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 the three months ended March 31, 2013, our Asset Manager Affiliates made a distribution of $3 million to the Company in the form of a dividend which is recognized as current earnings to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Revenues consist primarily of investment income from interest and dividends on our investment portfolio and various ancillary fees related to our investment holdings.</w:t>
      </w:r>
    </w:p>
    <w:p>
      <w:pPr>
        <w:spacing w:after="0" w:line="17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i w:val="1"/>
          <w:iCs w:val="1"/>
          <w:color w:val="auto"/>
        </w:rPr>
        <w:t>Interest from Investments in Debt Securities</w:t>
      </w:r>
      <w:r>
        <w:rPr>
          <w:rFonts w:ascii="Arial" w:cs="Arial" w:eastAsia="Arial" w:hAnsi="Arial"/>
          <w:sz w:val="18"/>
          <w:szCs w:val="18"/>
          <w:color w:val="auto"/>
        </w:rPr>
        <w:t>. We generate interest income from our investments in debt securities which consist primarily of senior and</w:t>
      </w:r>
      <w:r>
        <w:rPr>
          <w:rFonts w:ascii="Arial" w:cs="Arial" w:eastAsia="Arial" w:hAnsi="Arial"/>
          <w:sz w:val="18"/>
          <w:szCs w:val="18"/>
          <w:i w:val="1"/>
          <w:iCs w:val="1"/>
          <w:color w:val="auto"/>
        </w:rPr>
        <w:t xml:space="preserve"> </w:t>
      </w:r>
      <w:r>
        <w:rPr>
          <w:rFonts w:ascii="Arial" w:cs="Arial" w:eastAsia="Arial" w:hAnsi="Arial"/>
          <w:sz w:val="18"/>
          <w:szCs w:val="18"/>
          <w:color w:val="auto"/>
        </w:rPr>
        <w:t>junior secured loans. Our debt securities portfolio is spread across multiple industries and geographic locations, and as such, we are broadly exposed to market conditions and business environments. As a result, although our investments are exposed to market risks, we continuously seek to limit concentration of exposure in any particular sector or issuer.</w:t>
      </w:r>
    </w:p>
    <w:p>
      <w:pPr>
        <w:spacing w:after="0" w:line="187"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i w:val="1"/>
          <w:iCs w:val="1"/>
          <w:color w:val="auto"/>
        </w:rPr>
        <w:t>Dividends from Investments in CLO Fund Securities</w:t>
      </w:r>
      <w:r>
        <w:rPr>
          <w:rFonts w:ascii="Arial" w:cs="Arial" w:eastAsia="Arial" w:hAnsi="Arial"/>
          <w:sz w:val="17"/>
          <w:szCs w:val="17"/>
          <w:color w:val="auto"/>
        </w:rPr>
        <w:t>. We generate dividend income from our investments in the securities of CLO Funds (typically</w:t>
      </w:r>
      <w:r>
        <w:rPr>
          <w:rFonts w:ascii="Arial" w:cs="Arial" w:eastAsia="Arial" w:hAnsi="Arial"/>
          <w:sz w:val="17"/>
          <w:szCs w:val="17"/>
          <w:i w:val="1"/>
          <w:iCs w:val="1"/>
          <w:color w:val="auto"/>
        </w:rPr>
        <w:t xml:space="preserve"> </w:t>
      </w:r>
      <w:r>
        <w:rPr>
          <w:rFonts w:ascii="Arial" w:cs="Arial" w:eastAsia="Arial" w:hAnsi="Arial"/>
          <w:sz w:val="17"/>
          <w:szCs w:val="17"/>
          <w:color w:val="auto"/>
        </w:rPr>
        <w:t>preferred shares or subordinated securities) managed by our Asset Manager Affiliates and selective investments in securities issued by funds managed by other asset management companies. CLO Funds managed by our Asset Manager Affiliates invest primarily in broadly syndicated non-investment grade loans, high-yield bonds and other credit instruments of corporate issuers. The Company distinguishes CLO Funds managed by its Asset Manager Affiliates as “CLO Fund securities managed by affiliates.” in its financial statements. The underlying assets in each of the CLO Funds in which we have an investment are generally diversified secured or unsecured corporate debt. Our CLO Fund securities that are subordinated securities or preferred shares (“junior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bond holders and less fund expenses and management fees) is paid to the holders of the CLO Fund’s subordinated securities or preferred shares. The level of excess spread from CLO Fund securities can be impacted from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distributions to us can vary significantly. In addition, the failure of CLO Funds in which we invest to comply with certain financial covenants may lead to the temporary suspension or deferral of cash distributions to us.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ind w:right="120" w:firstLine="324"/>
        <w:spacing w:after="0" w:line="277" w:lineRule="auto"/>
        <w:rPr>
          <w:sz w:val="20"/>
          <w:szCs w:val="20"/>
          <w:color w:val="auto"/>
        </w:rPr>
      </w:pPr>
      <w:r>
        <w:rPr>
          <w:rFonts w:ascii="Arial" w:cs="Arial" w:eastAsia="Arial" w:hAnsi="Arial"/>
          <w:sz w:val="18"/>
          <w:szCs w:val="18"/>
          <w:color w:val="auto"/>
        </w:rPr>
        <w:t>For non-junior class CLO Fund securities, such as our investment in the class B-2L notes of the Katonah 2007-I CLO of Class F notes of the Catamaran 2012-1, interest is earned at a fixed spread relative to the LIBOR index.</w:t>
      </w:r>
    </w:p>
    <w:p>
      <w:pPr>
        <w:spacing w:after="0" w:line="170"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i w:val="1"/>
          <w:iCs w:val="1"/>
          <w:color w:val="auto"/>
        </w:rPr>
        <w:t xml:space="preserve">Dividends from Asset Manager Affiliates. </w:t>
      </w:r>
      <w:r>
        <w:rPr>
          <w:rFonts w:ascii="Arial" w:cs="Arial" w:eastAsia="Arial" w:hAnsi="Arial"/>
          <w:sz w:val="16"/>
          <w:szCs w:val="16"/>
          <w:color w:val="auto"/>
        </w:rPr>
        <w:t>We generate dividend income from our investment in our Asset Manager Affiliates, which are wholly-owned</w:t>
      </w:r>
      <w:r>
        <w:rPr>
          <w:rFonts w:ascii="Arial" w:cs="Arial" w:eastAsia="Arial" w:hAnsi="Arial"/>
          <w:sz w:val="16"/>
          <w:szCs w:val="16"/>
          <w:i w:val="1"/>
          <w:iCs w:val="1"/>
          <w:color w:val="auto"/>
        </w:rPr>
        <w:t xml:space="preserve"> </w:t>
      </w:r>
      <w:r>
        <w:rPr>
          <w:rFonts w:ascii="Arial" w:cs="Arial" w:eastAsia="Arial" w:hAnsi="Arial"/>
          <w:sz w:val="16"/>
          <w:szCs w:val="16"/>
          <w:color w:val="auto"/>
        </w:rPr>
        <w:t>and manage CLO Funds that invest primarily in broadly syndicated non-investment grade loans, high yield bonds and other credit instruments issued by corporations. As managers of CLO Funds, our Asset Manager Affiliates receive contractual and recurring management fees from the CLO Funds for their management and advisory services. In addition, our Asset Manager Affiliates may also earn income related to net interest on assets accumulated for future CLO issuances on which they have provided a first loss guaranty in connection with loan warehouse arrangements for their CLO Funds. Our Asset Manager Affiliates generate annual operating income equal to the amount by which their fee income exceeds their operating expenses. The annual management fees which our Asset Manager Affiliates receive are generally based on a fixed percentage of the par value of assets under management and are recurring in nature for the term of the CLO Fund so long as the Asset Manager Affiliates manage the fund. As a result, the annual management fees earned by our Asset Manager Affiliates generally are not subject to market value fluctuations in the underlying collateral. Our Asset Manager Affiliates may receive incentive fees provided such CLO Funds have achieved a minimum investment return to holders of their subordinated securities or preferred shares.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right="560" w:firstLine="324"/>
        <w:spacing w:after="0" w:line="264" w:lineRule="auto"/>
        <w:rPr>
          <w:sz w:val="20"/>
          <w:szCs w:val="20"/>
          <w:color w:val="auto"/>
        </w:rPr>
      </w:pPr>
      <w:r>
        <w:rPr>
          <w:rFonts w:ascii="Arial" w:cs="Arial" w:eastAsia="Arial" w:hAnsi="Arial"/>
          <w:sz w:val="18"/>
          <w:szCs w:val="18"/>
          <w:color w:val="auto"/>
        </w:rPr>
        <w:t>We are internally managed and directly incur the cost of management and operations; as a result, we incur no management fees or other fees to an external investment adviser. Our expenses consist primarily of interest expense on outstanding borrowings, compensation expense and general and administrative expenses, including professional fees.</w:t>
      </w:r>
    </w:p>
    <w:p>
      <w:pPr>
        <w:spacing w:after="0" w:line="18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i w:val="1"/>
          <w:iCs w:val="1"/>
          <w:color w:val="auto"/>
        </w:rPr>
        <w:t>Interest and Amortization of Debt Issuance Costs</w:t>
      </w:r>
      <w:r>
        <w:rPr>
          <w:rFonts w:ascii="Arial" w:cs="Arial" w:eastAsia="Arial" w:hAnsi="Arial"/>
          <w:sz w:val="18"/>
          <w:szCs w:val="18"/>
          <w:color w:val="auto"/>
        </w:rPr>
        <w:t>. Interest expense is dependent on the average outstanding balance on our borrowings and the base index</w:t>
      </w:r>
      <w:r>
        <w:rPr>
          <w:rFonts w:ascii="Arial" w:cs="Arial" w:eastAsia="Arial" w:hAnsi="Arial"/>
          <w:sz w:val="18"/>
          <w:szCs w:val="18"/>
          <w:i w:val="1"/>
          <w:iCs w:val="1"/>
          <w:color w:val="auto"/>
        </w:rPr>
        <w:t xml:space="preserve"> </w:t>
      </w:r>
      <w:r>
        <w:rPr>
          <w:rFonts w:ascii="Arial" w:cs="Arial" w:eastAsia="Arial" w:hAnsi="Arial"/>
          <w:sz w:val="18"/>
          <w:szCs w:val="18"/>
          <w:color w:val="auto"/>
        </w:rPr>
        <w:t>rate for the period. Debt issuance costs represent fees and other direct costs incurred in connection with the Company’s borrowings. These amounts are capitalized and amortized ratably over the contractual term of the borrowing.</w:t>
      </w:r>
    </w:p>
    <w:p>
      <w:pPr>
        <w:spacing w:after="0" w:line="181"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i w:val="1"/>
          <w:iCs w:val="1"/>
          <w:color w:val="auto"/>
        </w:rPr>
        <w:t>Compensation Expense</w:t>
      </w:r>
      <w:r>
        <w:rPr>
          <w:rFonts w:ascii="Arial" w:cs="Arial" w:eastAsia="Arial" w:hAnsi="Arial"/>
          <w:sz w:val="17"/>
          <w:szCs w:val="17"/>
          <w:color w:val="auto"/>
        </w:rPr>
        <w:t>. Compensation expense includes base salaries, bonuses, stock compensation, employee benefits and employer-related payroll</w:t>
      </w:r>
      <w:r>
        <w:rPr>
          <w:rFonts w:ascii="Arial" w:cs="Arial" w:eastAsia="Arial" w:hAnsi="Arial"/>
          <w:sz w:val="17"/>
          <w:szCs w:val="17"/>
          <w:i w:val="1"/>
          <w:iCs w:val="1"/>
          <w:color w:val="auto"/>
        </w:rPr>
        <w:t xml:space="preserve"> </w:t>
      </w:r>
      <w:r>
        <w:rPr>
          <w:rFonts w:ascii="Arial" w:cs="Arial" w:eastAsia="Arial" w:hAnsi="Arial"/>
          <w:sz w:val="17"/>
          <w:szCs w:val="17"/>
          <w:color w:val="auto"/>
        </w:rPr>
        <w:t>costs. The largest components of total compensation costs are base salaries and bonuses; generally, base salaries are expensed as incurred and annual bonus expenses are estimated and accrued. Our compensation arrangements with our employees contain a significant profit sharing and/or performance based bonus component. Therefore, as our net revenues increase, our compensation costs may also rise. In addition, our compensation expenses may also increase to reflect increased investment in personnel as we grow our products and businesses.</w:t>
      </w:r>
    </w:p>
    <w:p>
      <w:pPr>
        <w:spacing w:after="0" w:line="173"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i w:val="1"/>
          <w:iCs w:val="1"/>
          <w:color w:val="auto"/>
        </w:rPr>
        <w:t>Professional Fees and General and Administrative Expenses</w:t>
      </w:r>
      <w:r>
        <w:rPr>
          <w:rFonts w:ascii="Arial" w:cs="Arial" w:eastAsia="Arial" w:hAnsi="Arial"/>
          <w:sz w:val="18"/>
          <w:szCs w:val="18"/>
          <w:color w:val="auto"/>
        </w:rPr>
        <w:t>. The balance of our expenses include professional fees (primarily legal,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 and other professional services), occupancy costs and general administrative and other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Income and Net Realized Gains (Losses)</w:t>
      </w:r>
    </w:p>
    <w:p>
      <w:pPr>
        <w:spacing w:after="0" w:line="229" w:lineRule="exact"/>
        <w:rPr>
          <w:sz w:val="20"/>
          <w:szCs w:val="20"/>
          <w:color w:val="auto"/>
        </w:rPr>
      </w:pPr>
    </w:p>
    <w:p>
      <w:pPr>
        <w:jc w:val="both"/>
        <w:ind w:right="60" w:firstLine="324"/>
        <w:spacing w:after="0" w:line="312" w:lineRule="auto"/>
        <w:rPr>
          <w:sz w:val="20"/>
          <w:szCs w:val="20"/>
          <w:color w:val="auto"/>
        </w:rPr>
      </w:pPr>
      <w:r>
        <w:rPr>
          <w:rFonts w:ascii="Arial" w:cs="Arial" w:eastAsia="Arial" w:hAnsi="Arial"/>
          <w:sz w:val="16"/>
          <w:szCs w:val="16"/>
          <w:color w:val="auto"/>
        </w:rPr>
        <w:t>Net investment income and net realized gains (losses) represents the net change in net assets resulting from operations before net unrealized appreciation or depreciation on investments. For the three months ended March 31, 2013, net investment income and net realized gains were approximately $7 million, or $0.23 per share. For the three months ended March 31, 2012, net investment income and net realized gains were approximately $4 million or $0.16 per share.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Unrealized Appreciation (Depreciation) on Investments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three months ended March 31, 2013, the Company’s investments had a net increase in unrealized appreciation of approximately $350,000.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March 31, 2012, the Company’s investments had a net increase in unrealized depreciation of approximately $3.4 million.</w:t>
      </w:r>
    </w:p>
    <w:p>
      <w:pPr>
        <w:spacing w:after="0" w:line="234" w:lineRule="exact"/>
        <w:rPr>
          <w:sz w:val="20"/>
          <w:szCs w:val="20"/>
          <w:color w:val="auto"/>
        </w:rPr>
      </w:pPr>
    </w:p>
    <w:p>
      <w:pPr>
        <w:jc w:val="both"/>
        <w:ind w:right="40" w:firstLine="324"/>
        <w:spacing w:after="0" w:line="291" w:lineRule="auto"/>
        <w:rPr>
          <w:sz w:val="20"/>
          <w:szCs w:val="20"/>
          <w:color w:val="auto"/>
        </w:rPr>
      </w:pPr>
      <w:r>
        <w:rPr>
          <w:rFonts w:ascii="Arial" w:cs="Arial" w:eastAsia="Arial" w:hAnsi="Arial"/>
          <w:sz w:val="16"/>
          <w:szCs w:val="16"/>
          <w:color w:val="auto"/>
        </w:rPr>
        <w:t>The net increase in unrealized appreciation of approximately $350,000 for the three months ended March 31, 2013 is primarily due to (i) an approximate $2.2 million net increase in the unrealized appreciation of certain loans and equity positions as a result of credit considerations and current market conditions;</w:t>
      </w:r>
    </w:p>
    <w:p>
      <w:pPr>
        <w:ind w:right="240" w:firstLine="8"/>
        <w:spacing w:after="0" w:line="261" w:lineRule="auto"/>
        <w:tabs>
          <w:tab w:leader="none" w:pos="26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net decrease of approximately $5 million in the unrealized appreciation of CLO Fund securities; and (iii) an approximate increase of $3 million in the unrealized depreciation of our Asset Manager Affiliates.</w:t>
      </w:r>
    </w:p>
    <w:p>
      <w:pPr>
        <w:spacing w:after="0" w:line="184"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net decrease in unrealized depreciation of approximately $3.4 million for the three months ended March 31, 2012 is primarily due to (i) an approximate $400,000 net decrease in the unrealized depreciation of certain loans and equity positions as a result of credit considerations and current market conditions; (ii) a net increase of approximately $2.3 million in the unrealized appreciation of CLO Fund securities; and (iii) an approximate decrease of $5.3 million in the unrealized depreciation of our Asset Manager Affiliates.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Net Change in Net Assets Resulting From Operations</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net change in net assets resulting from operations for the three months ended March 31, 2013 and 2012 was an increase of approximately $7 million and $577,000, respectively, or $0.25 and $0.02 per share,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right="180" w:firstLine="324"/>
        <w:spacing w:after="0" w:line="312" w:lineRule="auto"/>
        <w:rPr>
          <w:sz w:val="20"/>
          <w:szCs w:val="20"/>
          <w:color w:val="auto"/>
        </w:rPr>
      </w:pPr>
      <w:r>
        <w:rPr>
          <w:rFonts w:ascii="Arial" w:cs="Arial" w:eastAsia="Arial" w:hAnsi="Arial"/>
          <w:sz w:val="16"/>
          <w:szCs w:val="16"/>
          <w:color w:val="auto"/>
        </w:rPr>
        <w:t>For the three months ended March 31, 2013, we declared a $0.28 dividend per share. As a result, there was a dividend distribution of approximately $9 million for the first quarter declaration, which was booked in the second quarter. We intend to continue to distribute quarterly dividends to our stockholders. To avoid certain excise taxes imposed on RICs, we currently intend to distribute during each calendar year an amount at least equal to the sum of:</w:t>
      </w:r>
    </w:p>
    <w:p>
      <w:pPr>
        <w:spacing w:after="0" w:line="147" w:lineRule="exact"/>
        <w:rPr>
          <w:sz w:val="20"/>
          <w:szCs w:val="20"/>
          <w:color w:val="auto"/>
        </w:rPr>
      </w:pPr>
    </w:p>
    <w:p>
      <w:pPr>
        <w:ind w:left="920" w:hanging="331"/>
        <w:spacing w:after="0"/>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98% of our ordinary net taxable income for the calendar year;</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98.2% of our capital gains, if any, in excess of capital losses for the one-year period ending on October 31 of the calendar year; and</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net ordinary income and net capital gains for the preceding year that were not distributed during such year.</w:t>
      </w:r>
    </w:p>
    <w:p>
      <w:pPr>
        <w:spacing w:after="0" w:line="22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amount of our declared dividends, as evaluated by management and approved by our Board of Directors, is based on our evaluation of both distributable income for tax purposes and GAAP net investment income (which excludes unrealized gains and losses). Generally, we seek to fund our dividends from GAAP current earnings, primarily from net interest and dividend income generated by our investment portfolio and without a return of capital or a high reliance on realized capital gains. The following table sets forth the quarterly dividends declared by us since the most recent completed calendar year, which represent an amount equal to our estimated net investment income for the specified quarter, including income distributed from the Asset Manager Affiliates received by the Company, if any, plus a portion of any prior year undistributed amounts of net investment income distributed in subsequent years: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Dividend</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Declaration Date</w:t>
            </w:r>
          </w:p>
        </w:tc>
        <w:tc>
          <w:tcPr>
            <w:tcW w:w="1800" w:type="dxa"/>
            <w:vAlign w:val="bottom"/>
            <w:gridSpan w:val="2"/>
          </w:tcPr>
          <w:p>
            <w:pPr>
              <w:ind w:left="260"/>
              <w:spacing w:after="0"/>
              <w:rPr>
                <w:sz w:val="20"/>
                <w:szCs w:val="20"/>
                <w:color w:val="auto"/>
              </w:rPr>
            </w:pPr>
            <w:r>
              <w:rPr>
                <w:rFonts w:ascii="Arial" w:cs="Arial" w:eastAsia="Arial" w:hAnsi="Arial"/>
                <w:sz w:val="18"/>
                <w:szCs w:val="18"/>
                <w:b w:val="1"/>
                <w:bCs w:val="1"/>
                <w:color w:val="auto"/>
              </w:rPr>
              <w:t>Record Date</w:t>
            </w:r>
          </w:p>
        </w:tc>
        <w:tc>
          <w:tcPr>
            <w:tcW w:w="1580" w:type="dxa"/>
            <w:vAlign w:val="bottom"/>
            <w:gridSpan w:val="2"/>
          </w:tcPr>
          <w:p>
            <w:pPr>
              <w:ind w:left="380"/>
              <w:spacing w:after="0"/>
              <w:rPr>
                <w:sz w:val="20"/>
                <w:szCs w:val="20"/>
                <w:color w:val="auto"/>
              </w:rPr>
            </w:pPr>
            <w:r>
              <w:rPr>
                <w:rFonts w:ascii="Arial" w:cs="Arial" w:eastAsia="Arial" w:hAnsi="Arial"/>
                <w:sz w:val="18"/>
                <w:szCs w:val="18"/>
                <w:b w:val="1"/>
                <w:bCs w:val="1"/>
                <w:color w:val="auto"/>
              </w:rPr>
              <w:t>Pay 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2013:</w:t>
            </w:r>
          </w:p>
        </w:tc>
        <w:tc>
          <w:tcPr>
            <w:tcW w:w="1140" w:type="dxa"/>
            <w:vAlign w:val="bottom"/>
            <w:tcBorders>
              <w:top w:val="single" w:sz="8" w:color="auto"/>
            </w:tcBorders>
            <w:shd w:val="clear" w:color="auto" w:fill="CCFFCC"/>
          </w:tcPr>
          <w:p>
            <w:pPr>
              <w:spacing w:after="0"/>
              <w:rPr>
                <w:sz w:val="18"/>
                <w:szCs w:val="18"/>
                <w:color w:val="auto"/>
              </w:rPr>
            </w:pPr>
          </w:p>
        </w:tc>
        <w:tc>
          <w:tcPr>
            <w:tcW w:w="360" w:type="dxa"/>
            <w:vAlign w:val="bottom"/>
            <w:tcBorders>
              <w:top w:val="single" w:sz="8" w:color="auto"/>
            </w:tcBorders>
            <w:shd w:val="clear" w:color="auto" w:fill="CCFFCC"/>
          </w:tcPr>
          <w:p>
            <w:pPr>
              <w:spacing w:after="0"/>
              <w:rPr>
                <w:sz w:val="18"/>
                <w:szCs w:val="18"/>
                <w:color w:val="auto"/>
              </w:rPr>
            </w:pPr>
          </w:p>
        </w:tc>
        <w:tc>
          <w:tcPr>
            <w:tcW w:w="340" w:type="dxa"/>
            <w:vAlign w:val="bottom"/>
            <w:tcBorders>
              <w:top w:val="single" w:sz="8" w:color="CCFFCC"/>
            </w:tcBorders>
            <w:shd w:val="clear" w:color="auto" w:fill="CCFFCC"/>
          </w:tcPr>
          <w:p>
            <w:pPr>
              <w:spacing w:after="0"/>
              <w:rPr>
                <w:sz w:val="18"/>
                <w:szCs w:val="18"/>
                <w:color w:val="auto"/>
              </w:rPr>
            </w:pPr>
          </w:p>
        </w:tc>
        <w:tc>
          <w:tcPr>
            <w:tcW w:w="1500" w:type="dxa"/>
            <w:vAlign w:val="bottom"/>
            <w:tcBorders>
              <w:top w:val="single" w:sz="8" w:color="auto"/>
            </w:tcBorders>
            <w:shd w:val="clear" w:color="auto" w:fill="CCFFCC"/>
          </w:tcPr>
          <w:p>
            <w:pPr>
              <w:spacing w:after="0"/>
              <w:rPr>
                <w:sz w:val="18"/>
                <w:szCs w:val="18"/>
                <w:color w:val="auto"/>
              </w:rPr>
            </w:pPr>
          </w:p>
        </w:tc>
        <w:tc>
          <w:tcPr>
            <w:tcW w:w="340" w:type="dxa"/>
            <w:vAlign w:val="bottom"/>
            <w:tcBorders>
              <w:top w:val="single" w:sz="8" w:color="CCFFCC"/>
            </w:tcBorders>
            <w:shd w:val="clear" w:color="auto" w:fill="CCFFCC"/>
          </w:tcPr>
          <w:p>
            <w:pPr>
              <w:spacing w:after="0"/>
              <w:rPr>
                <w:sz w:val="18"/>
                <w:szCs w:val="18"/>
                <w:color w:val="auto"/>
              </w:rPr>
            </w:pPr>
          </w:p>
        </w:tc>
        <w:tc>
          <w:tcPr>
            <w:tcW w:w="1480" w:type="dxa"/>
            <w:vAlign w:val="bottom"/>
            <w:tcBorders>
              <w:top w:val="single" w:sz="8" w:color="auto"/>
            </w:tcBorders>
            <w:shd w:val="clear" w:color="auto" w:fill="CCFFCC"/>
          </w:tcPr>
          <w:p>
            <w:pPr>
              <w:spacing w:after="0"/>
              <w:rPr>
                <w:sz w:val="18"/>
                <w:szCs w:val="18"/>
                <w:color w:val="auto"/>
              </w:rPr>
            </w:pPr>
          </w:p>
        </w:tc>
        <w:tc>
          <w:tcPr>
            <w:tcW w:w="320" w:type="dxa"/>
            <w:vAlign w:val="bottom"/>
            <w:tcBorders>
              <w:top w:val="single" w:sz="8" w:color="CCFFCC"/>
            </w:tcBorders>
            <w:shd w:val="clear" w:color="auto" w:fill="CCFFCC"/>
          </w:tcPr>
          <w:p>
            <w:pPr>
              <w:spacing w:after="0"/>
              <w:rPr>
                <w:sz w:val="18"/>
                <w:szCs w:val="18"/>
                <w:color w:val="auto"/>
              </w:rPr>
            </w:pPr>
          </w:p>
        </w:tc>
        <w:tc>
          <w:tcPr>
            <w:tcW w:w="14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First quarter</w:t>
            </w:r>
          </w:p>
        </w:tc>
        <w:tc>
          <w:tcPr>
            <w:tcW w:w="1140" w:type="dxa"/>
            <w:vAlign w:val="bottom"/>
          </w:tcPr>
          <w:p>
            <w:pPr>
              <w:jc w:val="right"/>
              <w:ind w:right="982"/>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0.28</w:t>
            </w:r>
          </w:p>
        </w:tc>
        <w:tc>
          <w:tcPr>
            <w:tcW w:w="2180" w:type="dxa"/>
            <w:vAlign w:val="bottom"/>
            <w:gridSpan w:val="3"/>
          </w:tcPr>
          <w:p>
            <w:pPr>
              <w:jc w:val="right"/>
              <w:ind w:right="340"/>
              <w:spacing w:after="0"/>
              <w:rPr>
                <w:sz w:val="20"/>
                <w:szCs w:val="20"/>
                <w:color w:val="auto"/>
              </w:rPr>
            </w:pPr>
            <w:r>
              <w:rPr>
                <w:rFonts w:ascii="Arial" w:cs="Arial" w:eastAsia="Arial" w:hAnsi="Arial"/>
                <w:sz w:val="18"/>
                <w:szCs w:val="18"/>
                <w:color w:val="auto"/>
              </w:rPr>
              <w:t>3/15/2013</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4/5/2013</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4/26/2013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5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34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Total declared in 2013</w:t>
            </w:r>
          </w:p>
        </w:tc>
        <w:tc>
          <w:tcPr>
            <w:tcW w:w="1140" w:type="dxa"/>
            <w:vAlign w:val="bottom"/>
            <w:tcBorders>
              <w:bottom w:val="single" w:sz="8" w:color="auto"/>
            </w:tcBorders>
          </w:tcPr>
          <w:p>
            <w:pPr>
              <w:jc w:val="right"/>
              <w:ind w:right="982"/>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0.28</w:t>
            </w:r>
          </w:p>
        </w:tc>
        <w:tc>
          <w:tcPr>
            <w:tcW w:w="340" w:type="dxa"/>
            <w:vAlign w:val="bottom"/>
            <w:tcBorders>
              <w:bottom w:val="single" w:sz="8" w:color="CCFFCC"/>
            </w:tcBorders>
          </w:tcPr>
          <w:p>
            <w:pPr>
              <w:spacing w:after="0"/>
              <w:rPr>
                <w:sz w:val="24"/>
                <w:szCs w:val="24"/>
                <w:color w:val="auto"/>
              </w:rPr>
            </w:pPr>
          </w:p>
        </w:tc>
        <w:tc>
          <w:tcPr>
            <w:tcW w:w="1500" w:type="dxa"/>
            <w:vAlign w:val="bottom"/>
            <w:tcBorders>
              <w:bottom w:val="single" w:sz="8" w:color="CCFFCC"/>
            </w:tcBorders>
          </w:tcPr>
          <w:p>
            <w:pPr>
              <w:spacing w:after="0"/>
              <w:rPr>
                <w:sz w:val="24"/>
                <w:szCs w:val="24"/>
                <w:color w:val="auto"/>
              </w:rPr>
            </w:pPr>
          </w:p>
        </w:tc>
        <w:tc>
          <w:tcPr>
            <w:tcW w:w="340" w:type="dxa"/>
            <w:vAlign w:val="bottom"/>
            <w:tcBorders>
              <w:bottom w:val="single" w:sz="8" w:color="CCFFCC"/>
            </w:tcBorders>
          </w:tcPr>
          <w:p>
            <w:pPr>
              <w:spacing w:after="0"/>
              <w:rPr>
                <w:sz w:val="24"/>
                <w:szCs w:val="24"/>
                <w:color w:val="auto"/>
              </w:rPr>
            </w:pPr>
          </w:p>
        </w:tc>
        <w:tc>
          <w:tcPr>
            <w:tcW w:w="1480" w:type="dxa"/>
            <w:vAlign w:val="bottom"/>
            <w:tcBorders>
              <w:bottom w:val="single" w:sz="8" w:color="CCFFCC"/>
            </w:tcBorders>
          </w:tcPr>
          <w:p>
            <w:pPr>
              <w:spacing w:after="0"/>
              <w:rPr>
                <w:sz w:val="24"/>
                <w:szCs w:val="24"/>
                <w:color w:val="auto"/>
              </w:rPr>
            </w:pPr>
          </w:p>
        </w:tc>
        <w:tc>
          <w:tcPr>
            <w:tcW w:w="320" w:type="dxa"/>
            <w:vAlign w:val="bottom"/>
            <w:tcBorders>
              <w:bottom w:val="single" w:sz="8" w:color="CCFFCC"/>
            </w:tcBorders>
          </w:tcPr>
          <w:p>
            <w:pPr>
              <w:spacing w:after="0"/>
              <w:rPr>
                <w:sz w:val="24"/>
                <w:szCs w:val="24"/>
                <w:color w:val="auto"/>
              </w:rPr>
            </w:pPr>
          </w:p>
        </w:tc>
        <w:tc>
          <w:tcPr>
            <w:tcW w:w="1480" w:type="dxa"/>
            <w:vAlign w:val="bottom"/>
            <w:tcBorders>
              <w:bottom w:val="single" w:sz="8" w:color="CCFFCC"/>
            </w:tcBorders>
          </w:tcPr>
          <w:p>
            <w:pPr>
              <w:spacing w:after="0"/>
              <w:rPr>
                <w:sz w:val="24"/>
                <w:szCs w:val="24"/>
                <w:color w:val="auto"/>
              </w:rPr>
            </w:pPr>
          </w:p>
        </w:tc>
        <w:tc>
          <w:tcPr>
            <w:tcW w:w="100" w:type="dxa"/>
            <w:vAlign w:val="bottom"/>
            <w:tcBorders>
              <w:bottom w:val="single" w:sz="8" w:color="CCFFCC"/>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150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148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4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2012:</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FFCC"/>
          </w:tcPr>
          <w:p>
            <w:pPr>
              <w:ind w:left="220"/>
              <w:spacing w:after="0"/>
              <w:rPr>
                <w:sz w:val="20"/>
                <w:szCs w:val="20"/>
                <w:color w:val="auto"/>
              </w:rPr>
            </w:pPr>
            <w:r>
              <w:rPr>
                <w:rFonts w:ascii="Arial" w:cs="Arial" w:eastAsia="Arial" w:hAnsi="Arial"/>
                <w:sz w:val="18"/>
                <w:szCs w:val="18"/>
                <w:color w:val="auto"/>
              </w:rPr>
              <w:t>Fourth quarter</w:t>
            </w:r>
          </w:p>
        </w:tc>
        <w:tc>
          <w:tcPr>
            <w:tcW w:w="1140" w:type="dxa"/>
            <w:vAlign w:val="bottom"/>
            <w:shd w:val="clear" w:color="auto" w:fill="CCFFCC"/>
          </w:tcPr>
          <w:p>
            <w:pPr>
              <w:jc w:val="right"/>
              <w:ind w:right="982"/>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6"/>
              </w:rPr>
              <w:t>0.28</w:t>
            </w:r>
          </w:p>
        </w:tc>
        <w:tc>
          <w:tcPr>
            <w:tcW w:w="218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12/17/2012</w:t>
            </w:r>
          </w:p>
        </w:tc>
        <w:tc>
          <w:tcPr>
            <w:tcW w:w="180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12/28/2012</w:t>
            </w:r>
          </w:p>
        </w:tc>
        <w:tc>
          <w:tcPr>
            <w:tcW w:w="1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1/28/2013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Third quarter</w:t>
            </w:r>
          </w:p>
        </w:tc>
        <w:tc>
          <w:tcPr>
            <w:tcW w:w="1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0.24</w:t>
            </w:r>
          </w:p>
        </w:tc>
        <w:tc>
          <w:tcPr>
            <w:tcW w:w="2180" w:type="dxa"/>
            <w:vAlign w:val="bottom"/>
            <w:gridSpan w:val="3"/>
          </w:tcPr>
          <w:p>
            <w:pPr>
              <w:jc w:val="right"/>
              <w:ind w:right="340"/>
              <w:spacing w:after="0"/>
              <w:rPr>
                <w:sz w:val="20"/>
                <w:szCs w:val="20"/>
                <w:color w:val="auto"/>
              </w:rPr>
            </w:pPr>
            <w:r>
              <w:rPr>
                <w:rFonts w:ascii="Arial" w:cs="Arial" w:eastAsia="Arial" w:hAnsi="Arial"/>
                <w:sz w:val="18"/>
                <w:szCs w:val="18"/>
                <w:color w:val="auto"/>
              </w:rPr>
              <w:t>9/17/2012</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10/10/2012</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10/29/2012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FFCC"/>
          </w:tcPr>
          <w:p>
            <w:pPr>
              <w:ind w:left="220"/>
              <w:spacing w:after="0"/>
              <w:rPr>
                <w:sz w:val="20"/>
                <w:szCs w:val="20"/>
                <w:color w:val="auto"/>
              </w:rPr>
            </w:pPr>
            <w:r>
              <w:rPr>
                <w:rFonts w:ascii="Arial" w:cs="Arial" w:eastAsia="Arial" w:hAnsi="Arial"/>
                <w:sz w:val="18"/>
                <w:szCs w:val="18"/>
                <w:color w:val="auto"/>
              </w:rPr>
              <w:t>Second quarter</w:t>
            </w:r>
          </w:p>
        </w:tc>
        <w:tc>
          <w:tcPr>
            <w:tcW w:w="1140" w:type="dxa"/>
            <w:vAlign w:val="bottom"/>
            <w:shd w:val="clear" w:color="auto" w:fill="CCFFCC"/>
          </w:tcPr>
          <w:p>
            <w:pPr>
              <w:spacing w:after="0"/>
              <w:rPr>
                <w:sz w:val="18"/>
                <w:szCs w:val="18"/>
                <w:color w:val="auto"/>
              </w:rPr>
            </w:pP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6"/>
              </w:rPr>
              <w:t>0.24</w:t>
            </w:r>
          </w:p>
        </w:tc>
        <w:tc>
          <w:tcPr>
            <w:tcW w:w="218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6/18/2012</w:t>
            </w:r>
          </w:p>
        </w:tc>
        <w:tc>
          <w:tcPr>
            <w:tcW w:w="180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7/6/2012</w:t>
            </w:r>
          </w:p>
        </w:tc>
        <w:tc>
          <w:tcPr>
            <w:tcW w:w="1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7/27/2012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First quarter</w:t>
            </w:r>
          </w:p>
        </w:tc>
        <w:tc>
          <w:tcPr>
            <w:tcW w:w="1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0.18</w:t>
            </w:r>
          </w:p>
        </w:tc>
        <w:tc>
          <w:tcPr>
            <w:tcW w:w="2180" w:type="dxa"/>
            <w:vAlign w:val="bottom"/>
            <w:gridSpan w:val="3"/>
          </w:tcPr>
          <w:p>
            <w:pPr>
              <w:jc w:val="right"/>
              <w:ind w:right="340"/>
              <w:spacing w:after="0"/>
              <w:rPr>
                <w:sz w:val="20"/>
                <w:szCs w:val="20"/>
                <w:color w:val="auto"/>
              </w:rPr>
            </w:pPr>
            <w:r>
              <w:rPr>
                <w:rFonts w:ascii="Arial" w:cs="Arial" w:eastAsia="Arial" w:hAnsi="Arial"/>
                <w:sz w:val="18"/>
                <w:szCs w:val="18"/>
                <w:color w:val="auto"/>
              </w:rPr>
              <w:t>3/16/2012</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4/6/2012</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4/27/2012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5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Total declared in 2012</w:t>
            </w:r>
          </w:p>
        </w:tc>
        <w:tc>
          <w:tcPr>
            <w:tcW w:w="1140" w:type="dxa"/>
            <w:vAlign w:val="bottom"/>
            <w:tcBorders>
              <w:bottom w:val="single" w:sz="8" w:color="auto"/>
            </w:tcBorders>
          </w:tcPr>
          <w:p>
            <w:pPr>
              <w:jc w:val="right"/>
              <w:ind w:right="982"/>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0.94</w:t>
            </w:r>
          </w:p>
        </w:tc>
        <w:tc>
          <w:tcPr>
            <w:tcW w:w="3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Due to our ownership of our Asset Manager Affiliates and certain timing, structural and tax considerations, our dividend distributions may include a return of capital for tax purposes. For the three months ended March 31, 2013, our Asset Manager Affiliates had approximately $2 million of EBITDA and made a distribution of $3 million to us. For the three months ended March 31, 2012, our Asset Manager Affiliates earned approximately $380,000 of pre-tax net income and made a distribution of $825,000 to us. Dividends are recorded as declared (where declaration date represents ex-dividend date) by our Asset Manager Affiliates as income on our statement of operations. It is anticipated that our Asset Manager Affiliates will make further dividend distributions to us during 2013.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Objective</w:t>
      </w:r>
    </w:p>
    <w:p>
      <w:pPr>
        <w:spacing w:after="0" w:line="22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Our investment objective is to generate current income and capital appreciation from the investments made by our middle market business in senior secured term loans, mezzanine debt and selected equity investments in privately-held middle market companies. The Company also expects to receive distributions of recurring fee income and to generate capital appreciation from its investments in the asset management businesses of the Asset Manager Affiliates. We intend to grow our portfolio of assets by raising additional capital, including through the prudent use of leverage available to us.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While our primary investment focus is on making loans to, and selected equity investments in, privately-held middle market companies, we may also invest in other investments such as loans to larger, publicly-traded companies, high-yield bonds and distressed debt securities. We may also receive warrants or options to purchase common stock in connection with our debt investments. In addition, we may also invest in debt and equity securities issued by CLO Funds managed by our Asset Manager Affiliates or by other asset managers.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p>
      <w:pPr>
        <w:ind w:left="340"/>
        <w:spacing w:after="0"/>
        <w:rPr>
          <w:sz w:val="20"/>
          <w:szCs w:val="20"/>
          <w:color w:val="auto"/>
        </w:rPr>
      </w:pPr>
      <w:r>
        <w:rPr>
          <w:rFonts w:ascii="Arial" w:cs="Arial" w:eastAsia="Arial" w:hAnsi="Arial"/>
          <w:sz w:val="18"/>
          <w:szCs w:val="18"/>
          <w:color w:val="auto"/>
        </w:rPr>
        <w:t>The following table shows the Company’s portfolio by security type at March 31, 2013 and December 31, 2012: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Security Type</w:t>
            </w:r>
          </w:p>
        </w:tc>
        <w:tc>
          <w:tcPr>
            <w:tcW w:w="1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7"/>
          </w:tcPr>
          <w:p>
            <w:pPr>
              <w:ind w:left="680"/>
              <w:spacing w:after="0"/>
              <w:rPr>
                <w:sz w:val="20"/>
                <w:szCs w:val="20"/>
                <w:color w:val="auto"/>
              </w:rPr>
            </w:pPr>
            <w:r>
              <w:rPr>
                <w:rFonts w:ascii="Arial" w:cs="Arial" w:eastAsia="Arial" w:hAnsi="Arial"/>
                <w:sz w:val="18"/>
                <w:szCs w:val="18"/>
                <w:b w:val="1"/>
                <w:bCs w:val="1"/>
                <w:color w:val="auto"/>
                <w:w w:val="96"/>
              </w:rPr>
              <w:t>March 31, 2013 (unaudited)</w:t>
            </w:r>
          </w:p>
        </w:tc>
        <w:tc>
          <w:tcPr>
            <w:tcW w:w="3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w w:val="91"/>
              </w:rPr>
              <w:t>December 31, 2012</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3"/>
          </w:tcPr>
          <w:p>
            <w:pPr>
              <w:ind w:left="20"/>
              <w:spacing w:after="0"/>
              <w:rPr>
                <w:sz w:val="20"/>
                <w:szCs w:val="20"/>
                <w:color w:val="auto"/>
              </w:rPr>
            </w:pPr>
            <w:r>
              <w:rPr>
                <w:rFonts w:ascii="Arial" w:cs="Arial" w:eastAsia="Arial" w:hAnsi="Arial"/>
                <w:sz w:val="18"/>
                <w:szCs w:val="18"/>
                <w:b w:val="1"/>
                <w:bCs w:val="1"/>
                <w:color w:val="auto"/>
              </w:rPr>
              <w:t>Fair Value</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%¹</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2"/>
              </w:rPr>
              <w:t>Fair Value</w:t>
            </w: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%¹</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vMerge w:val="restart"/>
            <w:shd w:val="clear" w:color="auto" w:fill="CCFFCC"/>
          </w:tcPr>
          <w:p>
            <w:pPr>
              <w:spacing w:after="0"/>
              <w:rPr>
                <w:sz w:val="20"/>
                <w:szCs w:val="20"/>
                <w:color w:val="auto"/>
              </w:rPr>
            </w:pPr>
            <w:r>
              <w:rPr>
                <w:rFonts w:ascii="Arial" w:cs="Arial" w:eastAsia="Arial" w:hAnsi="Arial"/>
                <w:sz w:val="18"/>
                <w:szCs w:val="18"/>
                <w:color w:val="auto"/>
              </w:rPr>
              <w:t>Time Deposits</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60" w:type="dxa"/>
            <w:vAlign w:val="bottom"/>
            <w:vMerge w:val="restart"/>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FFCC"/>
          </w:tcPr>
          <w:p>
            <w:pPr>
              <w:jc w:val="right"/>
              <w:ind w:right="15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000000"/>
          </w:tcPr>
          <w:p>
            <w:pPr>
              <w:spacing w:after="0" w:line="20" w:lineRule="exact"/>
              <w:rPr>
                <w:sz w:val="1"/>
                <w:szCs w:val="1"/>
                <w:color w:val="auto"/>
              </w:rPr>
            </w:pPr>
          </w:p>
        </w:tc>
        <w:tc>
          <w:tcPr>
            <w:tcW w:w="960" w:type="dxa"/>
            <w:vAlign w:val="bottom"/>
            <w:tcBorders>
              <w:right w:val="single" w:sz="8" w:color="CCFFCC"/>
            </w:tcBorders>
            <w:shd w:val="clear" w:color="auto" w:fill="000000"/>
          </w:tcPr>
          <w:p>
            <w:pPr>
              <w:spacing w:after="0" w:line="20" w:lineRule="exact"/>
              <w:rPr>
                <w:sz w:val="1"/>
                <w:szCs w:val="1"/>
                <w:color w:val="auto"/>
              </w:rPr>
            </w:pPr>
          </w:p>
        </w:tc>
        <w:tc>
          <w:tcPr>
            <w:tcW w:w="260" w:type="dxa"/>
            <w:vAlign w:val="bottom"/>
            <w:vMerge w:val="restart"/>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vMerge w:val="continue"/>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60" w:type="dxa"/>
            <w:vAlign w:val="bottom"/>
            <w:vMerge w:val="continue"/>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80" w:type="dxa"/>
            <w:vAlign w:val="bottom"/>
            <w:vMerge w:val="continue"/>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1,942,834</w:t>
            </w:r>
          </w:p>
        </w:tc>
        <w:tc>
          <w:tcPr>
            <w:tcW w:w="260" w:type="dxa"/>
            <w:vAlign w:val="bottom"/>
            <w:vMerge w:val="continue"/>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1,942,834</w:t>
            </w:r>
          </w:p>
        </w:tc>
        <w:tc>
          <w:tcPr>
            <w:tcW w:w="320" w:type="dxa"/>
            <w:vAlign w:val="bottom"/>
            <w:shd w:val="clear" w:color="auto" w:fill="CCFFCC"/>
          </w:tcPr>
          <w:p>
            <w:pPr>
              <w:spacing w:after="0"/>
              <w:rPr>
                <w:sz w:val="18"/>
                <w:szCs w:val="18"/>
                <w:color w:val="auto"/>
              </w:rPr>
            </w:pPr>
          </w:p>
        </w:tc>
        <w:tc>
          <w:tcPr>
            <w:tcW w:w="118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Money Market Account</w:t>
            </w: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38,887,925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38,887,925</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30,543,824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30,543,824</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Senior Secured Loan</w:t>
            </w:r>
          </w:p>
        </w:tc>
        <w:tc>
          <w:tcPr>
            <w:tcW w:w="12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w w:val="99"/>
              </w:rPr>
              <w:t>81,306,958</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74,471,738</w:t>
            </w:r>
          </w:p>
        </w:tc>
        <w:tc>
          <w:tcPr>
            <w:tcW w:w="3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w:t>
            </w:r>
          </w:p>
        </w:tc>
        <w:tc>
          <w:tcPr>
            <w:tcW w:w="3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7"/>
              </w:rPr>
              <w:t>67,874,565</w:t>
            </w:r>
          </w:p>
        </w:tc>
        <w:tc>
          <w:tcPr>
            <w:tcW w:w="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w w:val="99"/>
              </w:rPr>
              <w:t>60,258,885</w:t>
            </w: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Junior Secured Loan</w:t>
            </w: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54,430,898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39,532,069</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49,646,273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33,486,956</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Senior Unsecured Loan</w:t>
            </w:r>
          </w:p>
        </w:tc>
        <w:tc>
          <w:tcPr>
            <w:tcW w:w="12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w w:val="99"/>
              </w:rPr>
              <w:t>20,000,000</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20,000,000</w:t>
            </w:r>
          </w:p>
        </w:tc>
        <w:tc>
          <w:tcPr>
            <w:tcW w:w="3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29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FFCC"/>
          </w:tcPr>
          <w:p>
            <w:pPr>
              <w:spacing w:after="0"/>
              <w:rPr>
                <w:sz w:val="18"/>
                <w:szCs w:val="18"/>
                <w:color w:val="auto"/>
              </w:rPr>
            </w:pPr>
          </w:p>
        </w:tc>
        <w:tc>
          <w:tcPr>
            <w:tcW w:w="9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First Lien Bond</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2,930,343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3,000,000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gridSpan w:val="2"/>
          </w:tcPr>
          <w:p>
            <w:pPr>
              <w:jc w:val="right"/>
              <w:ind w:right="29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2,928,762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3,000,000</w:t>
            </w: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Senior Subordinated Bond</w:t>
            </w:r>
          </w:p>
        </w:tc>
        <w:tc>
          <w:tcPr>
            <w:tcW w:w="1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2,728,878</w:t>
            </w: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2,749,634</w:t>
            </w:r>
          </w:p>
        </w:tc>
        <w:tc>
          <w:tcPr>
            <w:tcW w:w="3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29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FFCC"/>
          </w:tcPr>
          <w:p>
            <w:pPr>
              <w:spacing w:after="0"/>
              <w:rPr>
                <w:sz w:val="18"/>
                <w:szCs w:val="18"/>
                <w:color w:val="auto"/>
              </w:rPr>
            </w:pPr>
          </w:p>
        </w:tc>
        <w:tc>
          <w:tcPr>
            <w:tcW w:w="9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2,729,088</w:t>
            </w:r>
          </w:p>
        </w:tc>
        <w:tc>
          <w:tcPr>
            <w:tcW w:w="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2,735,881</w:t>
            </w:r>
          </w:p>
        </w:tc>
        <w:tc>
          <w:tcPr>
            <w:tcW w:w="3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Senior Unsecured Bond</w:t>
            </w: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10,805,507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11,422,500</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gridSpan w:val="2"/>
          </w:tcPr>
          <w:p>
            <w:pPr>
              <w:jc w:val="right"/>
              <w:ind w:right="29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10,798,463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11,185,000</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CLO Fund Securities</w:t>
            </w:r>
          </w:p>
        </w:tc>
        <w:tc>
          <w:tcPr>
            <w:tcW w:w="12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w w:val="99"/>
              </w:rPr>
              <w:t>90,105,528</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78,270,059</w:t>
            </w:r>
          </w:p>
        </w:tc>
        <w:tc>
          <w:tcPr>
            <w:tcW w:w="3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w:t>
            </w:r>
          </w:p>
        </w:tc>
        <w:tc>
          <w:tcPr>
            <w:tcW w:w="3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7"/>
              </w:rPr>
              <w:t>90,146,410</w:t>
            </w:r>
          </w:p>
        </w:tc>
        <w:tc>
          <w:tcPr>
            <w:tcW w:w="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w w:val="99"/>
              </w:rPr>
              <w:t>83,257,507</w:t>
            </w: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Equity Securities</w:t>
            </w: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18,260,008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7,839,699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gridSpan w:val="2"/>
          </w:tcPr>
          <w:p>
            <w:pPr>
              <w:jc w:val="right"/>
              <w:ind w:right="29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18,375,588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8,020,716</w:t>
            </w: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Preferred Stock</w:t>
            </w:r>
          </w:p>
        </w:tc>
        <w:tc>
          <w:tcPr>
            <w:tcW w:w="12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400,000</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373,880</w:t>
            </w:r>
          </w:p>
        </w:tc>
        <w:tc>
          <w:tcPr>
            <w:tcW w:w="3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400,000</w:t>
            </w:r>
          </w:p>
        </w:tc>
        <w:tc>
          <w:tcPr>
            <w:tcW w:w="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371,160</w:t>
            </w: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Asset Manager Affiliates</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83,198,191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80,354,000</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83,161,529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77,242,000</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32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auto"/>
            </w:tcBorders>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3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right w:val="single" w:sz="8" w:color="CCFFCC"/>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32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403,054,236</w:t>
            </w:r>
          </w:p>
        </w:tc>
        <w:tc>
          <w:tcPr>
            <w:tcW w:w="18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356,901,504</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134%</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87"/>
              </w:rPr>
              <w:t>358,547,336</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312,044,763</w:t>
            </w:r>
          </w:p>
        </w:tc>
        <w:tc>
          <w:tcPr>
            <w:tcW w:w="320" w:type="dxa"/>
            <w:vAlign w:val="bottom"/>
          </w:tcPr>
          <w:p>
            <w:pPr>
              <w:spacing w:after="0"/>
              <w:rPr>
                <w:sz w:val="21"/>
                <w:szCs w:val="21"/>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4490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9"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30"/>
          <w:szCs w:val="30"/>
          <w:color w:val="auto"/>
          <w:vertAlign w:val="superscript"/>
        </w:rPr>
      </w:pPr>
      <w:r>
        <w:rPr>
          <w:rFonts w:ascii="Arial" w:cs="Arial" w:eastAsia="Arial" w:hAnsi="Arial"/>
          <w:sz w:val="18"/>
          <w:szCs w:val="18"/>
          <w:color w:val="auto"/>
        </w:rPr>
        <w:t>Calculated as a percentage of net asset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Securities</w:t>
      </w:r>
    </w:p>
    <w:p>
      <w:pPr>
        <w:spacing w:after="0" w:line="229" w:lineRule="exact"/>
        <w:rPr>
          <w:sz w:val="20"/>
          <w:szCs w:val="20"/>
          <w:color w:val="auto"/>
        </w:rPr>
      </w:pPr>
    </w:p>
    <w:p>
      <w:pPr>
        <w:jc w:val="both"/>
        <w:ind w:right="220" w:firstLine="414"/>
        <w:spacing w:after="0" w:line="264" w:lineRule="auto"/>
        <w:rPr>
          <w:sz w:val="20"/>
          <w:szCs w:val="20"/>
          <w:color w:val="auto"/>
        </w:rPr>
      </w:pPr>
      <w:r>
        <w:rPr>
          <w:rFonts w:ascii="Arial" w:cs="Arial" w:eastAsia="Arial" w:hAnsi="Arial"/>
          <w:sz w:val="18"/>
          <w:szCs w:val="18"/>
          <w:color w:val="auto"/>
        </w:rPr>
        <w:t>We invest in senior secured loans, mezzanine debt and, to a lesser extent, equity of middle market companies in a variety of industries. However, we may invest in other industries if we are presented with attractive opportunities. We generally target companies that generate positive cash flows because we look to cash flows as the primary source for servicing debt.</w:t>
      </w:r>
    </w:p>
    <w:p>
      <w:pPr>
        <w:spacing w:after="0" w:line="181" w:lineRule="exact"/>
        <w:rPr>
          <w:sz w:val="20"/>
          <w:szCs w:val="20"/>
          <w:color w:val="auto"/>
        </w:rPr>
      </w:pPr>
    </w:p>
    <w:p>
      <w:pPr>
        <w:ind w:right="20" w:firstLine="414"/>
        <w:spacing w:after="0" w:line="293" w:lineRule="auto"/>
        <w:rPr>
          <w:sz w:val="20"/>
          <w:szCs w:val="20"/>
          <w:color w:val="auto"/>
        </w:rPr>
      </w:pPr>
      <w:r>
        <w:rPr>
          <w:rFonts w:ascii="Arial" w:cs="Arial" w:eastAsia="Arial" w:hAnsi="Arial"/>
          <w:sz w:val="16"/>
          <w:szCs w:val="16"/>
          <w:color w:val="auto"/>
        </w:rPr>
        <w:t>We employ a disciplined approach in the selection and monitoring of our investments. Generally, we target investments that will provide a current return through interest income to provide for stability in our net income and place less reliance on realized capital gains from our investments. Our investment philosophy is focused on preserving capital with an appropriate return profile relative to risk. Our investment due diligence and selection generally focuses on an underlying issuer’s net cash flow after capital expenditures to service its debt rather than on multiples of net income, valuations or other broad benchmarks which frequently miss the nuances of an issuer’s business and prospective financial performance. We also generally avoid concentrations in any one industry or issuer. We manage risk through a rigorous credit and investment underwriting process and an active portfolio monitoring program.</w:t>
      </w:r>
    </w:p>
    <w:p>
      <w:pPr>
        <w:spacing w:after="0" w:line="165" w:lineRule="exact"/>
        <w:rPr>
          <w:sz w:val="20"/>
          <w:szCs w:val="20"/>
          <w:color w:val="auto"/>
        </w:rPr>
      </w:pPr>
    </w:p>
    <w:p>
      <w:pPr>
        <w:ind w:right="80" w:firstLine="414"/>
        <w:spacing w:after="0" w:line="289" w:lineRule="auto"/>
        <w:rPr>
          <w:sz w:val="20"/>
          <w:szCs w:val="20"/>
          <w:color w:val="auto"/>
        </w:rPr>
      </w:pPr>
      <w:r>
        <w:rPr>
          <w:rFonts w:ascii="Arial" w:cs="Arial" w:eastAsia="Arial" w:hAnsi="Arial"/>
          <w:sz w:val="16"/>
          <w:szCs w:val="16"/>
          <w:color w:val="auto"/>
        </w:rPr>
        <w:t>Our Board of Directors is ultimately and solely responsible for making a good faith determination of the fair value of portfolio investments on a quarterly basis. Debt and equity securities for which market quotations are readily available are generally valued at such market quotations. Debt and equity securities that are not publicly traded or whose market price is not readily available are valued by the Board of Directors based on detailed analyses prepared by management, the Valuation Committee of the Board of Directors, and, in certain circumstances, third parties with valuation expertise. Valuations are conducted by management on 100% of the investment portfolio at the end of each quarter. Due to the inherent uncertainty of determining the fair value of investments that do not have a readily available market value, the fair value of our investments may differ materially from the values that would have existed had a ready market existed for such investments. Further, such investments may be generally subject to legal and other restrictions on resale or otherwise less liquid than publicly traded securities. In addition, changes in the market environment and other events may occur over the life of the investments that may cause the value realized on such investments to be different from the currently assigned valuations.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ind w:right="20" w:firstLine="414"/>
        <w:spacing w:after="0" w:line="267" w:lineRule="auto"/>
        <w:rPr>
          <w:sz w:val="20"/>
          <w:szCs w:val="20"/>
          <w:color w:val="auto"/>
        </w:rPr>
      </w:pPr>
      <w:r>
        <w:rPr>
          <w:rFonts w:ascii="Arial" w:cs="Arial" w:eastAsia="Arial" w:hAnsi="Arial"/>
          <w:sz w:val="17"/>
          <w:szCs w:val="17"/>
          <w:color w:val="auto"/>
        </w:rPr>
        <w:t>We derive fair value for our illiquid investments that do not have indicative fair values based upon active trades primarily by using a present value technique that discounts the estimated contractual cash flows for the underlying assets with discount rates imputed by broad market indices, bond spreads and yields for comparable issuers relative to the subject assets (the “Market Yield Approach”) and also consider recent loan amendments or other activity specific to the subject asset. Discount rates applied to estimated contractual cash flows for an underlying asset vary by specific investment, industry, priority and nature of the debt security (such as the seniority or security interest of the debt security) and are assessed relative to two indices, a leveraged loan index and a high-yield bond index, at the valuation date. We have identified these two indices as benchmarks for broad market information related to our loan and debt investments. Because we have not identified any market index that directly correlates to the loan and debt investments held by us and therefore use the two benchmark indices, these market indices may require significant adjustment to better correlate such market data for the calculation of fair value of the investment under the Market Yield Approach. Such adjustments require judgment and may be material to the calculation of fair value. Further adjustments to the discount rate may be applied to reflect other market conditions or the perceived credit risk of the borrower. When broad market indices are used as part of the valuation methodology, their use is subject to adjustment for many factors, including priority, collateral used as security, structure, performance and other quantitative and qualitative attributes of the asset being valued. The resulting present value determination is then weighted along with any quotes from observable transactions and broker/pricing quotes. If such quotes are indicative of actual transactions with reasonable trading volume at or near the valuation date that are not liquidation or distressed sales, relatively more reliance will be put on such quotes to determine fair value. If such quotes are not indicative of market transactions or are insufficient as to volume, reliability, consistency or other relevant factors, such quotes will be compared with other fair value indications and given relatively less weight based on their relevancy. The appropriateness of specific valuation methods and techniques may change as market conditions and available data change.</w:t>
      </w:r>
    </w:p>
    <w:p>
      <w:pPr>
        <w:spacing w:after="0" w:line="193" w:lineRule="exact"/>
        <w:rPr>
          <w:sz w:val="20"/>
          <w:szCs w:val="20"/>
          <w:color w:val="auto"/>
        </w:rPr>
      </w:pPr>
    </w:p>
    <w:p>
      <w:pPr>
        <w:ind w:right="260" w:firstLine="414"/>
        <w:spacing w:after="0" w:line="302" w:lineRule="auto"/>
        <w:rPr>
          <w:sz w:val="20"/>
          <w:szCs w:val="20"/>
          <w:color w:val="auto"/>
        </w:rPr>
      </w:pPr>
      <w:r>
        <w:rPr>
          <w:rFonts w:ascii="Arial" w:cs="Arial" w:eastAsia="Arial" w:hAnsi="Arial"/>
          <w:sz w:val="16"/>
          <w:szCs w:val="16"/>
          <w:color w:val="auto"/>
        </w:rPr>
        <w:t>The majority of our investment portfolio is composed of debt and equity securities with unique contract terms and conditions and/or complexity that requires a valuation of each individual investment that considers multiple levels of market and asset specific inputs, including historical and forecasted financial and operational performance of the individual investment, projected cash flows, market multiples, comparable market transactions, the priority of the security compared with those of other securities for such issuers, credit risk, interest rates and independent valuations and reviews.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and Debt Securities.</w:t>
      </w:r>
    </w:p>
    <w:p>
      <w:pPr>
        <w:spacing w:after="0" w:line="225" w:lineRule="exact"/>
        <w:rPr>
          <w:sz w:val="20"/>
          <w:szCs w:val="20"/>
          <w:color w:val="auto"/>
        </w:rPr>
      </w:pPr>
    </w:p>
    <w:p>
      <w:pPr>
        <w:ind w:firstLine="414"/>
        <w:spacing w:after="0" w:line="272" w:lineRule="auto"/>
        <w:rPr>
          <w:sz w:val="20"/>
          <w:szCs w:val="20"/>
          <w:color w:val="auto"/>
        </w:rPr>
      </w:pPr>
      <w:r>
        <w:rPr>
          <w:rFonts w:ascii="Arial" w:cs="Arial" w:eastAsia="Arial" w:hAnsi="Arial"/>
          <w:sz w:val="17"/>
          <w:szCs w:val="17"/>
          <w:color w:val="auto"/>
        </w:rPr>
        <w:t>To the extent that our investments are exchange traded and are priced or have sufficient price indications from normal course trading at or around the valuation date (financial reporting date), such pricing will determine fair value. Pricing service marks from third party pricing services may be used as an indication of fair value, depending on the volume and reliability of the marks, sufficient and reasonable correlation of bid and ask quotes, and, most importantly, the level of actual trading activity. However, most of our investments are illiquid investments with little or no trading activity. Further, we have been unable to identify directly comparable market indices or other market guidance that correlate directly to the types of investments we own. As a result, for most of our assets, we determine fair value using alternative methodologies and models using available market data, as adjusted, to reflect the types of assets we own, their structure, qualitative and credit attributes and other asset specific characteristics.</w:t>
      </w:r>
    </w:p>
    <w:p>
      <w:pPr>
        <w:spacing w:after="0" w:line="178" w:lineRule="exact"/>
        <w:rPr>
          <w:sz w:val="20"/>
          <w:szCs w:val="20"/>
          <w:color w:val="auto"/>
        </w:rPr>
      </w:pPr>
    </w:p>
    <w:p>
      <w:pPr>
        <w:ind w:firstLine="414"/>
        <w:spacing w:after="0" w:line="286" w:lineRule="auto"/>
        <w:rPr>
          <w:sz w:val="20"/>
          <w:szCs w:val="20"/>
          <w:color w:val="auto"/>
        </w:rPr>
      </w:pPr>
      <w:r>
        <w:rPr>
          <w:rFonts w:ascii="Arial" w:cs="Arial" w:eastAsia="Arial" w:hAnsi="Arial"/>
          <w:sz w:val="16"/>
          <w:szCs w:val="16"/>
          <w:color w:val="auto"/>
        </w:rPr>
        <w:t>We derive fair value for our illiquid investments that do not have indicative fair values based upon active trades primarily by using the Market Yield Approach and also consider recent loan amendments or other activity specific to the subject asset. Discount rates applied to estimated contractual cash flows for an underlying asset vary by specific investment, industry, priority and nature of the debt security (such as the seniority or security interest of the debt security) and are assessed relative to two indices, a leveraged loan index and a high-yield bond index, at the valuation date. We have identified these two indices as benchmarks for broad market information related to our loan and debt investments. Because we have not identified any market index that directly correlates to the loan and debt investments held by us and therefore use the two benchmark indices, these market indices may require significant adjustment to better correlate such market data for the calculation of fair value of the investment under the Market Yield Approach. Such adjustments require judgment and may be material to the calculation of fair value. Further adjustments to the discount rate may be applied to reflect other market conditions or the perceived credit risk of the borrower. When broad market indices are used as part of the valuation methodology, their use is subject to adjustment for many factors, including priority, collateral used as security, structure, performance and other quantitative and qualitative attributes of the asset being valued. The resulting present value determination is then weighted along with any quotes from observable transactions and broker/pricing quotes. If such quotes are indicative of actual transactions with reasonable trading volume at or near the valuation date that are not liquidation or distressed sales, relatively more reliance will be put on such quotes to determine fair value. If such quotes are not indicative of market transactions or are insufficient as to volume, reliability, consistency or other relevant factors, such quotes will be compared with other fair value indications and given relatively less weight based on their relevancy.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Equity and Equity-Related Securities.</w:t>
      </w:r>
    </w:p>
    <w:p>
      <w:pPr>
        <w:spacing w:after="0" w:line="2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Our equity and equity-related securities in portfolio companies for which there is no liquid public market are carried at fair value based on the enterprise value of the portfolio company, which is determined using various factors, including EBITDA, cash flows from operations less capital expenditures and other pertinent factors, such as recent offers to purchase a portfolio company’s securities or other liquidation events. The determined fair values are generally discounted to account for restrictions on resale and minority ownership positions. The values of our equity and equity-related securities in public companies for which market quotations are readily available are based upon the closing public market price on the balance sheet date. Securities that carry certain restrictions on sale are typically valued at a discount from the public market value of the security.</w:t>
      </w:r>
    </w:p>
    <w:p>
      <w:pPr>
        <w:spacing w:after="0" w:line="178"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The significant inputs used to determine the fair value of equity and equity-related securities include prices, earnings, EBITDA and cash flows after capital expenditures for similar peer comparables and the investment entity itself. Equity and equity-related securities are classified as Level III as described in—“Critical Accounting Policies—Valuation of Portfolio Investments” below), when there is limited activity or less transparency around inputs to the valuation given the lack of information related to such equity investments held in nonpublic companies. Significant assumptions observed for comparable companies as applied to relevant financial data for the specific investment. Such assumptions, such as model discount rates or price/earnings multiples, vary by the specific investment, equity position and industry and incorporate adjustments for risk premiums, liquidity and company specific attributes. Such adjustments require judgment and may be material to the calculation of fair value.</w:t>
      </w:r>
    </w:p>
    <w:p>
      <w:pPr>
        <w:spacing w:after="0" w:line="178"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At March 31, 2013 and December 31, 2012, our investments in income producing loans and debt securities, excluding CLO Fund securities, had a weighted average interest rate of approximately 7.7% and 7.5%, respectively.</w:t>
      </w:r>
    </w:p>
    <w:p>
      <w:pPr>
        <w:spacing w:after="0" w:line="170"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 investment portfolio (excluding the Company’s investments in its Asset Manager Affiliates and CLO Funds) at March 31, 2013 was spread across 24 different industries and 54 different entities with an average balance per entity of approximately $2.8 million. As of March 31, 2013, all but five of our issuers (representing less than 1% of total investments at fair value) were current on their debt service obligations. Our portfolio, including the CLO Funds in which it invests, and the CLO Funds managed by our Asset Manager Affiliates consist almost exclusively of credit instruments issued by corporations.</w:t>
      </w:r>
    </w:p>
    <w:p>
      <w:pPr>
        <w:spacing w:after="0" w:line="154" w:lineRule="exact"/>
        <w:rPr>
          <w:sz w:val="20"/>
          <w:szCs w:val="20"/>
          <w:color w:val="auto"/>
        </w:rPr>
      </w:pPr>
    </w:p>
    <w:p>
      <w:pPr>
        <w:jc w:val="both"/>
        <w:ind w:right="640" w:firstLine="324"/>
        <w:spacing w:after="0" w:line="264" w:lineRule="auto"/>
        <w:rPr>
          <w:sz w:val="20"/>
          <w:szCs w:val="20"/>
          <w:color w:val="auto"/>
        </w:rPr>
      </w:pPr>
      <w:r>
        <w:rPr>
          <w:rFonts w:ascii="Arial" w:cs="Arial" w:eastAsia="Arial" w:hAnsi="Arial"/>
          <w:sz w:val="18"/>
          <w:szCs w:val="18"/>
          <w:color w:val="auto"/>
        </w:rPr>
        <w:t>We may invest up to 30% of our investment portfolio in opportunistic investments in high-yield bonds, debt and equity securities of CLO Funds, distressed debt or equity securities of public companies. At March 31, 2013, approximately 22% of our total assets were foreign assets (including our investments in CLO Funds, which are typically domiciled outside the U.S.).</w:t>
      </w:r>
    </w:p>
    <w:p>
      <w:pPr>
        <w:spacing w:after="0" w:line="181"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At March 31, 2013, our ten largest portfolio companies represented approximately 61% of the total fair value of our investments. Our largest investment is comprised of our wholly-owned Asset Manager Affiliates and represented 23% of the total fair value of our investments. Excluding our Asset Manager Affiliates and CLO Fund securities, our ten largest portfolio companies represent approximately 20% of the total fair value of our investments.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 Fund Securities</w:t>
      </w:r>
    </w:p>
    <w:p>
      <w:pPr>
        <w:spacing w:after="0" w:line="225" w:lineRule="exact"/>
        <w:rPr>
          <w:sz w:val="20"/>
          <w:szCs w:val="20"/>
          <w:color w:val="auto"/>
        </w:rPr>
      </w:pPr>
    </w:p>
    <w:p>
      <w:pPr>
        <w:jc w:val="both"/>
        <w:ind w:right="420" w:firstLine="324"/>
        <w:spacing w:after="0" w:line="312" w:lineRule="auto"/>
        <w:rPr>
          <w:sz w:val="20"/>
          <w:szCs w:val="20"/>
          <w:color w:val="auto"/>
        </w:rPr>
      </w:pPr>
      <w:r>
        <w:rPr>
          <w:rFonts w:ascii="Arial" w:cs="Arial" w:eastAsia="Arial" w:hAnsi="Arial"/>
          <w:sz w:val="16"/>
          <w:szCs w:val="16"/>
          <w:color w:val="auto"/>
        </w:rPr>
        <w:t>We typically make a minority investment in the subordinated securities or preferred stock of CLO Funds raised and managed by our Asset Manager Affiliates and may selectively invest in securities issued by CLO Funds managed by other asset management companies. As of March 31, 2013, we had approximately $78 million invested in CLO Fund securities, including those issued by funds managed by our Asset Manager Affiliates.</w:t>
      </w:r>
    </w:p>
    <w:p>
      <w:pPr>
        <w:spacing w:after="0" w:line="14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CLO Funds managed by our Asset Manager Affiliates invest primarily in broadly syndicated non-investment grade loans, high-yield bonds and other credit instruments of corporate issuers. The underlying assets in each of the CLO Funds in which we have an investment are generally diversified secured or unsecured corporate debt.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5" w:name="page56"/>
    <w:bookmarkEnd w:id="55"/>
    <w:p>
      <w:pPr>
        <w:ind w:left="340"/>
        <w:spacing w:after="0"/>
        <w:rPr>
          <w:sz w:val="20"/>
          <w:szCs w:val="20"/>
          <w:color w:val="auto"/>
        </w:rPr>
      </w:pPr>
      <w:r>
        <w:rPr>
          <w:rFonts w:ascii="Arial" w:cs="Arial" w:eastAsia="Arial" w:hAnsi="Arial"/>
          <w:sz w:val="18"/>
          <w:szCs w:val="18"/>
          <w:color w:val="auto"/>
        </w:rPr>
        <w:t>Our CLO Fund investments as of March 31, 2013 and December 31, 2012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1</w:t>
            </w:r>
          </w:p>
        </w:tc>
        <w:tc>
          <w:tcPr>
            <w:tcW w:w="240" w:type="dxa"/>
            <w:vAlign w:val="bottom"/>
          </w:tcPr>
          <w:p>
            <w:pPr>
              <w:spacing w:after="0"/>
              <w:rPr>
                <w:sz w:val="14"/>
                <w:szCs w:val="14"/>
                <w:color w:val="auto"/>
              </w:rPr>
            </w:pPr>
          </w:p>
        </w:tc>
        <w:tc>
          <w:tcPr>
            <w:tcW w:w="18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7"/>
              </w:rPr>
              <w:t>March 31, 2013 (unaudited)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right"/>
              <w:ind w:right="248"/>
              <w:spacing w:after="0"/>
              <w:rPr>
                <w:sz w:val="20"/>
                <w:szCs w:val="20"/>
                <w:color w:val="auto"/>
              </w:rPr>
            </w:pPr>
            <w:r>
              <w:rPr>
                <w:rFonts w:ascii="Arial" w:cs="Arial" w:eastAsia="Arial" w:hAnsi="Arial"/>
                <w:sz w:val="14"/>
                <w:szCs w:val="14"/>
                <w:b w:val="1"/>
                <w:bCs w:val="1"/>
                <w:color w:val="auto"/>
              </w:rPr>
              <w:t>December 31, 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80" w:type="dxa"/>
            <w:vAlign w:val="bottom"/>
            <w:gridSpan w:val="3"/>
          </w:tcPr>
          <w:p>
            <w:pPr>
              <w:spacing w:after="0"/>
              <w:rPr>
                <w:sz w:val="20"/>
                <w:szCs w:val="20"/>
                <w:color w:val="auto"/>
              </w:rPr>
            </w:pPr>
            <w:r>
              <w:rPr>
                <w:rFonts w:ascii="Arial" w:cs="Arial" w:eastAsia="Arial" w:hAnsi="Arial"/>
                <w:sz w:val="14"/>
                <w:szCs w:val="14"/>
                <w:b w:val="1"/>
                <w:bCs w:val="1"/>
                <w:color w:val="auto"/>
              </w:rPr>
              <w:t>CLO Fund Securities</w:t>
            </w:r>
          </w:p>
        </w:tc>
        <w:tc>
          <w:tcPr>
            <w:tcW w:w="3540" w:type="dxa"/>
            <w:vAlign w:val="bottom"/>
            <w:gridSpan w:val="2"/>
          </w:tcPr>
          <w:p>
            <w:pPr>
              <w:ind w:left="1360"/>
              <w:spacing w:after="0"/>
              <w:rPr>
                <w:sz w:val="20"/>
                <w:szCs w:val="20"/>
                <w:color w:val="auto"/>
              </w:rPr>
            </w:pPr>
            <w:r>
              <w:rPr>
                <w:rFonts w:ascii="Arial" w:cs="Arial" w:eastAsia="Arial" w:hAnsi="Arial"/>
                <w:sz w:val="14"/>
                <w:szCs w:val="14"/>
                <w:b w:val="1"/>
                <w:bCs w:val="1"/>
                <w:color w:val="auto"/>
              </w:rPr>
              <w:t>Investment</w:t>
            </w:r>
          </w:p>
        </w:tc>
        <w:tc>
          <w:tcPr>
            <w:tcW w:w="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FFCC"/>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Grant Grove CLO, Ltd.</w:t>
            </w:r>
          </w:p>
        </w:tc>
        <w:tc>
          <w:tcPr>
            <w:tcW w:w="140" w:type="dxa"/>
            <w:vAlign w:val="bottom"/>
            <w:vMerge w:val="continue"/>
            <w:shd w:val="clear" w:color="auto" w:fill="CCFFCC"/>
          </w:tcPr>
          <w:p>
            <w:pPr>
              <w:spacing w:after="0"/>
              <w:rPr>
                <w:sz w:val="12"/>
                <w:szCs w:val="12"/>
                <w:color w:val="auto"/>
              </w:rPr>
            </w:pPr>
          </w:p>
        </w:tc>
        <w:tc>
          <w:tcPr>
            <w:tcW w:w="342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Subordinated Securities</w:t>
            </w:r>
          </w:p>
        </w:tc>
        <w:tc>
          <w:tcPr>
            <w:tcW w:w="120" w:type="dxa"/>
            <w:vAlign w:val="bottom"/>
            <w:vMerge w:val="continue"/>
            <w:shd w:val="clear" w:color="auto" w:fill="CCFFCC"/>
          </w:tcPr>
          <w:p>
            <w:pPr>
              <w:spacing w:after="0"/>
              <w:rPr>
                <w:sz w:val="12"/>
                <w:szCs w:val="12"/>
                <w:color w:val="auto"/>
              </w:rPr>
            </w:pPr>
          </w:p>
        </w:tc>
        <w:tc>
          <w:tcPr>
            <w:tcW w:w="106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22.2%</w:t>
            </w:r>
          </w:p>
        </w:tc>
        <w:tc>
          <w:tcPr>
            <w:tcW w:w="12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4,898,554</w:t>
            </w:r>
          </w:p>
        </w:tc>
        <w:tc>
          <w:tcPr>
            <w:tcW w:w="120" w:type="dxa"/>
            <w:vAlign w:val="bottom"/>
            <w:shd w:val="clear" w:color="auto" w:fill="CCFFCC"/>
          </w:tcPr>
          <w:p>
            <w:pPr>
              <w:spacing w:after="0"/>
              <w:rPr>
                <w:sz w:val="12"/>
                <w:szCs w:val="12"/>
                <w:color w:val="auto"/>
              </w:rPr>
            </w:pPr>
          </w:p>
        </w:tc>
        <w:tc>
          <w:tcPr>
            <w:tcW w:w="100" w:type="dxa"/>
            <w:vAlign w:val="bottom"/>
            <w:vMerge w:val="continue"/>
            <w:shd w:val="clear" w:color="auto" w:fill="CCFFCC"/>
          </w:tcPr>
          <w:p>
            <w:pPr>
              <w:spacing w:after="0"/>
              <w:rPr>
                <w:sz w:val="12"/>
                <w:szCs w:val="12"/>
                <w:color w:val="auto"/>
              </w:rPr>
            </w:pPr>
          </w:p>
        </w:tc>
        <w:tc>
          <w:tcPr>
            <w:tcW w:w="12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2,742,376</w:t>
            </w:r>
          </w:p>
        </w:tc>
        <w:tc>
          <w:tcPr>
            <w:tcW w:w="100" w:type="dxa"/>
            <w:vAlign w:val="bottom"/>
            <w:vMerge w:val="continue"/>
            <w:shd w:val="clear" w:color="auto" w:fill="CCFFCC"/>
          </w:tcPr>
          <w:p>
            <w:pPr>
              <w:spacing w:after="0"/>
              <w:rPr>
                <w:sz w:val="12"/>
                <w:szCs w:val="12"/>
                <w:color w:val="auto"/>
              </w:rPr>
            </w:pPr>
          </w:p>
        </w:tc>
        <w:tc>
          <w:tcPr>
            <w:tcW w:w="100" w:type="dxa"/>
            <w:vAlign w:val="bottom"/>
            <w:vMerge w:val="continue"/>
            <w:shd w:val="clear" w:color="auto" w:fill="CCFFCC"/>
          </w:tcPr>
          <w:p>
            <w:pPr>
              <w:spacing w:after="0"/>
              <w:rPr>
                <w:sz w:val="12"/>
                <w:szCs w:val="12"/>
                <w:color w:val="auto"/>
              </w:rPr>
            </w:pPr>
          </w:p>
        </w:tc>
        <w:tc>
          <w:tcPr>
            <w:tcW w:w="12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4,925,009</w:t>
            </w:r>
          </w:p>
        </w:tc>
        <w:tc>
          <w:tcPr>
            <w:tcW w:w="100" w:type="dxa"/>
            <w:vAlign w:val="bottom"/>
            <w:vMerge w:val="continue"/>
            <w:shd w:val="clear" w:color="auto" w:fill="CCFFCC"/>
          </w:tcPr>
          <w:p>
            <w:pPr>
              <w:spacing w:after="0"/>
              <w:rPr>
                <w:sz w:val="12"/>
                <w:szCs w:val="12"/>
                <w:color w:val="auto"/>
              </w:rPr>
            </w:pPr>
          </w:p>
        </w:tc>
        <w:tc>
          <w:tcPr>
            <w:tcW w:w="100" w:type="dxa"/>
            <w:vAlign w:val="bottom"/>
            <w:vMerge w:val="continue"/>
            <w:shd w:val="clear" w:color="auto" w:fill="CCFFCC"/>
          </w:tcPr>
          <w:p>
            <w:pPr>
              <w:spacing w:after="0"/>
              <w:rPr>
                <w:sz w:val="12"/>
                <w:szCs w:val="12"/>
                <w:color w:val="auto"/>
              </w:rPr>
            </w:pPr>
          </w:p>
        </w:tc>
        <w:tc>
          <w:tcPr>
            <w:tcW w:w="12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3,124,924</w:t>
            </w:r>
          </w:p>
        </w:tc>
        <w:tc>
          <w:tcPr>
            <w:tcW w:w="100" w:type="dxa"/>
            <w:vAlign w:val="bottom"/>
            <w:vMerge w:val="continue"/>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gridSpan w:val="2"/>
          </w:tcPr>
          <w:p>
            <w:pPr>
              <w:spacing w:after="0" w:line="189" w:lineRule="exact"/>
              <w:rPr>
                <w:sz w:val="20"/>
                <w:szCs w:val="20"/>
                <w:color w:val="auto"/>
              </w:rPr>
            </w:pPr>
            <w:r>
              <w:rPr>
                <w:rFonts w:ascii="Arial" w:cs="Arial" w:eastAsia="Arial" w:hAnsi="Arial"/>
                <w:sz w:val="13"/>
                <w:szCs w:val="13"/>
                <w:color w:val="auto"/>
              </w:rPr>
              <w:t>Katonah III, Ltd.</w:t>
            </w:r>
            <w:r>
              <w:rPr>
                <w:rFonts w:ascii="Arial" w:cs="Arial" w:eastAsia="Arial" w:hAnsi="Arial"/>
                <w:sz w:val="21"/>
                <w:szCs w:val="21"/>
                <w:color w:val="auto"/>
                <w:vertAlign w:val="superscript"/>
              </w:rPr>
              <w:t>3</w:t>
            </w:r>
          </w:p>
        </w:tc>
        <w:tc>
          <w:tcPr>
            <w:tcW w:w="3540" w:type="dxa"/>
            <w:vAlign w:val="bottom"/>
            <w:gridSpan w:val="2"/>
          </w:tcPr>
          <w:p>
            <w:pPr>
              <w:spacing w:after="0"/>
              <w:rPr>
                <w:sz w:val="20"/>
                <w:szCs w:val="20"/>
                <w:color w:val="auto"/>
              </w:rPr>
            </w:pPr>
            <w:r>
              <w:rPr>
                <w:rFonts w:ascii="Arial" w:cs="Arial" w:eastAsia="Arial" w:hAnsi="Arial"/>
                <w:sz w:val="14"/>
                <w:szCs w:val="14"/>
                <w:color w:val="auto"/>
              </w:rPr>
              <w:t>Preferred Shares</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23.1</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2,103,330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450,000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2,242,014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600,000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gridSpan w:val="2"/>
            <w:shd w:val="clear" w:color="auto" w:fill="CCFFCC"/>
          </w:tcPr>
          <w:p>
            <w:pPr>
              <w:spacing w:after="0" w:line="189" w:lineRule="exact"/>
              <w:rPr>
                <w:sz w:val="20"/>
                <w:szCs w:val="20"/>
                <w:color w:val="auto"/>
              </w:rPr>
            </w:pPr>
            <w:r>
              <w:rPr>
                <w:rFonts w:ascii="Arial" w:cs="Arial" w:eastAsia="Arial" w:hAnsi="Arial"/>
                <w:sz w:val="13"/>
                <w:szCs w:val="13"/>
                <w:color w:val="auto"/>
              </w:rPr>
              <w:t>Katonah V, Ltd.</w:t>
            </w:r>
            <w:r>
              <w:rPr>
                <w:rFonts w:ascii="Arial" w:cs="Arial" w:eastAsia="Arial" w:hAnsi="Arial"/>
                <w:sz w:val="21"/>
                <w:szCs w:val="21"/>
                <w:color w:val="auto"/>
                <w:vertAlign w:val="superscript"/>
              </w:rPr>
              <w:t>3</w:t>
            </w:r>
          </w:p>
        </w:tc>
        <w:tc>
          <w:tcPr>
            <w:tcW w:w="35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Preferred Shares</w:t>
            </w:r>
          </w:p>
        </w:tc>
        <w:tc>
          <w:tcPr>
            <w:tcW w:w="106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26.7</w:t>
            </w:r>
          </w:p>
        </w:tc>
        <w:tc>
          <w:tcPr>
            <w:tcW w:w="120" w:type="dxa"/>
            <w:vAlign w:val="bottom"/>
            <w:shd w:val="clear" w:color="auto" w:fill="CCFFCC"/>
          </w:tcPr>
          <w:p>
            <w:pPr>
              <w:spacing w:after="0"/>
              <w:rPr>
                <w:sz w:val="16"/>
                <w:szCs w:val="16"/>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3,320,000</w:t>
            </w:r>
          </w:p>
        </w:tc>
        <w:tc>
          <w:tcPr>
            <w:tcW w:w="1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3,320,000</w:t>
            </w:r>
          </w:p>
        </w:tc>
        <w:tc>
          <w:tcPr>
            <w:tcW w:w="1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gridSpan w:val="2"/>
          </w:tcPr>
          <w:p>
            <w:pPr>
              <w:spacing w:after="0" w:line="189" w:lineRule="exact"/>
              <w:rPr>
                <w:sz w:val="20"/>
                <w:szCs w:val="20"/>
                <w:color w:val="auto"/>
              </w:rPr>
            </w:pPr>
            <w:r>
              <w:rPr>
                <w:rFonts w:ascii="Arial" w:cs="Arial" w:eastAsia="Arial" w:hAnsi="Arial"/>
                <w:sz w:val="13"/>
                <w:szCs w:val="13"/>
                <w:color w:val="auto"/>
              </w:rPr>
              <w:t>Katonah VII CLO Ltd.</w:t>
            </w:r>
            <w:r>
              <w:rPr>
                <w:rFonts w:ascii="Arial" w:cs="Arial" w:eastAsia="Arial" w:hAnsi="Arial"/>
                <w:sz w:val="21"/>
                <w:szCs w:val="21"/>
                <w:color w:val="auto"/>
                <w:vertAlign w:val="superscript"/>
              </w:rPr>
              <w:t>2</w:t>
            </w:r>
          </w:p>
        </w:tc>
        <w:tc>
          <w:tcPr>
            <w:tcW w:w="3540" w:type="dxa"/>
            <w:vAlign w:val="bottom"/>
            <w:gridSpan w:val="2"/>
          </w:tcPr>
          <w:p>
            <w:pPr>
              <w:spacing w:after="0"/>
              <w:rPr>
                <w:sz w:val="20"/>
                <w:szCs w:val="20"/>
                <w:color w:val="auto"/>
              </w:rPr>
            </w:pPr>
            <w:r>
              <w:rPr>
                <w:rFonts w:ascii="Arial" w:cs="Arial" w:eastAsia="Arial" w:hAnsi="Arial"/>
                <w:sz w:val="14"/>
                <w:szCs w:val="14"/>
                <w:color w:val="auto"/>
              </w:rPr>
              <w:t>Subordinated Securities</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16.4</w:t>
            </w:r>
          </w:p>
        </w:tc>
        <w:tc>
          <w:tcPr>
            <w:tcW w:w="12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4,542,611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2,090,033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4,574,393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2,120,168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gridSpan w:val="2"/>
            <w:shd w:val="clear" w:color="auto" w:fill="CCFFCC"/>
          </w:tcPr>
          <w:p>
            <w:pPr>
              <w:spacing w:after="0" w:line="189" w:lineRule="exact"/>
              <w:rPr>
                <w:sz w:val="20"/>
                <w:szCs w:val="20"/>
                <w:color w:val="auto"/>
              </w:rPr>
            </w:pPr>
            <w:r>
              <w:rPr>
                <w:rFonts w:ascii="Arial" w:cs="Arial" w:eastAsia="Arial" w:hAnsi="Arial"/>
                <w:sz w:val="13"/>
                <w:szCs w:val="13"/>
                <w:color w:val="auto"/>
              </w:rPr>
              <w:t>Katonah VIII CLO Ltd.</w:t>
            </w:r>
            <w:r>
              <w:rPr>
                <w:rFonts w:ascii="Arial" w:cs="Arial" w:eastAsia="Arial" w:hAnsi="Arial"/>
                <w:sz w:val="21"/>
                <w:szCs w:val="21"/>
                <w:color w:val="auto"/>
                <w:vertAlign w:val="superscript"/>
              </w:rPr>
              <w:t>2</w:t>
            </w:r>
          </w:p>
        </w:tc>
        <w:tc>
          <w:tcPr>
            <w:tcW w:w="35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Subordinated Securities</w:t>
            </w:r>
          </w:p>
        </w:tc>
        <w:tc>
          <w:tcPr>
            <w:tcW w:w="106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FFCC"/>
          </w:tcPr>
          <w:p>
            <w:pPr>
              <w:spacing w:after="0"/>
              <w:rPr>
                <w:sz w:val="16"/>
                <w:szCs w:val="16"/>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3,426,105</w:t>
            </w:r>
          </w:p>
        </w:tc>
        <w:tc>
          <w:tcPr>
            <w:tcW w:w="1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1,894,796</w:t>
            </w:r>
          </w:p>
        </w:tc>
        <w:tc>
          <w:tcPr>
            <w:tcW w:w="1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3,450,705</w:t>
            </w:r>
          </w:p>
        </w:tc>
        <w:tc>
          <w:tcPr>
            <w:tcW w:w="1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2,171,998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gridSpan w:val="2"/>
          </w:tcPr>
          <w:p>
            <w:pPr>
              <w:spacing w:after="0" w:line="189" w:lineRule="exact"/>
              <w:rPr>
                <w:sz w:val="20"/>
                <w:szCs w:val="20"/>
                <w:color w:val="auto"/>
              </w:rPr>
            </w:pPr>
            <w:r>
              <w:rPr>
                <w:rFonts w:ascii="Arial" w:cs="Arial" w:eastAsia="Arial" w:hAnsi="Arial"/>
                <w:sz w:val="13"/>
                <w:szCs w:val="13"/>
                <w:color w:val="auto"/>
              </w:rPr>
              <w:t>Katonah IX CLO Ltd.</w:t>
            </w:r>
            <w:r>
              <w:rPr>
                <w:rFonts w:ascii="Arial" w:cs="Arial" w:eastAsia="Arial" w:hAnsi="Arial"/>
                <w:sz w:val="21"/>
                <w:szCs w:val="21"/>
                <w:color w:val="auto"/>
                <w:vertAlign w:val="superscript"/>
              </w:rPr>
              <w:t>2</w:t>
            </w:r>
          </w:p>
        </w:tc>
        <w:tc>
          <w:tcPr>
            <w:tcW w:w="3540" w:type="dxa"/>
            <w:vAlign w:val="bottom"/>
            <w:gridSpan w:val="2"/>
          </w:tcPr>
          <w:p>
            <w:pPr>
              <w:spacing w:after="0"/>
              <w:rPr>
                <w:sz w:val="20"/>
                <w:szCs w:val="20"/>
                <w:color w:val="auto"/>
              </w:rPr>
            </w:pPr>
            <w:r>
              <w:rPr>
                <w:rFonts w:ascii="Arial" w:cs="Arial" w:eastAsia="Arial" w:hAnsi="Arial"/>
                <w:sz w:val="14"/>
                <w:szCs w:val="14"/>
                <w:color w:val="auto"/>
              </w:rPr>
              <w:t>Preferred Shares</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2,078,487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1,337,570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2,082,987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1,488,895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gridSpan w:val="2"/>
            <w:shd w:val="clear" w:color="auto" w:fill="CCFFCC"/>
          </w:tcPr>
          <w:p>
            <w:pPr>
              <w:spacing w:after="0" w:line="189" w:lineRule="exact"/>
              <w:rPr>
                <w:sz w:val="20"/>
                <w:szCs w:val="20"/>
                <w:color w:val="auto"/>
              </w:rPr>
            </w:pPr>
            <w:r>
              <w:rPr>
                <w:rFonts w:ascii="Arial" w:cs="Arial" w:eastAsia="Arial" w:hAnsi="Arial"/>
                <w:sz w:val="13"/>
                <w:szCs w:val="13"/>
                <w:color w:val="auto"/>
              </w:rPr>
              <w:t>Katonah X CLO Ltd.</w:t>
            </w:r>
            <w:r>
              <w:rPr>
                <w:rFonts w:ascii="Arial" w:cs="Arial" w:eastAsia="Arial" w:hAnsi="Arial"/>
                <w:sz w:val="21"/>
                <w:szCs w:val="21"/>
                <w:color w:val="auto"/>
                <w:vertAlign w:val="superscript"/>
              </w:rPr>
              <w:t>2</w:t>
            </w:r>
          </w:p>
        </w:tc>
        <w:tc>
          <w:tcPr>
            <w:tcW w:w="35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Subordinated Securities</w:t>
            </w:r>
          </w:p>
        </w:tc>
        <w:tc>
          <w:tcPr>
            <w:tcW w:w="106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33.3</w:t>
            </w:r>
          </w:p>
        </w:tc>
        <w:tc>
          <w:tcPr>
            <w:tcW w:w="120" w:type="dxa"/>
            <w:vAlign w:val="bottom"/>
            <w:shd w:val="clear" w:color="auto" w:fill="CCFFCC"/>
          </w:tcPr>
          <w:p>
            <w:pPr>
              <w:spacing w:after="0"/>
              <w:rPr>
                <w:sz w:val="16"/>
                <w:szCs w:val="16"/>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w w:val="96"/>
              </w:rPr>
              <w:t>11,857,236</w:t>
            </w:r>
          </w:p>
        </w:tc>
        <w:tc>
          <w:tcPr>
            <w:tcW w:w="1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8,178,887</w:t>
            </w:r>
          </w:p>
        </w:tc>
        <w:tc>
          <w:tcPr>
            <w:tcW w:w="1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w w:val="94"/>
              </w:rPr>
              <w:t>11,934,600</w:t>
            </w:r>
          </w:p>
        </w:tc>
        <w:tc>
          <w:tcPr>
            <w:tcW w:w="1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9,455,511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gridSpan w:val="2"/>
          </w:tcPr>
          <w:p>
            <w:pPr>
              <w:spacing w:after="0" w:line="189" w:lineRule="exact"/>
              <w:rPr>
                <w:sz w:val="20"/>
                <w:szCs w:val="20"/>
                <w:color w:val="auto"/>
              </w:rPr>
            </w:pPr>
            <w:r>
              <w:rPr>
                <w:rFonts w:ascii="Arial" w:cs="Arial" w:eastAsia="Arial" w:hAnsi="Arial"/>
                <w:sz w:val="13"/>
                <w:szCs w:val="13"/>
                <w:color w:val="auto"/>
              </w:rPr>
              <w:t>Katonah 2007-I CLO Ltd.</w:t>
            </w:r>
            <w:r>
              <w:rPr>
                <w:rFonts w:ascii="Arial" w:cs="Arial" w:eastAsia="Arial" w:hAnsi="Arial"/>
                <w:sz w:val="21"/>
                <w:szCs w:val="21"/>
                <w:color w:val="auto"/>
                <w:vertAlign w:val="superscript"/>
              </w:rPr>
              <w:t>2</w:t>
            </w:r>
          </w:p>
        </w:tc>
        <w:tc>
          <w:tcPr>
            <w:tcW w:w="3540" w:type="dxa"/>
            <w:vAlign w:val="bottom"/>
            <w:gridSpan w:val="2"/>
          </w:tcPr>
          <w:p>
            <w:pPr>
              <w:spacing w:after="0"/>
              <w:rPr>
                <w:sz w:val="20"/>
                <w:szCs w:val="20"/>
                <w:color w:val="auto"/>
              </w:rPr>
            </w:pPr>
            <w:r>
              <w:rPr>
                <w:rFonts w:ascii="Arial" w:cs="Arial" w:eastAsia="Arial" w:hAnsi="Arial"/>
                <w:sz w:val="14"/>
                <w:szCs w:val="14"/>
                <w:color w:val="auto"/>
              </w:rPr>
              <w:t>Preferred Shares</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31,018,671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28,987,453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31,189,147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30,091,886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gridSpan w:val="2"/>
            <w:shd w:val="clear" w:color="auto" w:fill="CCFFCC"/>
          </w:tcPr>
          <w:p>
            <w:pPr>
              <w:spacing w:after="0" w:line="189" w:lineRule="exact"/>
              <w:rPr>
                <w:sz w:val="20"/>
                <w:szCs w:val="20"/>
                <w:color w:val="auto"/>
              </w:rPr>
            </w:pPr>
            <w:r>
              <w:rPr>
                <w:rFonts w:ascii="Arial" w:cs="Arial" w:eastAsia="Arial" w:hAnsi="Arial"/>
                <w:sz w:val="13"/>
                <w:szCs w:val="13"/>
                <w:color w:val="auto"/>
              </w:rPr>
              <w:t>Katonah 2007-I CLO Ltd.</w:t>
            </w:r>
            <w:r>
              <w:rPr>
                <w:rFonts w:ascii="Arial" w:cs="Arial" w:eastAsia="Arial" w:hAnsi="Arial"/>
                <w:sz w:val="21"/>
                <w:szCs w:val="21"/>
                <w:color w:val="auto"/>
                <w:vertAlign w:val="superscript"/>
              </w:rPr>
              <w:t>2</w:t>
            </w:r>
          </w:p>
        </w:tc>
        <w:tc>
          <w:tcPr>
            <w:tcW w:w="35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Class B-2L Notes</w:t>
            </w:r>
          </w:p>
        </w:tc>
        <w:tc>
          <w:tcPr>
            <w:tcW w:w="106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FFCC"/>
          </w:tcPr>
          <w:p>
            <w:pPr>
              <w:spacing w:after="0"/>
              <w:rPr>
                <w:sz w:val="16"/>
                <w:szCs w:val="16"/>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1,258,651</w:t>
            </w:r>
          </w:p>
        </w:tc>
        <w:tc>
          <w:tcPr>
            <w:tcW w:w="1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9,440,000</w:t>
            </w:r>
          </w:p>
        </w:tc>
        <w:tc>
          <w:tcPr>
            <w:tcW w:w="1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1,252,190</w:t>
            </w:r>
          </w:p>
        </w:tc>
        <w:tc>
          <w:tcPr>
            <w:tcW w:w="1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9,140,000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gridSpan w:val="2"/>
          </w:tcPr>
          <w:p>
            <w:pPr>
              <w:spacing w:after="0" w:line="189" w:lineRule="exact"/>
              <w:rPr>
                <w:sz w:val="20"/>
                <w:szCs w:val="20"/>
                <w:color w:val="auto"/>
              </w:rPr>
            </w:pPr>
            <w:r>
              <w:rPr>
                <w:rFonts w:ascii="Arial" w:cs="Arial" w:eastAsia="Arial" w:hAnsi="Arial"/>
                <w:sz w:val="13"/>
                <w:szCs w:val="13"/>
                <w:color w:val="auto"/>
              </w:rPr>
              <w:t>Trimaran CLO IV, Ltd.</w:t>
            </w:r>
            <w:r>
              <w:rPr>
                <w:rFonts w:ascii="Arial" w:cs="Arial" w:eastAsia="Arial" w:hAnsi="Arial"/>
                <w:sz w:val="21"/>
                <w:szCs w:val="21"/>
                <w:color w:val="auto"/>
                <w:vertAlign w:val="superscript"/>
              </w:rPr>
              <w:t>2</w:t>
            </w:r>
          </w:p>
        </w:tc>
        <w:tc>
          <w:tcPr>
            <w:tcW w:w="3540" w:type="dxa"/>
            <w:vAlign w:val="bottom"/>
            <w:gridSpan w:val="2"/>
          </w:tcPr>
          <w:p>
            <w:pPr>
              <w:spacing w:after="0"/>
              <w:rPr>
                <w:sz w:val="20"/>
                <w:szCs w:val="20"/>
                <w:color w:val="auto"/>
              </w:rPr>
            </w:pPr>
            <w:r>
              <w:rPr>
                <w:rFonts w:ascii="Arial" w:cs="Arial" w:eastAsia="Arial" w:hAnsi="Arial"/>
                <w:sz w:val="14"/>
                <w:szCs w:val="14"/>
                <w:color w:val="auto"/>
              </w:rPr>
              <w:t>Preferred Shares</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19.0</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3,590,600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3,097,265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3,616,600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3,575,571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gridSpan w:val="2"/>
            <w:shd w:val="clear" w:color="auto" w:fill="CCFFCC"/>
          </w:tcPr>
          <w:p>
            <w:pPr>
              <w:spacing w:after="0" w:line="189" w:lineRule="exact"/>
              <w:rPr>
                <w:sz w:val="20"/>
                <w:szCs w:val="20"/>
                <w:color w:val="auto"/>
              </w:rPr>
            </w:pPr>
            <w:r>
              <w:rPr>
                <w:rFonts w:ascii="Arial" w:cs="Arial" w:eastAsia="Arial" w:hAnsi="Arial"/>
                <w:sz w:val="13"/>
                <w:szCs w:val="13"/>
                <w:color w:val="auto"/>
              </w:rPr>
              <w:t>Trimaran CLO V, Ltd.</w:t>
            </w:r>
            <w:r>
              <w:rPr>
                <w:rFonts w:ascii="Arial" w:cs="Arial" w:eastAsia="Arial" w:hAnsi="Arial"/>
                <w:sz w:val="21"/>
                <w:szCs w:val="21"/>
                <w:color w:val="auto"/>
                <w:vertAlign w:val="superscript"/>
              </w:rPr>
              <w:t>2</w:t>
            </w:r>
          </w:p>
        </w:tc>
        <w:tc>
          <w:tcPr>
            <w:tcW w:w="35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Subordinated Notes</w:t>
            </w:r>
          </w:p>
        </w:tc>
        <w:tc>
          <w:tcPr>
            <w:tcW w:w="106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20.8</w:t>
            </w:r>
          </w:p>
        </w:tc>
        <w:tc>
          <w:tcPr>
            <w:tcW w:w="120" w:type="dxa"/>
            <w:vAlign w:val="bottom"/>
            <w:shd w:val="clear" w:color="auto" w:fill="CCFFCC"/>
          </w:tcPr>
          <w:p>
            <w:pPr>
              <w:spacing w:after="0"/>
              <w:rPr>
                <w:sz w:val="16"/>
                <w:szCs w:val="16"/>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2,746,300</w:t>
            </w:r>
          </w:p>
        </w:tc>
        <w:tc>
          <w:tcPr>
            <w:tcW w:w="1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2,603,141</w:t>
            </w:r>
          </w:p>
        </w:tc>
        <w:tc>
          <w:tcPr>
            <w:tcW w:w="1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2,757,100</w:t>
            </w:r>
          </w:p>
        </w:tc>
        <w:tc>
          <w:tcPr>
            <w:tcW w:w="1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2,930,004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gridSpan w:val="2"/>
          </w:tcPr>
          <w:p>
            <w:pPr>
              <w:spacing w:after="0" w:line="189" w:lineRule="exact"/>
              <w:rPr>
                <w:sz w:val="20"/>
                <w:szCs w:val="20"/>
                <w:color w:val="auto"/>
              </w:rPr>
            </w:pPr>
            <w:r>
              <w:rPr>
                <w:rFonts w:ascii="Arial" w:cs="Arial" w:eastAsia="Arial" w:hAnsi="Arial"/>
                <w:sz w:val="13"/>
                <w:szCs w:val="13"/>
                <w:color w:val="auto"/>
              </w:rPr>
              <w:t>Trimaran CLO VI, Ltd.</w:t>
            </w:r>
            <w:r>
              <w:rPr>
                <w:rFonts w:ascii="Arial" w:cs="Arial" w:eastAsia="Arial" w:hAnsi="Arial"/>
                <w:sz w:val="21"/>
                <w:szCs w:val="21"/>
                <w:color w:val="auto"/>
                <w:vertAlign w:val="superscript"/>
              </w:rPr>
              <w:t>2</w:t>
            </w:r>
          </w:p>
        </w:tc>
        <w:tc>
          <w:tcPr>
            <w:tcW w:w="3540" w:type="dxa"/>
            <w:vAlign w:val="bottom"/>
            <w:gridSpan w:val="2"/>
          </w:tcPr>
          <w:p>
            <w:pPr>
              <w:spacing w:after="0"/>
              <w:rPr>
                <w:sz w:val="20"/>
                <w:szCs w:val="20"/>
                <w:color w:val="auto"/>
              </w:rPr>
            </w:pPr>
            <w:r>
              <w:rPr>
                <w:rFonts w:ascii="Arial" w:cs="Arial" w:eastAsia="Arial" w:hAnsi="Arial"/>
                <w:sz w:val="14"/>
                <w:szCs w:val="14"/>
                <w:color w:val="auto"/>
              </w:rPr>
              <w:t>Income Notes</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2,856,100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2,653,887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2,894,700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2,936,626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gridSpan w:val="2"/>
            <w:shd w:val="clear" w:color="auto" w:fill="CCFFCC"/>
          </w:tcPr>
          <w:p>
            <w:pPr>
              <w:spacing w:after="0" w:line="189" w:lineRule="exact"/>
              <w:rPr>
                <w:sz w:val="20"/>
                <w:szCs w:val="20"/>
                <w:color w:val="auto"/>
              </w:rPr>
            </w:pPr>
            <w:r>
              <w:rPr>
                <w:rFonts w:ascii="Arial" w:cs="Arial" w:eastAsia="Arial" w:hAnsi="Arial"/>
                <w:sz w:val="13"/>
                <w:szCs w:val="13"/>
                <w:color w:val="auto"/>
              </w:rPr>
              <w:t>Trimaran CLO VII, Ltd.</w:t>
            </w:r>
            <w:r>
              <w:rPr>
                <w:rFonts w:ascii="Arial" w:cs="Arial" w:eastAsia="Arial" w:hAnsi="Arial"/>
                <w:sz w:val="21"/>
                <w:szCs w:val="21"/>
                <w:color w:val="auto"/>
                <w:vertAlign w:val="superscript"/>
              </w:rPr>
              <w:t>2</w:t>
            </w:r>
          </w:p>
        </w:tc>
        <w:tc>
          <w:tcPr>
            <w:tcW w:w="35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Income Notes</w:t>
            </w:r>
          </w:p>
        </w:tc>
        <w:tc>
          <w:tcPr>
            <w:tcW w:w="106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CFFCC"/>
          </w:tcPr>
          <w:p>
            <w:pPr>
              <w:spacing w:after="0"/>
              <w:rPr>
                <w:sz w:val="16"/>
                <w:szCs w:val="16"/>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3,143,300</w:t>
            </w:r>
          </w:p>
        </w:tc>
        <w:tc>
          <w:tcPr>
            <w:tcW w:w="1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3,015,851</w:t>
            </w:r>
          </w:p>
        </w:tc>
        <w:tc>
          <w:tcPr>
            <w:tcW w:w="1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3,146,900</w:t>
            </w:r>
          </w:p>
        </w:tc>
        <w:tc>
          <w:tcPr>
            <w:tcW w:w="1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3,357,924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gridSpan w:val="2"/>
          </w:tcPr>
          <w:p>
            <w:pPr>
              <w:spacing w:after="0" w:line="189" w:lineRule="exact"/>
              <w:rPr>
                <w:sz w:val="20"/>
                <w:szCs w:val="20"/>
                <w:color w:val="auto"/>
              </w:rPr>
            </w:pPr>
            <w:r>
              <w:rPr>
                <w:rFonts w:ascii="Arial" w:cs="Arial" w:eastAsia="Arial" w:hAnsi="Arial"/>
                <w:sz w:val="13"/>
                <w:szCs w:val="13"/>
                <w:color w:val="auto"/>
              </w:rPr>
              <w:t>Catamaran CLO 2012-1 Ltd.</w:t>
            </w:r>
            <w:r>
              <w:rPr>
                <w:rFonts w:ascii="Arial" w:cs="Arial" w:eastAsia="Arial" w:hAnsi="Arial"/>
                <w:sz w:val="21"/>
                <w:szCs w:val="21"/>
                <w:color w:val="auto"/>
                <w:vertAlign w:val="superscript"/>
              </w:rPr>
              <w:t>2</w:t>
            </w:r>
          </w:p>
        </w:tc>
        <w:tc>
          <w:tcPr>
            <w:tcW w:w="3540" w:type="dxa"/>
            <w:vAlign w:val="bottom"/>
            <w:gridSpan w:val="2"/>
          </w:tcPr>
          <w:p>
            <w:pPr>
              <w:spacing w:after="0"/>
              <w:rPr>
                <w:sz w:val="20"/>
                <w:szCs w:val="20"/>
                <w:color w:val="auto"/>
              </w:rPr>
            </w:pPr>
            <w:r>
              <w:rPr>
                <w:rFonts w:ascii="Arial" w:cs="Arial" w:eastAsia="Arial" w:hAnsi="Arial"/>
                <w:sz w:val="14"/>
                <w:szCs w:val="14"/>
                <w:color w:val="auto"/>
              </w:rPr>
              <w:t>Subordinated Notes</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9,397,900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7,777,800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8,982,400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8,493,000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gridSpan w:val="2"/>
            <w:shd w:val="clear" w:color="auto" w:fill="CCFFCC"/>
          </w:tcPr>
          <w:p>
            <w:pPr>
              <w:spacing w:after="0" w:line="202" w:lineRule="exact"/>
              <w:rPr>
                <w:sz w:val="20"/>
                <w:szCs w:val="20"/>
                <w:color w:val="auto"/>
              </w:rPr>
            </w:pPr>
            <w:r>
              <w:rPr>
                <w:rFonts w:ascii="Arial" w:cs="Arial" w:eastAsia="Arial" w:hAnsi="Arial"/>
                <w:sz w:val="14"/>
                <w:szCs w:val="14"/>
                <w:color w:val="auto"/>
              </w:rPr>
              <w:t>Catamaran CLO 2012-1 Ltd.</w:t>
            </w:r>
            <w:r>
              <w:rPr>
                <w:rFonts w:ascii="Arial" w:cs="Arial" w:eastAsia="Arial" w:hAnsi="Arial"/>
                <w:sz w:val="23"/>
                <w:szCs w:val="23"/>
                <w:color w:val="auto"/>
                <w:vertAlign w:val="superscript"/>
              </w:rPr>
              <w:t>2</w:t>
            </w:r>
          </w:p>
        </w:tc>
        <w:tc>
          <w:tcPr>
            <w:tcW w:w="35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Class F Notes</w:t>
            </w:r>
          </w:p>
        </w:tc>
        <w:tc>
          <w:tcPr>
            <w:tcW w:w="106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42.9</w:t>
            </w:r>
          </w:p>
        </w:tc>
        <w:tc>
          <w:tcPr>
            <w:tcW w:w="120" w:type="dxa"/>
            <w:vAlign w:val="bottom"/>
            <w:shd w:val="clear" w:color="auto" w:fill="CCFFCC"/>
          </w:tcPr>
          <w:p>
            <w:pPr>
              <w:spacing w:after="0"/>
              <w:rPr>
                <w:sz w:val="17"/>
                <w:szCs w:val="17"/>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3,867,702</w:t>
            </w: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4,000,000</w:t>
            </w: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3,777,664</w:t>
            </w: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3,770,000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Total</w:t>
            </w:r>
          </w:p>
        </w:tc>
        <w:tc>
          <w:tcPr>
            <w:tcW w:w="34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180" w:type="dxa"/>
            <w:vAlign w:val="bottom"/>
            <w:gridSpan w:val="3"/>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w w:val="96"/>
              </w:rPr>
              <w:t>90,105,547</w:t>
            </w:r>
          </w:p>
        </w:tc>
        <w:tc>
          <w:tcPr>
            <w:tcW w:w="120" w:type="dxa"/>
            <w:vAlign w:val="bottom"/>
            <w:shd w:val="clear" w:color="auto" w:fill="CCFFCC"/>
          </w:tcPr>
          <w:p>
            <w:pPr>
              <w:spacing w:after="0"/>
              <w:rPr>
                <w:sz w:val="15"/>
                <w:szCs w:val="15"/>
                <w:color w:val="auto"/>
              </w:rPr>
            </w:pP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w w:val="94"/>
              </w:rPr>
              <w:t>78,270,059</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w w:val="94"/>
              </w:rPr>
              <w:t>90,146,409</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w w:val="94"/>
              </w:rPr>
              <w:t>83,257,507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34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82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490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2"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30"/>
          <w:szCs w:val="30"/>
          <w:color w:val="auto"/>
          <w:vertAlign w:val="superscript"/>
        </w:rPr>
      </w:pPr>
      <w:r>
        <w:rPr>
          <w:rFonts w:ascii="Arial" w:cs="Arial" w:eastAsia="Arial" w:hAnsi="Arial"/>
          <w:sz w:val="18"/>
          <w:szCs w:val="18"/>
          <w:color w:val="auto"/>
        </w:rPr>
        <w:t>Represents percentage of class held.</w:t>
      </w:r>
    </w:p>
    <w:p>
      <w:pPr>
        <w:spacing w:after="0" w:line="87"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30"/>
          <w:szCs w:val="30"/>
          <w:color w:val="auto"/>
          <w:vertAlign w:val="superscript"/>
        </w:rPr>
      </w:pPr>
      <w:r>
        <w:rPr>
          <w:rFonts w:ascii="Arial" w:cs="Arial" w:eastAsia="Arial" w:hAnsi="Arial"/>
          <w:sz w:val="18"/>
          <w:szCs w:val="18"/>
          <w:color w:val="auto"/>
        </w:rPr>
        <w:t>An affiliate CLO Fund managed by an Asset Manager Affiliate.</w:t>
      </w:r>
    </w:p>
    <w:p>
      <w:pPr>
        <w:spacing w:after="0" w:line="87"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30"/>
          <w:szCs w:val="30"/>
          <w:color w:val="auto"/>
          <w:vertAlign w:val="superscript"/>
        </w:rPr>
      </w:pPr>
      <w:r>
        <w:rPr>
          <w:rFonts w:ascii="Arial" w:cs="Arial" w:eastAsia="Arial" w:hAnsi="Arial"/>
          <w:sz w:val="18"/>
          <w:szCs w:val="18"/>
          <w:color w:val="auto"/>
        </w:rPr>
        <w:t>As of March 31, 2013, this CLO Fund security was not providing a dividend distribution.</w:t>
      </w:r>
    </w:p>
    <w:p>
      <w:pPr>
        <w:spacing w:after="0" w:line="202" w:lineRule="exact"/>
        <w:rPr>
          <w:sz w:val="20"/>
          <w:szCs w:val="20"/>
          <w:color w:val="auto"/>
        </w:rPr>
      </w:pPr>
    </w:p>
    <w:p>
      <w:pPr>
        <w:ind w:right="20" w:firstLine="414"/>
        <w:spacing w:after="0" w:line="269" w:lineRule="auto"/>
        <w:rPr>
          <w:sz w:val="20"/>
          <w:szCs w:val="20"/>
          <w:color w:val="auto"/>
        </w:rPr>
      </w:pPr>
      <w:r>
        <w:rPr>
          <w:rFonts w:ascii="Arial" w:cs="Arial" w:eastAsia="Arial" w:hAnsi="Arial"/>
          <w:sz w:val="17"/>
          <w:szCs w:val="17"/>
          <w:color w:val="auto"/>
        </w:rPr>
        <w:t>Our investments in CLO Fund securities are carried at fair value, which is based either on (i) the present value of the net expected cash inflows for interest income and principal repayments from underlying assets and cash outflows for interest expense, debt paydown and other fund costs for the CLO Funds that are approaching or past the end of their reinvestment period and therefore are selling assets and/or using principal repayments to pay down CLO Fund debt (or will begin to do so shortly), and for which there continue to be net cash distributions to the class of securities owned by us, or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we have invested. We recognize unrealized appreciation or depreciation on our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investments. We determine the fair value of our investments in CLO Fund securities on a security-by-security basis.</w:t>
      </w:r>
    </w:p>
    <w:p>
      <w:pPr>
        <w:spacing w:after="0" w:line="183" w:lineRule="exact"/>
        <w:rPr>
          <w:sz w:val="20"/>
          <w:szCs w:val="20"/>
          <w:color w:val="auto"/>
        </w:rPr>
      </w:pPr>
    </w:p>
    <w:p>
      <w:pPr>
        <w:ind w:right="40" w:firstLine="414"/>
        <w:spacing w:after="0" w:line="288" w:lineRule="auto"/>
        <w:rPr>
          <w:sz w:val="20"/>
          <w:szCs w:val="20"/>
          <w:color w:val="auto"/>
        </w:rPr>
      </w:pPr>
      <w:r>
        <w:rPr>
          <w:rFonts w:ascii="Arial" w:cs="Arial" w:eastAsia="Arial" w:hAnsi="Arial"/>
          <w:sz w:val="16"/>
          <w:szCs w:val="16"/>
          <w:color w:val="auto"/>
        </w:rPr>
        <w:t>Due to the individual attributes of each CLO Fund security, they are classified as a Level III (as described in—“Critical Accounting Policies—Valuation of Portfolio Investments” below) investment unless specific trading activity can be identified at or near the valuation date. When available, Level II (as described in “—Critical Accounting Policies—Valuation of Portfolio Investments” below) market information will be identified, evaluated and weighted accordingly in the application of such data to the present value models and fair value determination. Significant assumptions to the present value calculations include default rates, recovery rates, prepayment rates, investment/reinvestment rates and spreads and the discount rate by which to value the resulting underlying cash flows. Such assumptions can vary significantly, depending on market data sources which often vary in depth and level of analysis, understanding of the CLO market, detailed or broad characterizations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We evaluate the source of market data for reliability as an indicative market input, consistency amongst other inputs and results and also the context in which such data is presented.</w:t>
      </w:r>
    </w:p>
    <w:p>
      <w:pPr>
        <w:spacing w:after="0" w:line="169" w:lineRule="exact"/>
        <w:rPr>
          <w:sz w:val="20"/>
          <w:szCs w:val="20"/>
          <w:color w:val="auto"/>
        </w:rPr>
      </w:pPr>
    </w:p>
    <w:p>
      <w:pPr>
        <w:ind w:right="20" w:firstLine="414"/>
        <w:spacing w:after="0" w:line="297" w:lineRule="auto"/>
        <w:rPr>
          <w:sz w:val="20"/>
          <w:szCs w:val="20"/>
          <w:color w:val="auto"/>
        </w:rPr>
      </w:pPr>
      <w:r>
        <w:rPr>
          <w:rFonts w:ascii="Arial" w:cs="Arial" w:eastAsia="Arial" w:hAnsi="Arial"/>
          <w:sz w:val="16"/>
          <w:szCs w:val="16"/>
          <w:color w:val="auto"/>
        </w:rPr>
        <w:t>For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considers other factors such as the default and recovery rates of underlying assets in the CLO Fund, as may be applicable. Such model assumptions may vary and incorporate adjustments for risk premiums and CLO Fund specific attributes. Such adjustments require judgment and may be material to the calculation of fair value.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p>
      <w:pPr>
        <w:ind w:left="420"/>
        <w:spacing w:after="0"/>
        <w:rPr>
          <w:sz w:val="20"/>
          <w:szCs w:val="20"/>
          <w:color w:val="auto"/>
        </w:rPr>
      </w:pPr>
      <w:r>
        <w:rPr>
          <w:rFonts w:ascii="Arial" w:cs="Arial" w:eastAsia="Arial" w:hAnsi="Arial"/>
          <w:sz w:val="18"/>
          <w:szCs w:val="18"/>
          <w:color w:val="auto"/>
        </w:rPr>
        <w:t>The unaudited table below summarizes certain attributes of each CLO Fund as per their most recent trustee reports as of March 31,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vMerge w:val="restart"/>
          </w:tcPr>
          <w:p>
            <w:pPr>
              <w:spacing w:after="0"/>
              <w:rPr>
                <w:sz w:val="20"/>
                <w:szCs w:val="20"/>
                <w:color w:val="auto"/>
              </w:rPr>
            </w:pPr>
            <w:r>
              <w:rPr>
                <w:rFonts w:ascii="Arial" w:cs="Arial" w:eastAsia="Arial" w:hAnsi="Arial"/>
                <w:sz w:val="18"/>
                <w:szCs w:val="18"/>
                <w:b w:val="1"/>
                <w:bCs w:val="1"/>
                <w:color w:val="auto"/>
              </w:rPr>
              <w:t>CLO Fund Securities</w:t>
            </w:r>
            <w:r>
              <w:rPr>
                <w:rFonts w:ascii="Arial" w:cs="Arial" w:eastAsia="Arial" w:hAnsi="Arial"/>
                <w:sz w:val="30"/>
                <w:szCs w:val="30"/>
                <w:b w:val="1"/>
                <w:bCs w:val="1"/>
                <w:color w:val="auto"/>
                <w:vertAlign w:val="superscript"/>
              </w:rPr>
              <w:t>1</w:t>
            </w:r>
          </w:p>
        </w:tc>
        <w:tc>
          <w:tcPr>
            <w:tcW w:w="120" w:type="dxa"/>
            <w:vAlign w:val="bottom"/>
            <w:vMerge w:val="restart"/>
          </w:tcPr>
          <w:p>
            <w:pPr>
              <w:spacing w:after="0"/>
              <w:rPr>
                <w:sz w:val="18"/>
                <w:szCs w:val="18"/>
                <w:color w:val="auto"/>
              </w:rPr>
            </w:pPr>
          </w:p>
        </w:tc>
        <w:tc>
          <w:tcPr>
            <w:tcW w:w="1520" w:type="dxa"/>
            <w:vAlign w:val="bottom"/>
            <w:gridSpan w:val="2"/>
          </w:tcPr>
          <w:p>
            <w:pPr>
              <w:ind w:left="220"/>
              <w:spacing w:after="0"/>
              <w:rPr>
                <w:sz w:val="20"/>
                <w:szCs w:val="20"/>
                <w:color w:val="auto"/>
              </w:rPr>
            </w:pPr>
            <w:r>
              <w:rPr>
                <w:rFonts w:ascii="Arial" w:cs="Arial" w:eastAsia="Arial" w:hAnsi="Arial"/>
                <w:sz w:val="18"/>
                <w:szCs w:val="18"/>
                <w:b w:val="1"/>
                <w:bCs w:val="1"/>
                <w:color w:val="auto"/>
              </w:rPr>
              <w:t>Number of</w:t>
            </w:r>
          </w:p>
        </w:tc>
        <w:tc>
          <w:tcPr>
            <w:tcW w:w="15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Number of</w:t>
            </w:r>
          </w:p>
        </w:tc>
        <w:tc>
          <w:tcPr>
            <w:tcW w:w="1340" w:type="dxa"/>
            <w:vAlign w:val="bottom"/>
            <w:gridSpan w:val="2"/>
          </w:tcPr>
          <w:p>
            <w:pPr>
              <w:ind w:left="20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Security</w:t>
            </w:r>
          </w:p>
        </w:tc>
        <w:tc>
          <w:tcPr>
            <w:tcW w:w="100" w:type="dxa"/>
            <w:vAlign w:val="bottom"/>
          </w:tcPr>
          <w:p>
            <w:pPr>
              <w:spacing w:after="0"/>
              <w:rPr>
                <w:sz w:val="18"/>
                <w:szCs w:val="18"/>
                <w:color w:val="auto"/>
              </w:rPr>
            </w:pPr>
          </w:p>
        </w:tc>
        <w:tc>
          <w:tcPr>
            <w:tcW w:w="136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Average Issuer</w:t>
            </w:r>
          </w:p>
        </w:tc>
        <w:tc>
          <w:tcPr>
            <w:tcW w:w="0" w:type="dxa"/>
            <w:vAlign w:val="bottom"/>
          </w:tcPr>
          <w:p>
            <w:pPr>
              <w:spacing w:after="0"/>
              <w:rPr>
                <w:sz w:val="1"/>
                <w:szCs w:val="1"/>
                <w:color w:val="auto"/>
              </w:rPr>
            </w:pPr>
          </w:p>
        </w:tc>
      </w:tr>
      <w:tr>
        <w:trPr>
          <w:trHeight w:val="234"/>
        </w:trPr>
        <w:tc>
          <w:tcPr>
            <w:tcW w:w="400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FFCC"/>
            </w:tcBorders>
            <w:vMerge w:val="continue"/>
          </w:tcPr>
          <w:p>
            <w:pPr>
              <w:spacing w:after="0"/>
              <w:rPr>
                <w:sz w:val="20"/>
                <w:szCs w:val="20"/>
                <w:color w:val="auto"/>
              </w:rPr>
            </w:pP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Securities</w:t>
            </w:r>
          </w:p>
        </w:tc>
        <w:tc>
          <w:tcPr>
            <w:tcW w:w="240" w:type="dxa"/>
            <w:vAlign w:val="bottom"/>
            <w:tcBorders>
              <w:bottom w:val="single" w:sz="8" w:color="CCFFCC"/>
            </w:tcBorders>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Issuers</w:t>
            </w:r>
          </w:p>
        </w:tc>
        <w:tc>
          <w:tcPr>
            <w:tcW w:w="26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Industries</w:t>
            </w:r>
          </w:p>
        </w:tc>
        <w:tc>
          <w:tcPr>
            <w:tcW w:w="100" w:type="dxa"/>
            <w:vAlign w:val="bottom"/>
            <w:tcBorders>
              <w:bottom w:val="single" w:sz="8" w:color="CCFFCC"/>
            </w:tcBorders>
          </w:tcPr>
          <w:p>
            <w:pPr>
              <w:spacing w:after="0"/>
              <w:rPr>
                <w:sz w:val="20"/>
                <w:szCs w:val="20"/>
                <w:color w:val="auto"/>
              </w:rPr>
            </w:pPr>
          </w:p>
        </w:tc>
        <w:tc>
          <w:tcPr>
            <w:tcW w:w="120" w:type="dxa"/>
            <w:vAlign w:val="bottom"/>
            <w:tcBorders>
              <w:bottom w:val="single" w:sz="8" w:color="CCFF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Position Size</w:t>
            </w:r>
          </w:p>
        </w:tc>
        <w:tc>
          <w:tcPr>
            <w:tcW w:w="100" w:type="dxa"/>
            <w:vAlign w:val="bottom"/>
            <w:tcBorders>
              <w:bottom w:val="single" w:sz="8" w:color="CCFFCC"/>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7"/>
              </w:rPr>
              <w:t>Position Size</w:t>
            </w:r>
          </w:p>
        </w:tc>
        <w:tc>
          <w:tcPr>
            <w:tcW w:w="1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00" w:type="dxa"/>
            <w:vAlign w:val="bottom"/>
            <w:shd w:val="clear" w:color="auto" w:fill="CCFFCC"/>
          </w:tcPr>
          <w:p>
            <w:pPr>
              <w:spacing w:after="0" w:line="250" w:lineRule="exact"/>
              <w:rPr>
                <w:sz w:val="20"/>
                <w:szCs w:val="20"/>
                <w:color w:val="auto"/>
              </w:rPr>
            </w:pPr>
            <w:r>
              <w:rPr>
                <w:rFonts w:ascii="Arial" w:cs="Arial" w:eastAsia="Arial" w:hAnsi="Arial"/>
                <w:sz w:val="17"/>
                <w:szCs w:val="17"/>
                <w:color w:val="auto"/>
              </w:rPr>
              <w:t>Grant Grove CLO, Ltd.</w:t>
            </w:r>
            <w:r>
              <w:rPr>
                <w:rFonts w:ascii="Arial" w:cs="Arial" w:eastAsia="Arial" w:hAnsi="Arial"/>
                <w:sz w:val="28"/>
                <w:szCs w:val="28"/>
                <w:color w:val="auto"/>
                <w:vertAlign w:val="superscript"/>
              </w:rPr>
              <w:t>2</w:t>
            </w:r>
          </w:p>
        </w:tc>
        <w:tc>
          <w:tcPr>
            <w:tcW w:w="120" w:type="dxa"/>
            <w:vAlign w:val="bottom"/>
            <w:shd w:val="clear" w:color="auto" w:fill="CCFFCC"/>
          </w:tcPr>
          <w:p>
            <w:pPr>
              <w:spacing w:after="0"/>
              <w:rPr>
                <w:sz w:val="21"/>
                <w:szCs w:val="21"/>
                <w:color w:val="auto"/>
              </w:rPr>
            </w:pP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304</w:t>
            </w:r>
          </w:p>
        </w:tc>
        <w:tc>
          <w:tcPr>
            <w:tcW w:w="15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250</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w:t>
            </w:r>
          </w:p>
        </w:tc>
        <w:tc>
          <w:tcPr>
            <w:tcW w:w="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927,070</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1,127,317</w:t>
            </w:r>
          </w:p>
        </w:tc>
        <w:tc>
          <w:tcPr>
            <w:tcW w:w="0" w:type="dxa"/>
            <w:vAlign w:val="bottom"/>
          </w:tcPr>
          <w:p>
            <w:pPr>
              <w:spacing w:after="0"/>
              <w:rPr>
                <w:sz w:val="1"/>
                <w:szCs w:val="1"/>
                <w:color w:val="auto"/>
              </w:rPr>
            </w:pPr>
          </w:p>
        </w:tc>
      </w:tr>
      <w:tr>
        <w:trPr>
          <w:trHeight w:val="257"/>
        </w:trPr>
        <w:tc>
          <w:tcPr>
            <w:tcW w:w="4120" w:type="dxa"/>
            <w:vAlign w:val="bottom"/>
            <w:gridSpan w:val="2"/>
          </w:tcPr>
          <w:p>
            <w:pPr>
              <w:spacing w:after="0" w:line="256" w:lineRule="exact"/>
              <w:rPr>
                <w:sz w:val="20"/>
                <w:szCs w:val="20"/>
                <w:color w:val="auto"/>
              </w:rPr>
            </w:pPr>
            <w:r>
              <w:rPr>
                <w:rFonts w:ascii="Arial" w:cs="Arial" w:eastAsia="Arial" w:hAnsi="Arial"/>
                <w:sz w:val="18"/>
                <w:szCs w:val="18"/>
                <w:color w:val="auto"/>
              </w:rPr>
              <w:t>Katonah III, Ltd.</w:t>
            </w:r>
            <w:r>
              <w:rPr>
                <w:rFonts w:ascii="Arial" w:cs="Arial" w:eastAsia="Arial" w:hAnsi="Arial"/>
                <w:sz w:val="29"/>
                <w:szCs w:val="29"/>
                <w:color w:val="auto"/>
                <w:vertAlign w:val="superscript"/>
              </w:rPr>
              <w:t>2</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246,314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451,576</w:t>
            </w:r>
          </w:p>
        </w:tc>
        <w:tc>
          <w:tcPr>
            <w:tcW w:w="0" w:type="dxa"/>
            <w:vAlign w:val="bottom"/>
          </w:tcPr>
          <w:p>
            <w:pPr>
              <w:spacing w:after="0"/>
              <w:rPr>
                <w:sz w:val="1"/>
                <w:szCs w:val="1"/>
                <w:color w:val="auto"/>
              </w:rPr>
            </w:pPr>
          </w:p>
        </w:tc>
      </w:tr>
      <w:tr>
        <w:trPr>
          <w:trHeight w:val="257"/>
        </w:trPr>
        <w:tc>
          <w:tcPr>
            <w:tcW w:w="4120" w:type="dxa"/>
            <w:vAlign w:val="bottom"/>
            <w:gridSpan w:val="2"/>
            <w:shd w:val="clear" w:color="auto" w:fill="CCFFCC"/>
          </w:tcPr>
          <w:p>
            <w:pPr>
              <w:spacing w:after="0" w:line="256" w:lineRule="exact"/>
              <w:rPr>
                <w:sz w:val="20"/>
                <w:szCs w:val="20"/>
                <w:color w:val="auto"/>
              </w:rPr>
            </w:pPr>
            <w:r>
              <w:rPr>
                <w:rFonts w:ascii="Arial" w:cs="Arial" w:eastAsia="Arial" w:hAnsi="Arial"/>
                <w:sz w:val="18"/>
                <w:szCs w:val="18"/>
                <w:color w:val="auto"/>
              </w:rPr>
              <w:t>Katonah V, Ltd.</w:t>
            </w:r>
            <w:r>
              <w:rPr>
                <w:rFonts w:ascii="Arial" w:cs="Arial" w:eastAsia="Arial" w:hAnsi="Arial"/>
                <w:sz w:val="29"/>
                <w:szCs w:val="29"/>
                <w:color w:val="auto"/>
                <w:vertAlign w:val="superscript"/>
              </w:rPr>
              <w:t>2</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w:t>
            </w:r>
          </w:p>
        </w:tc>
        <w:tc>
          <w:tcPr>
            <w:tcW w:w="240" w:type="dxa"/>
            <w:vAlign w:val="bottom"/>
            <w:shd w:val="clear" w:color="auto" w:fill="CCFFCC"/>
          </w:tcPr>
          <w:p>
            <w:pPr>
              <w:spacing w:after="0"/>
              <w:rPr>
                <w:sz w:val="22"/>
                <w:szCs w:val="22"/>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FFCC"/>
          </w:tcPr>
          <w:p>
            <w:pPr>
              <w:spacing w:after="0"/>
              <w:rPr>
                <w:sz w:val="22"/>
                <w:szCs w:val="22"/>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353,536</w:t>
            </w:r>
          </w:p>
        </w:tc>
        <w:tc>
          <w:tcPr>
            <w:tcW w:w="10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580,809</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Katonah VII CLO Ltd.</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124</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104</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1,587,298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1,892,547</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Katonah VIII CLO Ltd.</w:t>
            </w: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156</w:t>
            </w:r>
          </w:p>
        </w:tc>
        <w:tc>
          <w:tcPr>
            <w:tcW w:w="15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132</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1,815,852</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2,146,007</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Katonah IX CLO Ltd.</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200</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168</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1,931,763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2,299,718</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Katonah X CLO Ltd.</w:t>
            </w: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233</w:t>
            </w:r>
          </w:p>
        </w:tc>
        <w:tc>
          <w:tcPr>
            <w:tcW w:w="15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203</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2,011,695</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2,308,990</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Katonah 2007-I CLO Ltd.</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197</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176</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1,542,602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1,726,663</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Trimaran CLO IV, Ltd.</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89</w:t>
            </w:r>
          </w:p>
        </w:tc>
        <w:tc>
          <w:tcPr>
            <w:tcW w:w="24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2,617,672</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3,065,432</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Trimaran CLO V, Ltd.</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128</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109</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2,136,169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2,508,529</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Trimaran CLO VI, Ltd.</w:t>
            </w: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138</w:t>
            </w:r>
          </w:p>
        </w:tc>
        <w:tc>
          <w:tcPr>
            <w:tcW w:w="15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115</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1,790,040</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2,148,048</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Trimaran CLO VII, Ltd.</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169</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144</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2,612,385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3,065,924</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Catamaran 2012-1 CLO Ltd.</w:t>
            </w: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135</w:t>
            </w:r>
          </w:p>
        </w:tc>
        <w:tc>
          <w:tcPr>
            <w:tcW w:w="15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131</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2,678,918</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2,760,717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4490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9"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30"/>
          <w:szCs w:val="30"/>
          <w:color w:val="auto"/>
          <w:vertAlign w:val="superscript"/>
        </w:rPr>
      </w:pPr>
      <w:r>
        <w:rPr>
          <w:rFonts w:ascii="Arial" w:cs="Arial" w:eastAsia="Arial" w:hAnsi="Arial"/>
          <w:sz w:val="18"/>
          <w:szCs w:val="18"/>
          <w:color w:val="auto"/>
        </w:rPr>
        <w:t>All data from most recent Trustee reports as of March 31, 2013.</w:t>
      </w:r>
    </w:p>
    <w:p>
      <w:pPr>
        <w:spacing w:after="0" w:line="114"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30"/>
          <w:szCs w:val="30"/>
          <w:color w:val="auto"/>
          <w:vertAlign w:val="superscript"/>
        </w:rPr>
      </w:pPr>
      <w:r>
        <w:rPr>
          <w:rFonts w:ascii="Arial" w:cs="Arial" w:eastAsia="Arial" w:hAnsi="Arial"/>
          <w:sz w:val="18"/>
          <w:szCs w:val="18"/>
          <w:color w:val="auto"/>
        </w:rPr>
        <w:t>Managed by non-affiliates as of March 31, 2013.</w:t>
      </w:r>
    </w:p>
    <w:p>
      <w:pPr>
        <w:spacing w:after="0" w:line="229" w:lineRule="exact"/>
        <w:rPr>
          <w:sz w:val="20"/>
          <w:szCs w:val="20"/>
          <w:color w:val="auto"/>
        </w:rPr>
      </w:pPr>
    </w:p>
    <w:p>
      <w:pPr>
        <w:ind w:right="100" w:firstLine="414"/>
        <w:spacing w:after="0" w:line="264" w:lineRule="auto"/>
        <w:rPr>
          <w:sz w:val="20"/>
          <w:szCs w:val="20"/>
          <w:color w:val="auto"/>
        </w:rPr>
      </w:pPr>
      <w:r>
        <w:rPr>
          <w:rFonts w:ascii="Arial" w:cs="Arial" w:eastAsia="Arial" w:hAnsi="Arial"/>
          <w:sz w:val="18"/>
          <w:szCs w:val="18"/>
          <w:color w:val="auto"/>
        </w:rPr>
        <w:t>All CLO Funds managed by Asset Manager Affiliates are currently making quarterly dividend distributions to us and are paying all senior and subordinate management fees to our Asset Manager Affiliates. With the exception of the Katonah III, Ltd. CLO Fund and the Katonah V, Ltd. CLO Fund, all third-party managed CLO Funds held as investments are making quarterly dividend distributions to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Manager Affiliates</w:t>
      </w:r>
    </w:p>
    <w:p>
      <w:pPr>
        <w:spacing w:after="0" w:line="22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Asset Manager Affiliates are our wholly-owned asset management companies that manage CLO Funds that invest in broadly syndicated loans, high yield bonds and other credit instruments. The CLO Funds managed by our Asset Manager Affiliates consist exclusively of credit instruments issued by corporations. As of March 31, 2013, our Asset Manager Affiliates had approximately $3.5 billion of par value of assets under management on which they earn management fees, and were valued at approximately $80 million.</w:t>
      </w:r>
    </w:p>
    <w:p>
      <w:pPr>
        <w:spacing w:after="0" w:line="187" w:lineRule="exact"/>
        <w:rPr>
          <w:sz w:val="20"/>
          <w:szCs w:val="20"/>
          <w:color w:val="auto"/>
        </w:rPr>
      </w:pPr>
    </w:p>
    <w:p>
      <w:pPr>
        <w:ind w:right="300" w:firstLine="324"/>
        <w:spacing w:after="0" w:line="273" w:lineRule="auto"/>
        <w:rPr>
          <w:sz w:val="20"/>
          <w:szCs w:val="20"/>
          <w:color w:val="auto"/>
        </w:rPr>
      </w:pPr>
      <w:r>
        <w:rPr>
          <w:rFonts w:ascii="Arial" w:cs="Arial" w:eastAsia="Arial" w:hAnsi="Arial"/>
          <w:sz w:val="17"/>
          <w:szCs w:val="17"/>
          <w:color w:val="auto"/>
        </w:rPr>
        <w:t>As a manager of the CLO Funds, the Asset Manager Affiliates receive contractual and recurring management fees from the CLO Funds for their management and advisory services. The annual fees which the Asset Manager Affiliates receive are generally based on a fixed percentage of assets under management (at par value and not subject to changes in market value), and the Asset Manager Affiliates generate annual operating income equal to the amount by which their fee income exceeds their operating expenses. The annual management fees the Asset Manager Affiliates receive have two components-a senior management fee and a subordinated management fee. Currently, all CLO Funds managed by the Asset Manager Affiliates are paying both their senior and subordinated management fees on a current basis.</w:t>
      </w:r>
    </w:p>
    <w:p>
      <w:pPr>
        <w:spacing w:after="0" w:line="178" w:lineRule="exact"/>
        <w:rPr>
          <w:sz w:val="20"/>
          <w:szCs w:val="20"/>
          <w:color w:val="auto"/>
        </w:rPr>
      </w:pPr>
    </w:p>
    <w:p>
      <w:pPr>
        <w:ind w:right="260" w:firstLine="324"/>
        <w:spacing w:after="0" w:line="297" w:lineRule="auto"/>
        <w:rPr>
          <w:sz w:val="20"/>
          <w:szCs w:val="20"/>
          <w:color w:val="auto"/>
        </w:rPr>
      </w:pPr>
      <w:r>
        <w:rPr>
          <w:rFonts w:ascii="Arial" w:cs="Arial" w:eastAsia="Arial" w:hAnsi="Arial"/>
          <w:sz w:val="16"/>
          <w:szCs w:val="16"/>
          <w:color w:val="auto"/>
        </w:rPr>
        <w:t>The annual management fees which our Asset Manager Affiliates receive are generally based on a fixed percentage of the par value of assets under management and are recurring in nature for the term of the CLO Fund so long as the Asset Manager Affiliates manage the fund. As a result, the annual management fees earned by our Asset Manager Affiliates are not subject to market value fluctuations in the underlying collateral. The annual management fees our Asset Manager Affiliates receive have two components: a senior management fee and a subordinated management fee. Currently, all CLO Funds managed by Asset Manager Affiliates are paying both their senior and subordinated management fees on a current basis.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ind w:right="20" w:firstLine="324"/>
        <w:spacing w:after="0" w:line="277" w:lineRule="auto"/>
        <w:rPr>
          <w:sz w:val="20"/>
          <w:szCs w:val="20"/>
          <w:color w:val="auto"/>
        </w:rPr>
      </w:pPr>
      <w:r>
        <w:rPr>
          <w:rFonts w:ascii="Arial" w:cs="Arial" w:eastAsia="Arial" w:hAnsi="Arial"/>
          <w:sz w:val="18"/>
          <w:szCs w:val="18"/>
          <w:color w:val="auto"/>
        </w:rPr>
        <w:t>Our Asset Manager Affiliates may receive incentive fees from CLO Funds they manage provided such CLO Funds have achieved a minimum investment return to holders of their subordinated securities or preferred shares.</w:t>
      </w:r>
    </w:p>
    <w:p>
      <w:pPr>
        <w:spacing w:after="0" w:line="170"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Subject to market conditions, we expect to continue to make investments in CLO Funds managed by our Asset Manager Affiliates, which we believe will provide us with a current cash investment return. We believe that these investments will provide our Asset Manager Affiliates with greater opportunities to access new sources of capital which will ultimately increase our Asset Manager Affiliates’ assets under management and resulting management fee income.</w:t>
      </w:r>
    </w:p>
    <w:p>
      <w:pPr>
        <w:spacing w:after="0" w:line="147"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The revenue that our Asset Manager Affiliates generate through the fees they receive for managing CLO Funds and after paying the expenses pursuant to an overhead allocation agreement with the Company associated with its operations, including compensation of its employees, may be distributed to us. Cash distributions of our Asset Manager Affiliates’ net income are recorded as “dividends from an asset manager affiliates” in our financial statements when declared. As with all other investments, the fair value for Asset Manager Affiliates is determined quarterly. Our investment in our Asset Manager Affiliates is carried at fair value, which is determined after taking into consideration a percentage of assets under management and a discounted cash flow model incorporating different levels of discount rates depending on the hierarchy of fees earned (including the likelihood of realization of senior, subordinate and incentive fees) and prospective modeled performance. Such valuation includes an analysis of comparable asset management companies. The Asset Manager Affiliates are classified as a Level III investment as described in—“Critical Accounting Policies—Valuation of Portfolio Investments” below). Any change in value from period to period is recognized as net change in unrealized appreciation or depreciation.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Total portfolio investment activity (excluding activity in time deposit and money market investments) for the three months ended March 31, 2013 (unaudited) and for the year ended December 31, 2012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8"/>
              </w:rPr>
              <w:t>CLO Fund</w:t>
            </w:r>
          </w:p>
        </w:tc>
        <w:tc>
          <w:tcPr>
            <w:tcW w:w="16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Equity</w:t>
            </w:r>
          </w:p>
        </w:tc>
        <w:tc>
          <w:tcPr>
            <w:tcW w:w="80" w:type="dxa"/>
            <w:vAlign w:val="bottom"/>
          </w:tcPr>
          <w:p>
            <w:pPr>
              <w:spacing w:after="0"/>
              <w:rPr>
                <w:sz w:val="18"/>
                <w:szCs w:val="18"/>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0"/>
              </w:rPr>
              <w:t>Asset Manager</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1"/>
              </w:rPr>
              <w:t>Debt Securities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2"/>
              </w:rPr>
              <w:t>Securities</w:t>
            </w:r>
          </w:p>
        </w:tc>
        <w:tc>
          <w:tcPr>
            <w:tcW w:w="16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2"/>
              </w:rPr>
              <w:t>Securities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Affiliates</w:t>
            </w:r>
          </w:p>
        </w:tc>
        <w:tc>
          <w:tcPr>
            <w:tcW w:w="60" w:type="dxa"/>
            <w:vAlign w:val="bottom"/>
          </w:tcPr>
          <w:p>
            <w:pPr>
              <w:spacing w:after="0"/>
              <w:rPr>
                <w:sz w:val="20"/>
                <w:szCs w:val="20"/>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5"/>
              </w:rPr>
              <w:t>Total Portfolio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FFCC"/>
            </w:tcBorders>
            <w:shd w:val="clear" w:color="auto" w:fill="CCFFCC"/>
          </w:tcPr>
          <w:p>
            <w:pPr>
              <w:ind w:left="120"/>
              <w:spacing w:after="0"/>
              <w:rPr>
                <w:sz w:val="20"/>
                <w:szCs w:val="20"/>
                <w:color w:val="auto"/>
              </w:rPr>
            </w:pPr>
            <w:r>
              <w:rPr>
                <w:rFonts w:ascii="Arial" w:cs="Arial" w:eastAsia="Arial" w:hAnsi="Arial"/>
                <w:sz w:val="18"/>
                <w:szCs w:val="18"/>
                <w:color w:val="auto"/>
              </w:rPr>
              <w:t>Fair Value at December 31, 2011</w:t>
            </w:r>
          </w:p>
        </w:tc>
        <w:tc>
          <w:tcPr>
            <w:tcW w:w="200" w:type="dxa"/>
            <w:vAlign w:val="bottom"/>
            <w:tcBorders>
              <w:top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114,673,506</w:t>
            </w:r>
          </w:p>
        </w:tc>
        <w:tc>
          <w:tcPr>
            <w:tcW w:w="1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48,438,317</w:t>
            </w:r>
          </w:p>
        </w:tc>
        <w:tc>
          <w:tcPr>
            <w:tcW w:w="2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6,040,895</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jc w:val="right"/>
              <w:ind w:right="1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40,814,000</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209,966,718</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2012 Activity:</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FFCC"/>
          </w:tcPr>
          <w:p>
            <w:pPr>
              <w:ind w:left="120"/>
              <w:spacing w:after="0"/>
              <w:rPr>
                <w:sz w:val="20"/>
                <w:szCs w:val="20"/>
                <w:color w:val="auto"/>
              </w:rPr>
            </w:pPr>
            <w:r>
              <w:rPr>
                <w:rFonts w:ascii="Arial" w:cs="Arial" w:eastAsia="Arial" w:hAnsi="Arial"/>
                <w:sz w:val="18"/>
                <w:szCs w:val="18"/>
                <w:color w:val="auto"/>
              </w:rPr>
              <w:t>Purchases / originations /draws</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107,417,624</w:t>
            </w:r>
          </w:p>
        </w:tc>
        <w:tc>
          <w:tcPr>
            <w:tcW w:w="140" w:type="dxa"/>
            <w:vAlign w:val="bottom"/>
            <w:shd w:val="clear" w:color="auto" w:fill="CCFFCC"/>
          </w:tcPr>
          <w:p>
            <w:pPr>
              <w:spacing w:after="0"/>
              <w:rPr>
                <w:sz w:val="18"/>
                <w:szCs w:val="18"/>
                <w:color w:val="auto"/>
              </w:rPr>
            </w:pPr>
          </w:p>
        </w:tc>
        <w:tc>
          <w:tcPr>
            <w:tcW w:w="28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24,715,500</w:t>
            </w: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1,815,978</w:t>
            </w:r>
          </w:p>
        </w:tc>
        <w:tc>
          <w:tcPr>
            <w:tcW w:w="260" w:type="dxa"/>
            <w:vAlign w:val="bottom"/>
            <w:gridSpan w:val="2"/>
            <w:shd w:val="clear" w:color="auto" w:fill="CCFFCC"/>
          </w:tcPr>
          <w:p>
            <w:pPr>
              <w:jc w:val="right"/>
              <w:ind w:right="1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38,823,228</w:t>
            </w:r>
          </w:p>
        </w:tc>
        <w:tc>
          <w:tcPr>
            <w:tcW w:w="26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172,772,330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20"/>
              <w:spacing w:after="0"/>
              <w:rPr>
                <w:sz w:val="20"/>
                <w:szCs w:val="20"/>
                <w:color w:val="auto"/>
              </w:rPr>
            </w:pPr>
            <w:r>
              <w:rPr>
                <w:rFonts w:ascii="Arial" w:cs="Arial" w:eastAsia="Arial" w:hAnsi="Arial"/>
                <w:sz w:val="18"/>
                <w:szCs w:val="18"/>
                <w:color w:val="auto"/>
              </w:rPr>
              <w:t>Pay-downs / pay-offs / sales</w:t>
            </w: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(104,504,327)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(2,234,916)</w:t>
            </w: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(106,739,243)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FFCC"/>
          </w:tcPr>
          <w:p>
            <w:pPr>
              <w:ind w:left="120"/>
              <w:spacing w:after="0"/>
              <w:rPr>
                <w:sz w:val="20"/>
                <w:szCs w:val="20"/>
                <w:color w:val="auto"/>
              </w:rPr>
            </w:pPr>
            <w:r>
              <w:rPr>
                <w:rFonts w:ascii="Arial" w:cs="Arial" w:eastAsia="Arial" w:hAnsi="Arial"/>
                <w:sz w:val="18"/>
                <w:szCs w:val="18"/>
                <w:color w:val="auto"/>
              </w:rPr>
              <w:t>Net accretion of interest</w:t>
            </w:r>
          </w:p>
        </w:tc>
        <w:tc>
          <w:tcPr>
            <w:tcW w:w="2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385,590</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1,137,344</w:t>
            </w:r>
          </w:p>
        </w:tc>
        <w:tc>
          <w:tcPr>
            <w:tcW w:w="2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1,522,934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20"/>
              <w:spacing w:after="0"/>
              <w:rPr>
                <w:sz w:val="20"/>
                <w:szCs w:val="20"/>
                <w:color w:val="auto"/>
              </w:rPr>
            </w:pPr>
            <w:r>
              <w:rPr>
                <w:rFonts w:ascii="Arial" w:cs="Arial" w:eastAsia="Arial" w:hAnsi="Arial"/>
                <w:sz w:val="18"/>
                <w:szCs w:val="18"/>
                <w:color w:val="auto"/>
              </w:rPr>
              <w:t>Net realized losses</w:t>
            </w: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(3,232,975)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(3,232,975)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FFCC"/>
          </w:tcPr>
          <w:p>
            <w:pPr>
              <w:ind w:left="120"/>
              <w:spacing w:after="0"/>
              <w:rPr>
                <w:sz w:val="20"/>
                <w:szCs w:val="20"/>
                <w:color w:val="auto"/>
              </w:rPr>
            </w:pPr>
            <w:r>
              <w:rPr>
                <w:rFonts w:ascii="Arial" w:cs="Arial" w:eastAsia="Arial" w:hAnsi="Arial"/>
                <w:sz w:val="18"/>
                <w:szCs w:val="18"/>
                <w:color w:val="auto"/>
              </w:rPr>
              <w:t>Increase (decrease) in fair value</w:t>
            </w:r>
          </w:p>
        </w:tc>
        <w:tc>
          <w:tcPr>
            <w:tcW w:w="20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(3,701,536)</w:t>
            </w:r>
          </w:p>
        </w:tc>
        <w:tc>
          <w:tcPr>
            <w:tcW w:w="10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11,201,262</w:t>
            </w:r>
          </w:p>
        </w:tc>
        <w:tc>
          <w:tcPr>
            <w:tcW w:w="16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163,843</w:t>
            </w:r>
          </w:p>
        </w:tc>
        <w:tc>
          <w:tcPr>
            <w:tcW w:w="8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(2,395,228)</w:t>
            </w:r>
          </w:p>
        </w:tc>
        <w:tc>
          <w:tcPr>
            <w:tcW w:w="6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5,268,341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FFCC"/>
          </w:tcPr>
          <w:p>
            <w:pPr>
              <w:ind w:left="120"/>
              <w:spacing w:after="0"/>
              <w:rPr>
                <w:sz w:val="20"/>
                <w:szCs w:val="20"/>
                <w:color w:val="auto"/>
              </w:rPr>
            </w:pPr>
            <w:r>
              <w:rPr>
                <w:rFonts w:ascii="Arial" w:cs="Arial" w:eastAsia="Arial" w:hAnsi="Arial"/>
                <w:sz w:val="18"/>
                <w:szCs w:val="18"/>
                <w:color w:val="auto"/>
              </w:rPr>
              <w:t>Fair Value at December 31, 2012</w:t>
            </w:r>
          </w:p>
        </w:tc>
        <w:tc>
          <w:tcPr>
            <w:tcW w:w="2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111,037,882</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83,257,507</w:t>
            </w:r>
          </w:p>
        </w:tc>
        <w:tc>
          <w:tcPr>
            <w:tcW w:w="1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8,020,716</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77,242,000</w:t>
            </w: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279,558,105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Year to Date 2013 Activity:</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FFCC"/>
          </w:tcPr>
          <w:p>
            <w:pPr>
              <w:ind w:left="120"/>
              <w:spacing w:after="0"/>
              <w:rPr>
                <w:sz w:val="20"/>
                <w:szCs w:val="20"/>
                <w:color w:val="auto"/>
              </w:rPr>
            </w:pPr>
            <w:r>
              <w:rPr>
                <w:rFonts w:ascii="Arial" w:cs="Arial" w:eastAsia="Arial" w:hAnsi="Arial"/>
                <w:sz w:val="18"/>
                <w:szCs w:val="18"/>
                <w:color w:val="auto"/>
              </w:rPr>
              <w:t>Purchases / originations /draws</w:t>
            </w:r>
          </w:p>
        </w:tc>
        <w:tc>
          <w:tcPr>
            <w:tcW w:w="2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43,351,250</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56,502</w:t>
            </w:r>
          </w:p>
        </w:tc>
        <w:tc>
          <w:tcPr>
            <w:tcW w:w="1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(75,398)</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36,661</w:t>
            </w: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43,369,015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20"/>
              <w:spacing w:after="0"/>
              <w:rPr>
                <w:sz w:val="20"/>
                <w:szCs w:val="20"/>
                <w:color w:val="auto"/>
              </w:rPr>
            </w:pPr>
            <w:r>
              <w:rPr>
                <w:rFonts w:ascii="Arial" w:cs="Arial" w:eastAsia="Arial" w:hAnsi="Arial"/>
                <w:sz w:val="18"/>
                <w:szCs w:val="18"/>
                <w:color w:val="auto"/>
              </w:rPr>
              <w:t>Pay-downs / pay-offs / sales</w:t>
            </w: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(5,161,838)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(138,684)</w:t>
            </w: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(5,300,522)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FFCC"/>
          </w:tcPr>
          <w:p>
            <w:pPr>
              <w:ind w:left="120"/>
              <w:spacing w:after="0"/>
              <w:rPr>
                <w:sz w:val="20"/>
                <w:szCs w:val="20"/>
                <w:color w:val="auto"/>
              </w:rPr>
            </w:pPr>
            <w:r>
              <w:rPr>
                <w:rFonts w:ascii="Arial" w:cs="Arial" w:eastAsia="Arial" w:hAnsi="Arial"/>
                <w:sz w:val="18"/>
                <w:szCs w:val="18"/>
                <w:color w:val="auto"/>
              </w:rPr>
              <w:t>Net accretion of interest</w:t>
            </w:r>
          </w:p>
        </w:tc>
        <w:tc>
          <w:tcPr>
            <w:tcW w:w="2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78,756</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41,301</w:t>
            </w:r>
          </w:p>
        </w:tc>
        <w:tc>
          <w:tcPr>
            <w:tcW w:w="1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120,057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20"/>
              <w:spacing w:after="0"/>
              <w:rPr>
                <w:sz w:val="20"/>
                <w:szCs w:val="20"/>
                <w:color w:val="auto"/>
              </w:rPr>
            </w:pPr>
            <w:r>
              <w:rPr>
                <w:rFonts w:ascii="Arial" w:cs="Arial" w:eastAsia="Arial" w:hAnsi="Arial"/>
                <w:sz w:val="18"/>
                <w:szCs w:val="18"/>
                <w:color w:val="auto"/>
              </w:rPr>
              <w:t>Net realized losses</w:t>
            </w: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(42,755)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(40,183)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(82,938)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FFCC"/>
          </w:tcPr>
          <w:p>
            <w:pPr>
              <w:ind w:left="120"/>
              <w:spacing w:after="0"/>
              <w:rPr>
                <w:sz w:val="20"/>
                <w:szCs w:val="20"/>
                <w:color w:val="auto"/>
              </w:rPr>
            </w:pPr>
            <w:r>
              <w:rPr>
                <w:rFonts w:ascii="Arial" w:cs="Arial" w:eastAsia="Arial" w:hAnsi="Arial"/>
                <w:sz w:val="18"/>
                <w:szCs w:val="18"/>
                <w:color w:val="auto"/>
              </w:rPr>
              <w:t>Increase (decrease) in fair value</w:t>
            </w:r>
          </w:p>
        </w:tc>
        <w:tc>
          <w:tcPr>
            <w:tcW w:w="20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2,286,526</w:t>
            </w:r>
          </w:p>
        </w:tc>
        <w:tc>
          <w:tcPr>
            <w:tcW w:w="1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(4,946,567)</w:t>
            </w:r>
          </w:p>
        </w:tc>
        <w:tc>
          <w:tcPr>
            <w:tcW w:w="16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(65,436)</w:t>
            </w:r>
          </w:p>
        </w:tc>
        <w:tc>
          <w:tcPr>
            <w:tcW w:w="8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3,075,339</w:t>
            </w:r>
          </w:p>
        </w:tc>
        <w:tc>
          <w:tcPr>
            <w:tcW w:w="6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349,862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Fair Value at March 31, 2013</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151,549,821</w:t>
            </w:r>
          </w:p>
        </w:tc>
        <w:tc>
          <w:tcPr>
            <w:tcW w:w="140" w:type="dxa"/>
            <w:vAlign w:val="bottom"/>
            <w:shd w:val="clear" w:color="auto" w:fill="CCFFCC"/>
          </w:tcPr>
          <w:p>
            <w:pPr>
              <w:spacing w:after="0"/>
              <w:rPr>
                <w:sz w:val="21"/>
                <w:szCs w:val="21"/>
                <w:color w:val="auto"/>
              </w:rPr>
            </w:pPr>
          </w:p>
        </w:tc>
        <w:tc>
          <w:tcPr>
            <w:tcW w:w="28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78,270,059</w:t>
            </w: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7,839,699</w:t>
            </w:r>
          </w:p>
        </w:tc>
        <w:tc>
          <w:tcPr>
            <w:tcW w:w="260" w:type="dxa"/>
            <w:vAlign w:val="bottom"/>
            <w:gridSpan w:val="2"/>
            <w:shd w:val="clear" w:color="auto" w:fill="CCFFCC"/>
          </w:tcPr>
          <w:p>
            <w:pPr>
              <w:jc w:val="right"/>
              <w:ind w:right="1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80,354,000</w:t>
            </w:r>
          </w:p>
        </w:tc>
        <w:tc>
          <w:tcPr>
            <w:tcW w:w="26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318,013,579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89"/>
              </w:rPr>
              <w:t>56</w:t>
            </w: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1440" w:gutter="0" w:footer="0" w:header="0"/>
        </w:sectPr>
      </w:pPr>
    </w:p>
    <w:bookmarkStart w:id="58" w:name="page59"/>
    <w:bookmarkEnd w:id="58"/>
    <w:p>
      <w:pPr>
        <w:ind w:firstLine="324"/>
        <w:spacing w:after="0" w:line="259" w:lineRule="auto"/>
        <w:rPr>
          <w:sz w:val="20"/>
          <w:szCs w:val="20"/>
          <w:color w:val="auto"/>
        </w:rPr>
      </w:pPr>
      <w:r>
        <w:rPr>
          <w:rFonts w:ascii="Arial" w:cs="Arial" w:eastAsia="Arial" w:hAnsi="Arial"/>
          <w:sz w:val="18"/>
          <w:szCs w:val="18"/>
          <w:color w:val="auto"/>
        </w:rPr>
        <w:t>The level of investment activity for investments funded and principal repayments for our investments can vary substantially from period to period depending on the number and size of investments that we invest in or divest of, and many other factors, including the amount and competition for the debt and equity securities available to middle market companies, the level of merger and acquisition activity for such companies and the general economic environment.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The principal measure of our financial performance is the net increase (decrease) in net assets resulting from operations which includes net investment income (loss) and net realized and unrealized appreciation (depreciation). Net investment income (loss) is the difference between our income from interest, dividends, fees, and other investment income and our operating expenses. Net realized gain (loss) on investments, is the difference between the proceeds received from dispositions of portfolio investments and their amortized cost. Net change in unrealized appreciation (depreciation) on investments is the net change in the fair value of our investment portfolio.</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is a discussion of our results of operations for the three months ended March 31, 2013 and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Investment income is primarily dependent on the composition and credit quality of our investment portfolio. Generally, our debt securities portfolio is expected to generate predictable, recurring interest income in accordance with the contractual terms of each loan. Corporate equity securities may pay a dividend and may increase in value for which a gain may be recognized; generally such dividend payments and gains are less predictable than interest income on our loan portfolio.</w:t>
      </w:r>
    </w:p>
    <w:p>
      <w:pPr>
        <w:spacing w:after="0" w:line="18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Dividends from CLO Fund securities are dependent on the performance of the underlying assets in each CLO Fund; interest payments, principal amortization and prepayments of the underlying loans in each CLO Fund are primary factors which determine the level of income on our CLO Fund securities. The level of excess spread from CLO Fund securities can be impacted by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distributions to us can vary significantly.</w:t>
      </w:r>
    </w:p>
    <w:p>
      <w:pPr>
        <w:spacing w:after="0" w:line="193"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Investment income for the three months ended March 31, 2013 and 2012 was approximately $11 million and $7 million, respectively. Of these amounts, approximately $2.5 million and $2.5 million was attributable to interest income on our loan and bond investments, respectively. For the three months ended March 31, 2013 and 2012, approximately $6 million and $4 million of investment income is attributable to dividends earned on CLO equity investments, respectively.</w:t>
      </w:r>
    </w:p>
    <w:p>
      <w:pPr>
        <w:spacing w:after="0" w:line="187"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increase in investment income from CLO Fund securities for the three months ended March 31, 2013 as compared to the three months ended March 31, 2012 was largely attributable to our acquisition of equity interests in CLO Funds managed by Trimaran Advisors in connection with our acquisition of Trimaran Advisors in February 2012.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from Asset Manager Affiliates</w:t>
      </w:r>
    </w:p>
    <w:p>
      <w:pPr>
        <w:spacing w:after="0" w:line="22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Distributions of net income from our Asset Manager Affiliates are recorded as “dividends from affiliate asset managers” in our financial statements. The Company intends to distribute to its shareholders the accumulated undistributed net income of the Asset Manager Affiliates in the future. For purposes of calculating distributable tax income for required quarterly dividends as a RIC, the Asset Manager Affiliates’ net income is further reduced by approximately $5.5 million per annum for tax goodwill amortization resulting from the acquisition of Katonah Debt Advisors by us prior to our initial public offering and our recent acquisition of Trimaran Advisors. As a result, the amount of our declared dividends, as evaluated by management and approved by our Board of Directors, is based on our evaluation of both distributable income for tax purposes and GAAP net investment income (which excludes unrealized gains and losses).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ind w:right="200" w:firstLine="324"/>
        <w:spacing w:after="0" w:line="302" w:lineRule="auto"/>
        <w:rPr>
          <w:sz w:val="20"/>
          <w:szCs w:val="20"/>
          <w:color w:val="auto"/>
        </w:rPr>
      </w:pPr>
      <w:r>
        <w:rPr>
          <w:rFonts w:ascii="Arial" w:cs="Arial" w:eastAsia="Arial" w:hAnsi="Arial"/>
          <w:sz w:val="16"/>
          <w:szCs w:val="16"/>
          <w:color w:val="auto"/>
        </w:rPr>
        <w:t>As of March 31, 2013, our investment in the Asset Manager Affiliates was valued at approximately $78 million. For the three months ended March 31, 2013 and 2012, our Asset Manager Affiliates had EBITDA of approximately $2 million and $380,000, respectively. For the three months ended March 31, 2013 and 2012, our Asset Manager Affiliates made distributions of income of $3 million and $825,000, respectively. The distributions from our Asset Manager Affiliates in 2013 represent a portion of the expected net income for our Asset Manager Affiliates for the year ending December 31, 2013.</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Total expenses for the three months ended March 31, 2013 and 2012 were approximately $4 million and $4 million, respectively. Interest expense and amortization on debt issuance costs for the periods, which includes facility and program fees on the unused loan balance, were approximately $2 million and $1 million, respectively, on average debt outstanding of $101 million and $60 million, respectively. Approximately $910,000 and $948,000, of expenses were attributable to employment compensation, including salaries, bonuses and stock option expense for the three months ended March 31, 2013 and 2012, respectively. For the three months ended March 31, 2013, other expenses included approximately $1 million for professional fees, insurance, administrative and other. For the three months ended March 31, 2012, other expenses included approximately $1 million for professional fees, insurance, administrative and other. For the three months ended March 31, 2013 and 2012, administrative and other costs (including occupancy expense, insurance, technology and other office expenses) totaled approximately $506,000 and $326,000, respectively.</w:t>
      </w:r>
    </w:p>
    <w:p>
      <w:pPr>
        <w:spacing w:after="0" w:line="179" w:lineRule="exact"/>
        <w:rPr>
          <w:sz w:val="20"/>
          <w:szCs w:val="20"/>
          <w:color w:val="auto"/>
        </w:rPr>
      </w:pPr>
    </w:p>
    <w:p>
      <w:pPr>
        <w:ind w:right="420" w:firstLine="324"/>
        <w:spacing w:after="0" w:line="302" w:lineRule="auto"/>
        <w:rPr>
          <w:sz w:val="20"/>
          <w:szCs w:val="20"/>
          <w:color w:val="auto"/>
        </w:rPr>
      </w:pPr>
      <w:r>
        <w:rPr>
          <w:rFonts w:ascii="Arial" w:cs="Arial" w:eastAsia="Arial" w:hAnsi="Arial"/>
          <w:sz w:val="16"/>
          <w:szCs w:val="16"/>
          <w:color w:val="auto"/>
        </w:rPr>
        <w:t>Interest and compensation expense are generally expected to be our largest expenses each period. Interest expense is dependent on the average outstanding principal balance on our borrowings and the related interest rate for the period. Compensation expense includes base salaries, bonuses, stock compensation, employee benefits and employer related payroll costs. The largest components of total compensation costs are base salaries and bonuses; generally, base salaries are expensed as incurred and bonus expenses are estimated and accrued since bonuses are generally paid annually.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Unrealized (Depreciation) Appreciation on Investments</w:t>
      </w:r>
    </w:p>
    <w:p>
      <w:pPr>
        <w:spacing w:after="0" w:line="229"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During the three months ended March 31, 2013, our total investments had an increase in net unrealized appreciation of approximately $350,000. During the three months ended March 31, 2012, our total investments had a decrease in net unrealized depreciation of approximately $3 million. For the three months ended March 31, 2013, our Asset Manager Affiliates had an increase in net unrealized appreciation of approximately $3 million. For the three months ended March 31, 2012, our Asset Manager Affiliates had an decrease in net unrealized appreciation of approximately $5 million. For the three months ended March 31, 2013, our middle market portfolio of debt securities, equity securities, and CLO Fund securities had a net decrease in unrealized appreciation due to fair value adjustments of approximately $2.7 million. For the three months ended March 31, 2012, our middle market portfolio of debt securities, equity securities, and CLO Fund securities had a net increase in unrealized appreciation due to fair value adjustments of approximately $2 million.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Increase (Decrease) in Net Assets Resulting From Operations</w:t>
      </w:r>
    </w:p>
    <w:p>
      <w:pPr>
        <w:spacing w:after="0" w:line="229"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For the three months ended March 31, 2013 the net change in net assets resulting from operations was an approximate increase of $7.2 million, or $0.25 per share. The net change in net assets resulting from operations for the three and three months ended March 31, 2012 was an approximate increase of $580,000, or $0.02 per share.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Liquidity is a measure of our ability to meet potential cash requirements, including ongoing commitments to repay borrowings, fund and maintain investments, pay dividends to our stockholders and other general business needs. We recognize the need to have funds available for operating our business and to make investments. We seek to have adequate liquidity at all times to cover normal cyclical swings in funding availability and to allow us to meet abnormal and unexpected funding requirements. We plan to satisfy our liquidity needs through normal operations with the goal of avoiding unplanned sales of assets or emergency borrowing of funds.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760" w:type="dxa"/>
            <w:vAlign w:val="bottom"/>
          </w:tcPr>
          <w:p>
            <w:pPr>
              <w:ind w:left="320"/>
              <w:spacing w:after="0"/>
              <w:rPr>
                <w:sz w:val="20"/>
                <w:szCs w:val="20"/>
                <w:color w:val="auto"/>
              </w:rPr>
            </w:pPr>
            <w:r>
              <w:rPr>
                <w:rFonts w:ascii="Arial" w:cs="Arial" w:eastAsia="Arial" w:hAnsi="Arial"/>
                <w:sz w:val="18"/>
                <w:szCs w:val="18"/>
                <w:color w:val="auto"/>
                <w:w w:val="91"/>
              </w:rPr>
              <w:t>As of March 31, 2013 and December 31, 2012 the fair value of investments and cash were as follows: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80" w:type="dxa"/>
            <w:vAlign w:val="bottom"/>
            <w:gridSpan w:val="6"/>
          </w:tcPr>
          <w:p>
            <w:pPr>
              <w:ind w:left="580"/>
              <w:spacing w:after="0"/>
              <w:rPr>
                <w:sz w:val="20"/>
                <w:szCs w:val="20"/>
                <w:color w:val="auto"/>
              </w:rPr>
            </w:pPr>
            <w:r>
              <w:rPr>
                <w:rFonts w:ascii="Arial" w:cs="Arial" w:eastAsia="Arial" w:hAnsi="Arial"/>
                <w:sz w:val="18"/>
                <w:szCs w:val="18"/>
                <w:b w:val="1"/>
                <w:bCs w:val="1"/>
                <w:color w:val="auto"/>
              </w:rPr>
              <w:t>Investments at Fair Value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2"/>
          </w:tcPr>
          <w:p>
            <w:pPr>
              <w:jc w:val="right"/>
              <w:ind w:right="320"/>
              <w:spacing w:after="0" w:line="205" w:lineRule="exact"/>
              <w:rPr>
                <w:sz w:val="20"/>
                <w:szCs w:val="20"/>
                <w:color w:val="auto"/>
              </w:rPr>
            </w:pPr>
            <w:r>
              <w:rPr>
                <w:rFonts w:ascii="Arial" w:cs="Arial" w:eastAsia="Arial" w:hAnsi="Arial"/>
                <w:sz w:val="18"/>
                <w:szCs w:val="18"/>
                <w:b w:val="1"/>
                <w:bCs w:val="1"/>
                <w:color w:val="auto"/>
                <w:w w:val="96"/>
              </w:rPr>
              <w:t>March 31, 2013</w:t>
            </w: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2"/>
          </w:tcPr>
          <w:p>
            <w:pPr>
              <w:jc w:val="right"/>
              <w:spacing w:after="0" w:line="205" w:lineRule="exact"/>
              <w:rPr>
                <w:sz w:val="20"/>
                <w:szCs w:val="20"/>
                <w:color w:val="auto"/>
              </w:rPr>
            </w:pPr>
            <w:r>
              <w:rPr>
                <w:rFonts w:ascii="Arial" w:cs="Arial" w:eastAsia="Arial" w:hAnsi="Arial"/>
                <w:sz w:val="18"/>
                <w:szCs w:val="18"/>
                <w:b w:val="1"/>
                <w:bCs w:val="1"/>
                <w:color w:val="auto"/>
                <w:w w:val="91"/>
              </w:rPr>
              <w:t>December 31, 2012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Security Type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FFCC"/>
          </w:tcPr>
          <w:p>
            <w:pPr>
              <w:spacing w:after="0"/>
              <w:rPr>
                <w:sz w:val="20"/>
                <w:szCs w:val="20"/>
                <w:color w:val="auto"/>
              </w:rPr>
            </w:pPr>
            <w:r>
              <w:rPr>
                <w:rFonts w:ascii="Arial" w:cs="Arial" w:eastAsia="Arial" w:hAnsi="Arial"/>
                <w:sz w:val="18"/>
                <w:szCs w:val="18"/>
                <w:color w:val="auto"/>
              </w:rPr>
              <w:t>Cash</w:t>
            </w:r>
          </w:p>
        </w:tc>
        <w:tc>
          <w:tcPr>
            <w:tcW w:w="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5,070,802</w:t>
            </w:r>
          </w:p>
        </w:tc>
        <w:tc>
          <w:tcPr>
            <w:tcW w:w="120" w:type="dxa"/>
            <w:vAlign w:val="bottom"/>
            <w:shd w:val="clear" w:color="auto" w:fill="CCFFCC"/>
          </w:tcPr>
          <w:p>
            <w:pPr>
              <w:spacing w:after="0"/>
              <w:rPr>
                <w:sz w:val="18"/>
                <w:szCs w:val="18"/>
                <w:color w:val="auto"/>
              </w:rPr>
            </w:pPr>
          </w:p>
        </w:tc>
        <w:tc>
          <w:tcPr>
            <w:tcW w:w="50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738,756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Time Deposits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1,942,834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FFCC"/>
          </w:tcPr>
          <w:p>
            <w:pPr>
              <w:spacing w:after="0"/>
              <w:rPr>
                <w:sz w:val="20"/>
                <w:szCs w:val="20"/>
                <w:color w:val="auto"/>
              </w:rPr>
            </w:pPr>
            <w:r>
              <w:rPr>
                <w:rFonts w:ascii="Arial" w:cs="Arial" w:eastAsia="Arial" w:hAnsi="Arial"/>
                <w:sz w:val="18"/>
                <w:szCs w:val="18"/>
                <w:color w:val="auto"/>
              </w:rPr>
              <w:t>Money Market Accounts</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5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38,887,925</w:t>
            </w:r>
          </w:p>
        </w:tc>
        <w:tc>
          <w:tcPr>
            <w:tcW w:w="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30,543,824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Senior Secured Loan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74,471,738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60,258,885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FFCC"/>
          </w:tcPr>
          <w:p>
            <w:pPr>
              <w:spacing w:after="0"/>
              <w:rPr>
                <w:sz w:val="20"/>
                <w:szCs w:val="20"/>
                <w:color w:val="auto"/>
              </w:rPr>
            </w:pPr>
            <w:r>
              <w:rPr>
                <w:rFonts w:ascii="Arial" w:cs="Arial" w:eastAsia="Arial" w:hAnsi="Arial"/>
                <w:sz w:val="18"/>
                <w:szCs w:val="18"/>
                <w:color w:val="auto"/>
              </w:rPr>
              <w:t>Junior Secured Loan</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5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39,532,069</w:t>
            </w:r>
          </w:p>
        </w:tc>
        <w:tc>
          <w:tcPr>
            <w:tcW w:w="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33,486,956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Senior Unsecured Loan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20,000,000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FFCC"/>
          </w:tcPr>
          <w:p>
            <w:pPr>
              <w:spacing w:after="0"/>
              <w:rPr>
                <w:sz w:val="20"/>
                <w:szCs w:val="20"/>
                <w:color w:val="auto"/>
              </w:rPr>
            </w:pPr>
            <w:r>
              <w:rPr>
                <w:rFonts w:ascii="Arial" w:cs="Arial" w:eastAsia="Arial" w:hAnsi="Arial"/>
                <w:sz w:val="18"/>
                <w:szCs w:val="18"/>
                <w:color w:val="auto"/>
              </w:rPr>
              <w:t>First Lien Bond</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3,000,000</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Senior Subordinated Bond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2,749,634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2,735,881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FFCC"/>
          </w:tcPr>
          <w:p>
            <w:pPr>
              <w:spacing w:after="0"/>
              <w:rPr>
                <w:sz w:val="20"/>
                <w:szCs w:val="20"/>
                <w:color w:val="auto"/>
              </w:rPr>
            </w:pPr>
            <w:r>
              <w:rPr>
                <w:rFonts w:ascii="Arial" w:cs="Arial" w:eastAsia="Arial" w:hAnsi="Arial"/>
                <w:sz w:val="18"/>
                <w:szCs w:val="18"/>
                <w:color w:val="auto"/>
              </w:rPr>
              <w:t>Senior Unsecured Bond</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5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11,422,500</w:t>
            </w:r>
          </w:p>
        </w:tc>
        <w:tc>
          <w:tcPr>
            <w:tcW w:w="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11,185,000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CLO Fund Securities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78,270,059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83,257,507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7,839,699</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8,020,716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Preferred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373,880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371,160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CCFFCC"/>
          </w:tcPr>
          <w:p>
            <w:pPr>
              <w:spacing w:after="0"/>
              <w:rPr>
                <w:sz w:val="20"/>
                <w:szCs w:val="20"/>
                <w:color w:val="auto"/>
              </w:rPr>
            </w:pPr>
            <w:r>
              <w:rPr>
                <w:rFonts w:ascii="Arial" w:cs="Arial" w:eastAsia="Arial" w:hAnsi="Arial"/>
                <w:sz w:val="18"/>
                <w:szCs w:val="18"/>
                <w:color w:val="auto"/>
              </w:rPr>
              <w:t>Affiliate Asset Managers</w:t>
            </w:r>
          </w:p>
        </w:tc>
        <w:tc>
          <w:tcPr>
            <w:tcW w:w="12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5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80,354,000</w:t>
            </w:r>
          </w:p>
        </w:tc>
        <w:tc>
          <w:tcPr>
            <w:tcW w:w="120" w:type="dxa"/>
            <w:vAlign w:val="bottom"/>
            <w:shd w:val="clear" w:color="auto" w:fill="CCFFCC"/>
          </w:tcPr>
          <w:p>
            <w:pPr>
              <w:spacing w:after="0"/>
              <w:rPr>
                <w:sz w:val="19"/>
                <w:szCs w:val="19"/>
                <w:color w:val="auto"/>
              </w:rPr>
            </w:pPr>
          </w:p>
        </w:tc>
        <w:tc>
          <w:tcPr>
            <w:tcW w:w="38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77,242,000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760" w:type="dxa"/>
            <w:vAlign w:val="bottom"/>
            <w:shd w:val="clear" w:color="auto" w:fill="CCFFCC"/>
          </w:tcPr>
          <w:p>
            <w:pPr>
              <w:spacing w:after="0"/>
              <w:rPr>
                <w:sz w:val="20"/>
                <w:szCs w:val="20"/>
                <w:color w:val="auto"/>
              </w:rPr>
            </w:pPr>
            <w:r>
              <w:rPr>
                <w:rFonts w:ascii="Arial" w:cs="Arial" w:eastAsia="Arial" w:hAnsi="Arial"/>
                <w:sz w:val="18"/>
                <w:szCs w:val="18"/>
                <w:color w:val="auto"/>
              </w:rPr>
              <w:t>Total</w:t>
            </w:r>
          </w:p>
        </w:tc>
        <w:tc>
          <w:tcPr>
            <w:tcW w:w="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361,972,306</w:t>
            </w:r>
          </w:p>
        </w:tc>
        <w:tc>
          <w:tcPr>
            <w:tcW w:w="120" w:type="dxa"/>
            <w:vAlign w:val="bottom"/>
            <w:shd w:val="clear" w:color="auto" w:fill="CCFFCC"/>
          </w:tcPr>
          <w:p>
            <w:pPr>
              <w:spacing w:after="0"/>
              <w:rPr>
                <w:sz w:val="21"/>
                <w:szCs w:val="21"/>
                <w:color w:val="auto"/>
              </w:rPr>
            </w:pPr>
          </w:p>
        </w:tc>
        <w:tc>
          <w:tcPr>
            <w:tcW w:w="50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312,783,519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14"/>
        <w:spacing w:after="0" w:line="297" w:lineRule="auto"/>
        <w:rPr>
          <w:sz w:val="20"/>
          <w:szCs w:val="20"/>
          <w:color w:val="auto"/>
        </w:rPr>
      </w:pPr>
      <w:r>
        <w:rPr>
          <w:rFonts w:ascii="Arial" w:cs="Arial" w:eastAsia="Arial" w:hAnsi="Arial"/>
          <w:sz w:val="16"/>
          <w:szCs w:val="16"/>
          <w:color w:val="auto"/>
        </w:rPr>
        <w:t>We use borrowed funds, known as “leverage,” to make investments and to attempt to increase returns to our shareholders by reducing our overall cost of capital. As a BDC, we are limited in the amount of leverage we can incur under the 1940 Act. We are only allowed to borrow amounts such that our asset coverage, as defined in the 1940 Act, equals at least 200% immediately after such borrowing. As of March 31, 2013, we had approximately $101 million of outstanding borrowings and our asset coverage ratio of total assets to total borrowings was 362%, compliant with the minimum asset coverage level of 200% generally required for a BDC by the 1940 Act. We may also borrow amounts of up to 5% of the value of our total assets for temporary purposes.</w:t>
      </w:r>
    </w:p>
    <w:p>
      <w:pPr>
        <w:spacing w:after="0" w:line="158" w:lineRule="exact"/>
        <w:rPr>
          <w:sz w:val="20"/>
          <w:szCs w:val="20"/>
          <w:color w:val="auto"/>
        </w:rPr>
      </w:pPr>
    </w:p>
    <w:p>
      <w:pPr>
        <w:ind w:right="40" w:firstLine="414"/>
        <w:spacing w:after="0" w:line="259" w:lineRule="auto"/>
        <w:rPr>
          <w:sz w:val="20"/>
          <w:szCs w:val="20"/>
          <w:color w:val="auto"/>
        </w:rPr>
      </w:pPr>
      <w:r>
        <w:rPr>
          <w:rFonts w:ascii="Arial" w:cs="Arial" w:eastAsia="Arial" w:hAnsi="Arial"/>
          <w:sz w:val="18"/>
          <w:szCs w:val="18"/>
          <w:color w:val="auto"/>
        </w:rPr>
        <w:t>In October 2012, we issued $41.4 million in aggregate principal amount of 7.375% senior unsecured notes due 2019 (the “Senior Notes”). The Senior Notes mature on September 30, 2019, and may be redeemed in whole or in part at any time or from time to time at our option on or after September 30, 2015. The Senior Notes bear interest at a rate of 7.375% per year payable quarterly on March 30, June 30, September 30 and December 30 of each year, beginning December 30, 2012.</w:t>
      </w:r>
    </w:p>
    <w:p>
      <w:pPr>
        <w:spacing w:after="0" w:line="187" w:lineRule="exact"/>
        <w:rPr>
          <w:sz w:val="20"/>
          <w:szCs w:val="20"/>
          <w:color w:val="auto"/>
        </w:rPr>
      </w:pPr>
    </w:p>
    <w:p>
      <w:pPr>
        <w:ind w:firstLine="414"/>
        <w:spacing w:after="0" w:line="279" w:lineRule="auto"/>
        <w:rPr>
          <w:sz w:val="20"/>
          <w:szCs w:val="20"/>
          <w:color w:val="auto"/>
        </w:rPr>
      </w:pPr>
      <w:r>
        <w:rPr>
          <w:rFonts w:ascii="Arial" w:cs="Arial" w:eastAsia="Arial" w:hAnsi="Arial"/>
          <w:sz w:val="17"/>
          <w:szCs w:val="17"/>
          <w:color w:val="auto"/>
        </w:rPr>
        <w:t>In February 2012, we entered into a Note Purchase Agreement with Credit Suisse AG, Cayman Islands Branch (“CS”), Credit Suisse Securities (USA) LLC, as arranger, The Bank of New York Mellon Trust Company, National Association, as collateral administrator and collateral agent, and KCAP Funding, a special-purpose bankruptcy remote wholly-owned subsidiary of ours, under which we may obtain up to $30 million in financing (the “Facility”). The scheduled maturity date for the Facility is December 20, 2014. Interest on the Facility is LIBOR + 300 basis points and payable quarterly.</w:t>
      </w:r>
    </w:p>
    <w:p>
      <w:pPr>
        <w:spacing w:after="0" w:line="171" w:lineRule="exact"/>
        <w:rPr>
          <w:sz w:val="20"/>
          <w:szCs w:val="20"/>
          <w:color w:val="auto"/>
        </w:rPr>
      </w:pPr>
    </w:p>
    <w:p>
      <w:pPr>
        <w:ind w:right="20" w:firstLine="414"/>
        <w:spacing w:after="0" w:line="302" w:lineRule="auto"/>
        <w:rPr>
          <w:sz w:val="20"/>
          <w:szCs w:val="20"/>
          <w:color w:val="auto"/>
        </w:rPr>
      </w:pPr>
      <w:r>
        <w:rPr>
          <w:rFonts w:ascii="Arial" w:cs="Arial" w:eastAsia="Arial" w:hAnsi="Arial"/>
          <w:sz w:val="16"/>
          <w:szCs w:val="16"/>
          <w:color w:val="auto"/>
        </w:rPr>
        <w:t>In March 16, 2011, we issued $60 million in aggregate principal amount of unsecured 8.75% convertible senior notes due March 15, 2016 (“Convertible Senior Notes”). The net proceeds for the Convertible Senior Notes, following underwriting expenses, were approximately $57.7 million. Interest on the Convertible Senior Notes is paid semi-annually in arrears on March 15 and September 15, at a rate of 8.75%, commencing September 15, 2011. The Notes mature on March 15, 2016 unless converted earlier. The Convertible Senior Notes are senior unsecured obligations of the Company.</w:t>
      </w:r>
    </w:p>
    <w:p>
      <w:pPr>
        <w:spacing w:after="0" w:line="154" w:lineRule="exact"/>
        <w:rPr>
          <w:sz w:val="20"/>
          <w:szCs w:val="20"/>
          <w:color w:val="auto"/>
        </w:rPr>
      </w:pPr>
    </w:p>
    <w:p>
      <w:pPr>
        <w:ind w:right="260" w:firstLine="414"/>
        <w:spacing w:after="0" w:line="288" w:lineRule="auto"/>
        <w:rPr>
          <w:sz w:val="20"/>
          <w:szCs w:val="20"/>
          <w:color w:val="auto"/>
        </w:rPr>
      </w:pPr>
      <w:r>
        <w:rPr>
          <w:rFonts w:ascii="Arial" w:cs="Arial" w:eastAsia="Arial" w:hAnsi="Arial"/>
          <w:sz w:val="16"/>
          <w:szCs w:val="16"/>
          <w:color w:val="auto"/>
        </w:rPr>
        <w:t>The Convertible Senior Notes are convertible into shares of Company’s common stock. The conversion rate is subject to customary anti-dilution adjustments, including for any cash dividends or distributions paid on shares of our common stock in excess of a quarterly dividend of $0.17 per share, but will not be adjusted for any accrued and unpaid interest. The conversion price of the Convertible Senior Notes as of March 31, 2013 is approximately</w:t>
      </w:r>
    </w:p>
    <w:p>
      <w:pPr>
        <w:ind w:right="20"/>
        <w:spacing w:after="0" w:line="255" w:lineRule="auto"/>
        <w:rPr>
          <w:sz w:val="20"/>
          <w:szCs w:val="20"/>
          <w:color w:val="auto"/>
        </w:rPr>
      </w:pPr>
      <w:r>
        <w:rPr>
          <w:rFonts w:ascii="Arial" w:cs="Arial" w:eastAsia="Arial" w:hAnsi="Arial"/>
          <w:sz w:val="18"/>
          <w:szCs w:val="18"/>
          <w:color w:val="auto"/>
        </w:rPr>
        <w:t>122.5638 shares of our common stock per $1,000 principle amount of Convertible Senior Notes, equivalent to a conversion price of approximately $8.159 per share of our common stock. In addition, if certain corporate events occur prior to the maturity date of the Convertible Senior Notes, the conversion rate will be increased for converting holders.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ind w:firstLine="414"/>
        <w:spacing w:after="0" w:line="259" w:lineRule="auto"/>
        <w:rPr>
          <w:sz w:val="20"/>
          <w:szCs w:val="20"/>
          <w:color w:val="auto"/>
        </w:rPr>
      </w:pPr>
      <w:r>
        <w:rPr>
          <w:rFonts w:ascii="Arial" w:cs="Arial" w:eastAsia="Arial" w:hAnsi="Arial"/>
          <w:sz w:val="18"/>
          <w:szCs w:val="18"/>
          <w:color w:val="auto"/>
        </w:rPr>
        <w:t>Subject to prevailing market conditions, we intend to grow our portfolio of assets by raising additional capital, including through the prudent use of leverage available to us. As a result, we may seek to enter into new agreements with other lenders or into other financing arrangements as market conditions permit. Such financing arrangements may include a new secured and/or unsecured credit facility, the issuance of preferred securities or debt guaranteed by the Small Business Administration.</w:t>
      </w:r>
    </w:p>
    <w:p>
      <w:pPr>
        <w:spacing w:after="0" w:line="187" w:lineRule="exact"/>
        <w:rPr>
          <w:sz w:val="20"/>
          <w:szCs w:val="20"/>
          <w:color w:val="auto"/>
        </w:rPr>
      </w:pPr>
    </w:p>
    <w:p>
      <w:pPr>
        <w:ind w:right="80" w:firstLine="414"/>
        <w:spacing w:after="0" w:line="273" w:lineRule="auto"/>
        <w:rPr>
          <w:sz w:val="20"/>
          <w:szCs w:val="20"/>
          <w:color w:val="auto"/>
        </w:rPr>
      </w:pPr>
      <w:r>
        <w:rPr>
          <w:rFonts w:ascii="Arial" w:cs="Arial" w:eastAsia="Arial" w:hAnsi="Arial"/>
          <w:sz w:val="17"/>
          <w:szCs w:val="17"/>
          <w:color w:val="auto"/>
        </w:rPr>
        <w:t>If our common stock trades below our net asset value per share, we will generally not be able to issue additional common stock at the market price unless our shareholders approve such a sale and our Board of Directors makes certain determinations. A proposal, approved by our shareholders at our June 2012 annual meeting of stockholders, authorizes us to sell shares of our common stock below the then current net asset value per share of our common stock in one or more offerings for the period ending on the earlier of (i) June 15, 2013, the one year anniversary of our 2012 annual meeting of shareholders, or (ii) the date of our 2013 annual meeting of shareholders. We would need similar future approval from our shareholders to issue shares below the then current net asset value per share any time after the expiration of the current approval.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OFF-BALANCE SHEET ARRANGEMENTS</w:t>
      </w:r>
    </w:p>
    <w:p>
      <w:pPr>
        <w:spacing w:after="0" w:line="229" w:lineRule="exact"/>
        <w:rPr>
          <w:sz w:val="20"/>
          <w:szCs w:val="20"/>
          <w:color w:val="auto"/>
        </w:rPr>
      </w:pPr>
    </w:p>
    <w:p>
      <w:pPr>
        <w:ind w:right="120" w:firstLine="414"/>
        <w:spacing w:after="0" w:line="257" w:lineRule="auto"/>
        <w:rPr>
          <w:sz w:val="20"/>
          <w:szCs w:val="20"/>
          <w:color w:val="auto"/>
        </w:rPr>
      </w:pPr>
      <w:r>
        <w:rPr>
          <w:rFonts w:ascii="Arial" w:cs="Arial" w:eastAsia="Arial" w:hAnsi="Arial"/>
          <w:sz w:val="18"/>
          <w:szCs w:val="18"/>
          <w:color w:val="auto"/>
        </w:rPr>
        <w:t>We are a party to financial instruments with off-balance sheet risk in the normal course of business in order to meet the needs of our investment in portfolio companies. Such instruments include commitments to extend credit and may involve, in varying degrees, elements of credit risk in excess of amounts recognized on our balance sheet. Prior to extending such credit, we attempt to limit our credit risk by conducting extensive due diligence, obtaining collateral where necessary and negotiating appropriate financial covenants. As of both March 31, 2013 and December 31, 2012, we had no commitments to fund investments.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80" w:firstLine="414"/>
        <w:spacing w:after="0" w:line="279" w:lineRule="auto"/>
        <w:rPr>
          <w:sz w:val="20"/>
          <w:szCs w:val="20"/>
          <w:color w:val="auto"/>
        </w:rPr>
      </w:pPr>
      <w:r>
        <w:rPr>
          <w:rFonts w:ascii="Arial" w:cs="Arial" w:eastAsia="Arial" w:hAnsi="Arial"/>
          <w:sz w:val="17"/>
          <w:szCs w:val="17"/>
          <w:color w:val="auto"/>
        </w:rPr>
        <w:t>The financial statements are based on the selection and application of critical accounting policies, which require management to make significant estimates and assumptions. Critical accounting policies are those that are both important to the presentation of our financial condition and results of operations and require management’s most difficult, complex, or subjective judgments. Our critical accounting policies are those applicable to the basis of presentation, valuation of investments, and certain revenue recognition matters as discussed below.</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0" w:firstLine="414"/>
        <w:spacing w:after="0" w:line="259" w:lineRule="auto"/>
        <w:rPr>
          <w:sz w:val="20"/>
          <w:szCs w:val="20"/>
          <w:color w:val="auto"/>
        </w:rPr>
      </w:pPr>
      <w:r>
        <w:rPr>
          <w:rFonts w:ascii="Arial" w:cs="Arial" w:eastAsia="Arial" w:hAnsi="Arial"/>
          <w:sz w:val="18"/>
          <w:szCs w:val="18"/>
          <w:color w:val="auto"/>
        </w:rPr>
        <w:t>The accompanying unaudited financial statements have been prepared on the accrual basis of accounting in conformity with GAAP for interim financial information. Accordingly, they do not include all of the information and footnotes required for annual financial statements. The unaudited interim financial statements and notes thereto should be read in conjunction with the financial statements and notes thereto in the Company’s Form 10-K for the fiscal year ended December 31, 2012, as filed with the Commission.</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225" w:lineRule="exact"/>
        <w:rPr>
          <w:sz w:val="20"/>
          <w:szCs w:val="20"/>
          <w:color w:val="auto"/>
        </w:rPr>
      </w:pPr>
    </w:p>
    <w:p>
      <w:pPr>
        <w:ind w:right="740" w:firstLine="414"/>
        <w:spacing w:after="0" w:line="277" w:lineRule="auto"/>
        <w:rPr>
          <w:sz w:val="20"/>
          <w:szCs w:val="20"/>
          <w:color w:val="auto"/>
        </w:rPr>
      </w:pPr>
      <w:r>
        <w:rPr>
          <w:rFonts w:ascii="Arial" w:cs="Arial" w:eastAsia="Arial" w:hAnsi="Arial"/>
          <w:sz w:val="18"/>
          <w:szCs w:val="18"/>
          <w:color w:val="auto"/>
        </w:rPr>
        <w:t>The most significant estimate inherent in the preparation of our financial statements is the valuation of investments and the related amounts of unrealized appreciation and depreciation of investments recorded.</w:t>
      </w:r>
    </w:p>
    <w:p>
      <w:pPr>
        <w:spacing w:after="0" w:line="170" w:lineRule="exact"/>
        <w:rPr>
          <w:sz w:val="20"/>
          <w:szCs w:val="20"/>
          <w:color w:val="auto"/>
        </w:rPr>
      </w:pPr>
    </w:p>
    <w:p>
      <w:pPr>
        <w:ind w:firstLine="414"/>
        <w:spacing w:after="0" w:line="255" w:lineRule="auto"/>
        <w:rPr>
          <w:sz w:val="20"/>
          <w:szCs w:val="20"/>
          <w:color w:val="auto"/>
        </w:rPr>
      </w:pPr>
      <w:r>
        <w:rPr>
          <w:rFonts w:ascii="Arial" w:cs="Arial" w:eastAsia="Arial" w:hAnsi="Arial"/>
          <w:sz w:val="18"/>
          <w:szCs w:val="18"/>
          <w:color w:val="auto"/>
        </w:rPr>
        <w:t>Value, as defined in Section 2(a)(41) of 1940 Act, is (1) the market price for those securities for which a market quotation is readily available and (2) for all other securities and assets, fair value as determined in good faith by our Board of Directors pursuant to procedures approved by our Board of Directors. Our valuation policy is intended to provide a consistent basis for determining the fair value of the portfolio based on the nature of the security, the market for the security and other considerations including the financial performance and enterprise value of the portfolio company. Because of the inherent uncertainty of valuation, the Board of Directors’ determined values may differ significantly from the values that would have been used had a ready market existed for the investments, and the differences could be material.</w:t>
      </w:r>
    </w:p>
    <w:p>
      <w:pPr>
        <w:spacing w:after="0" w:line="193" w:lineRule="exact"/>
        <w:rPr>
          <w:sz w:val="20"/>
          <w:szCs w:val="20"/>
          <w:color w:val="auto"/>
        </w:rPr>
      </w:pPr>
    </w:p>
    <w:p>
      <w:pPr>
        <w:ind w:right="80" w:firstLine="414"/>
        <w:spacing w:after="0" w:line="257" w:lineRule="auto"/>
        <w:rPr>
          <w:sz w:val="20"/>
          <w:szCs w:val="20"/>
          <w:color w:val="auto"/>
        </w:rPr>
      </w:pPr>
      <w:r>
        <w:rPr>
          <w:rFonts w:ascii="Arial" w:cs="Arial" w:eastAsia="Arial" w:hAnsi="Arial"/>
          <w:sz w:val="18"/>
          <w:szCs w:val="18"/>
          <w:color w:val="auto"/>
        </w:rPr>
        <w:t>We are, for GAAP purposes, an investment company under the AICPA Audit and Accounting Guide for Investment Companies. As a result, we reflect our investments on our balance sheet at their estimated fair value with unrealized gains and losses resulting from changes in fair value reflected as a component of unrealized gains or losses on our statements of operations. Fair value is the amount that would be received to sell the investments in an orderly transaction between market participants at the measurement date (i.e., the exit price). Additionally, we do not consolidate majority or wholly-owned and controlled investments.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62" w:name="page63"/>
    <w:bookmarkEnd w:id="62"/>
    <w:p>
      <w:pPr>
        <w:ind w:right="540" w:firstLine="414"/>
        <w:spacing w:after="0" w:line="264" w:lineRule="auto"/>
        <w:rPr>
          <w:sz w:val="20"/>
          <w:szCs w:val="20"/>
          <w:color w:val="auto"/>
        </w:rPr>
      </w:pPr>
      <w:r>
        <w:rPr>
          <w:rFonts w:ascii="Arial" w:cs="Arial" w:eastAsia="Arial" w:hAnsi="Arial"/>
          <w:sz w:val="18"/>
          <w:szCs w:val="18"/>
          <w:color w:val="auto"/>
        </w:rPr>
        <w:t xml:space="preserve">Effective January 1, 2008 we adopted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which among other things, requires enhanced disclosures about financial instruments carried at fair value. See Note 4 to the financial statements for the additional information about the level of market observability associated with investments carried at fair value.</w:t>
      </w:r>
    </w:p>
    <w:p>
      <w:pPr>
        <w:spacing w:after="0" w:line="181" w:lineRule="exact"/>
        <w:rPr>
          <w:sz w:val="20"/>
          <w:szCs w:val="20"/>
          <w:color w:val="auto"/>
        </w:rPr>
      </w:pPr>
    </w:p>
    <w:p>
      <w:pPr>
        <w:ind w:right="40" w:firstLine="414"/>
        <w:spacing w:after="0" w:line="286" w:lineRule="auto"/>
        <w:rPr>
          <w:sz w:val="20"/>
          <w:szCs w:val="20"/>
          <w:color w:val="auto"/>
        </w:rPr>
      </w:pPr>
      <w:r>
        <w:rPr>
          <w:rFonts w:ascii="Arial" w:cs="Arial" w:eastAsia="Arial" w:hAnsi="Arial"/>
          <w:sz w:val="17"/>
          <w:szCs w:val="17"/>
          <w:color w:val="auto"/>
        </w:rPr>
        <w:t>We have valued our investments, in the absence of observable market prices, using the valuation methodologies described below applied on a consistent basis. For some investments little market activity may exist; management’s determination of fair value is then based on the best information available in the circumstances, and may incorporate management’s own assumptions and involves a significant degree of management’s judgment.</w:t>
      </w:r>
    </w:p>
    <w:p>
      <w:pPr>
        <w:spacing w:after="0" w:line="166" w:lineRule="exact"/>
        <w:rPr>
          <w:sz w:val="20"/>
          <w:szCs w:val="20"/>
          <w:color w:val="auto"/>
        </w:rPr>
      </w:pPr>
    </w:p>
    <w:p>
      <w:pPr>
        <w:ind w:right="40" w:firstLine="414"/>
        <w:spacing w:after="0" w:line="269" w:lineRule="auto"/>
        <w:rPr>
          <w:sz w:val="20"/>
          <w:szCs w:val="20"/>
          <w:color w:val="auto"/>
        </w:rPr>
      </w:pPr>
      <w:r>
        <w:rPr>
          <w:rFonts w:ascii="Arial" w:cs="Arial" w:eastAsia="Arial" w:hAnsi="Arial"/>
          <w:sz w:val="17"/>
          <w:szCs w:val="17"/>
          <w:color w:val="auto"/>
        </w:rPr>
        <w:t>Our investments in CLO Fund securities are carried at fair value, which is based either on (i) the present value of the net expected cash inflows for interest income and principal repayments from underlying assets and the cash outflows for interest expense, debt paydown and other fund costs for the CLO Funds which are approaching or past the end of their reinvestment period and therefore begin to sell assets and/or use principal repayments to pay-down CLO Fund debt, and for which there continue to be net cash distributions to the class of we securities own, or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We recognize unrealized appreciation or depreciation on our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Investment. We determine the fair value of our investments in CLO Fund securities on a security-by-security basis.</w:t>
      </w:r>
    </w:p>
    <w:p>
      <w:pPr>
        <w:spacing w:after="0" w:line="183" w:lineRule="exact"/>
        <w:rPr>
          <w:sz w:val="20"/>
          <w:szCs w:val="20"/>
          <w:color w:val="auto"/>
        </w:rPr>
      </w:pPr>
    </w:p>
    <w:p>
      <w:pPr>
        <w:ind w:right="120" w:firstLine="414"/>
        <w:spacing w:after="0" w:line="276" w:lineRule="auto"/>
        <w:rPr>
          <w:sz w:val="20"/>
          <w:szCs w:val="20"/>
          <w:color w:val="auto"/>
        </w:rPr>
      </w:pPr>
      <w:r>
        <w:rPr>
          <w:rFonts w:ascii="Arial" w:cs="Arial" w:eastAsia="Arial" w:hAnsi="Arial"/>
          <w:sz w:val="17"/>
          <w:szCs w:val="17"/>
          <w:color w:val="auto"/>
        </w:rPr>
        <w:t>Our investment in our Asset Manager Affiliates is carried at fair value, which is determined after taking into consideration a percentage of assets under management and a discounted cash flow model incorporating different levels of discount rates depending on the hierarchy of fees earned (including the likelihood of realization of senior, subordinate and incentive fees) and prospective modeled performance. Such valuation includes an analysis of comparable asset management companies. Our investment in our Asset Manager Affiliates is classified as a Level III investment (as described below). Any change in value from period to period is recognized as net change in unrealized appreciation or depreciation.</w:t>
      </w:r>
    </w:p>
    <w:p>
      <w:pPr>
        <w:spacing w:after="0" w:line="173" w:lineRule="exact"/>
        <w:rPr>
          <w:sz w:val="20"/>
          <w:szCs w:val="20"/>
          <w:color w:val="auto"/>
        </w:rPr>
      </w:pPr>
    </w:p>
    <w:p>
      <w:pPr>
        <w:ind w:firstLine="414"/>
        <w:spacing w:after="0" w:line="270" w:lineRule="auto"/>
        <w:rPr>
          <w:sz w:val="20"/>
          <w:szCs w:val="20"/>
          <w:color w:val="auto"/>
        </w:rPr>
      </w:pPr>
      <w:r>
        <w:rPr>
          <w:rFonts w:ascii="Arial" w:cs="Arial" w:eastAsia="Arial" w:hAnsi="Arial"/>
          <w:sz w:val="17"/>
          <w:szCs w:val="17"/>
          <w:color w:val="auto"/>
        </w:rPr>
        <w:t>Fair values of other investments for which market prices are not observable are determined by reference to public market or private transactions or valuations for comparable companies or assets in the relevant asset class and or industry when such amounts are available. Generally these valuations are derived by multiplying a key performance metric of the investee company or asset (e.g., EBITDA) by the relevant valuation multiple observed for comparable companies or transactions, adjusted by management for differences between the investment and the referenced comparable. Such investments may also be valued at cost for a period of time after an acquisition as the best indicator of fair value. If the fair value of such investments cannot be valued by reference to observable valuation measures for comparable companies, then the primary analytical method used to estimate the fair value is a discounted cash flow method and/or cap rate analysis. A sensitivity analysis is applied to the estimated future cash flows using various factors depending on the investment, including assumed growth rates (in cash flows), capitalization rates (for determining terminal values) and appropriate discount rates to determine a range of reasonable values or to compute projected return on investment.</w:t>
      </w:r>
    </w:p>
    <w:p>
      <w:pPr>
        <w:spacing w:after="0" w:line="182" w:lineRule="exact"/>
        <w:rPr>
          <w:sz w:val="20"/>
          <w:szCs w:val="20"/>
          <w:color w:val="auto"/>
        </w:rPr>
      </w:pPr>
    </w:p>
    <w:p>
      <w:pPr>
        <w:ind w:right="40" w:firstLine="414"/>
        <w:spacing w:after="0" w:line="279" w:lineRule="auto"/>
        <w:rPr>
          <w:sz w:val="20"/>
          <w:szCs w:val="20"/>
          <w:color w:val="auto"/>
        </w:rPr>
      </w:pPr>
      <w:r>
        <w:rPr>
          <w:rFonts w:ascii="Arial" w:cs="Arial" w:eastAsia="Arial" w:hAnsi="Arial"/>
          <w:sz w:val="17"/>
          <w:szCs w:val="17"/>
          <w:color w:val="auto"/>
        </w:rPr>
        <w:t>We derive fair value for our illiquid loan investments that do not have indicative fair values based upon active trades primarily by using the Market Yield Approach, and also consider recent loan amendments or other activity specific to the subject asset as described above. Other significant assumptions, such as coupon and maturity, are asset-specific and are noted for each investment in the Schedules of Investments. Our Board of Directors may consider other methods of valuation to determine the fair value of investments as appropriate in conformity with GAAP.</w:t>
      </w:r>
    </w:p>
    <w:p>
      <w:pPr>
        <w:spacing w:after="0" w:line="171" w:lineRule="exact"/>
        <w:rPr>
          <w:sz w:val="20"/>
          <w:szCs w:val="20"/>
          <w:color w:val="auto"/>
        </w:rPr>
      </w:pPr>
    </w:p>
    <w:p>
      <w:pPr>
        <w:ind w:firstLine="414"/>
        <w:spacing w:after="0" w:line="259" w:lineRule="auto"/>
        <w:rPr>
          <w:sz w:val="20"/>
          <w:szCs w:val="20"/>
          <w:color w:val="auto"/>
        </w:rPr>
      </w:pPr>
      <w:r>
        <w:rPr>
          <w:rFonts w:ascii="Arial" w:cs="Arial" w:eastAsia="Arial" w:hAnsi="Arial"/>
          <w:sz w:val="18"/>
          <w:szCs w:val="18"/>
          <w:color w:val="auto"/>
        </w:rPr>
        <w:t>The determination of fair value using this methodology takes into consideration a range of factors, including but not limited to the price at which the investment was acquired, the nature of the investment, local market conditions, trading values on public exchanges for comparable securities, current and projected operating performance and financing transactions subsequent to the acquisition of the investment. This valuation methodology involves a significant degree of management’s judgment.</w:t>
      </w:r>
    </w:p>
    <w:p>
      <w:pPr>
        <w:spacing w:after="0" w:line="187" w:lineRule="exact"/>
        <w:rPr>
          <w:sz w:val="20"/>
          <w:szCs w:val="20"/>
          <w:color w:val="auto"/>
        </w:rPr>
      </w:pPr>
    </w:p>
    <w:p>
      <w:pPr>
        <w:ind w:right="120" w:firstLine="414"/>
        <w:spacing w:after="0" w:line="277" w:lineRule="auto"/>
        <w:rPr>
          <w:sz w:val="20"/>
          <w:szCs w:val="20"/>
          <w:color w:val="auto"/>
        </w:rPr>
      </w:pPr>
      <w:r>
        <w:rPr>
          <w:rFonts w:ascii="Arial" w:cs="Arial" w:eastAsia="Arial" w:hAnsi="Arial"/>
          <w:sz w:val="18"/>
          <w:szCs w:val="18"/>
          <w:color w:val="auto"/>
        </w:rPr>
        <w:t xml:space="preserve">After our adoption of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investments measured and reported at fair value are classified and disclosed in one of the following categories:</w:t>
      </w:r>
    </w:p>
    <w:p>
      <w:pPr>
        <w:spacing w:after="0" w:line="170" w:lineRule="exact"/>
        <w:rPr>
          <w:sz w:val="20"/>
          <w:szCs w:val="20"/>
          <w:color w:val="auto"/>
        </w:rPr>
      </w:pPr>
    </w:p>
    <w:p>
      <w:pPr>
        <w:ind w:left="900" w:right="120" w:hanging="325"/>
        <w:spacing w:after="0" w:line="259"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Level I – Unadjusted quoted prices are available in active markets for identical investments as of the reporting date. The type of investments included in Level I include listed equities and listed securities. As required by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the Company does not adjust the quoted price for these investments, even in situations where the Company holds a large position and a sale could reasonably affect the quoted price.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3" w:name="page64"/>
    <w:bookmarkEnd w:id="63"/>
    <w:p>
      <w:pPr>
        <w:ind w:left="900" w:right="20" w:hanging="325"/>
        <w:spacing w:after="0" w:line="297"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Level II –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corporate loans and bonds and less liquid, privately held or restricted equity securities for which some level of recent trading activity has been observed.</w:t>
      </w:r>
    </w:p>
    <w:p>
      <w:pPr>
        <w:spacing w:after="0" w:line="333" w:lineRule="exact"/>
        <w:rPr>
          <w:rFonts w:ascii="Arial" w:cs="Arial" w:eastAsia="Arial" w:hAnsi="Arial"/>
          <w:sz w:val="16"/>
          <w:szCs w:val="16"/>
          <w:color w:val="auto"/>
        </w:rPr>
      </w:pPr>
    </w:p>
    <w:p>
      <w:pPr>
        <w:ind w:left="900" w:right="40" w:hanging="325"/>
        <w:spacing w:after="0" w:line="255"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365" w:lineRule="exact"/>
        <w:rPr>
          <w:sz w:val="20"/>
          <w:szCs w:val="20"/>
          <w:color w:val="auto"/>
        </w:rPr>
      </w:pPr>
    </w:p>
    <w:p>
      <w:pPr>
        <w:ind w:firstLine="414"/>
        <w:spacing w:after="0" w:line="259"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Our assessment of the significance of a particular input to the fair value measurement in its entirety requires judgment, and it considers factors specific to the investment. Substantially all of our investments are classified as Level III.</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Board of Directors may consider other methods of valuation to determine the fair value of investments as appropriate in conformity with GAAP.</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right="140" w:firstLine="414"/>
        <w:spacing w:after="0" w:line="273" w:lineRule="auto"/>
        <w:rPr>
          <w:sz w:val="20"/>
          <w:szCs w:val="20"/>
          <w:color w:val="auto"/>
        </w:rPr>
      </w:pPr>
      <w:r>
        <w:rPr>
          <w:rFonts w:ascii="Arial" w:cs="Arial" w:eastAsia="Arial" w:hAnsi="Arial"/>
          <w:sz w:val="17"/>
          <w:szCs w:val="17"/>
          <w:color w:val="auto"/>
        </w:rPr>
        <w:t>Interest income, adjusted for amortization of premium and accretion of discount, is recorded on the accrual basis to the extent that such amounts are expected to be collected. We generally place a loan on non-accrual status and cease recognizing interest income on such loan or security when a loan or security becomes 90 days or more past due or if we otherwise do not expect the debtor to be able to service its debt obligations. Non-accrual loans remain in such status until the borrower has demonstrated the ability and intent to pay contractual amounts due or such loans become current. As of March 31, 2013, five issuers representing less than 1% of our total investments at fair value were on non-accrual status. As of December 31, 2012, five issuers representing less than 1% of our total investments at fair value were on non-accrual status.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Dividend Income from CLO Fund Securities</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generate dividend income from our investments in the most junior class of securities of CLO Funds (typically preferred shares or subordinated securities) managed by the Asset Manager Affiliates and selective investments in securities issued by funds managed by other asset management companies using the effective interest method based on anticipated yield and estimated cash flows as updated quarterly for changes in prepayments, re-investment, credit losses and other items that may impact distributions. Our CLO Fund junior class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 The level of excess spread from CLO Fund securities can be impacted from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distributions to us can vary significantly. In addition, the failure of CLO Funds in which we invest to comply with certain financial covenants may lead to the temporary suspension or deferral of cash distributions to us. We make estimated interim accruals of such dividend income based on recent historical distributions and CLO Fund performance and adjust such accruals on a quarterly basis to reflect actual distributions.</w:t>
      </w:r>
    </w:p>
    <w:p>
      <w:pPr>
        <w:spacing w:after="0" w:line="169" w:lineRule="exact"/>
        <w:rPr>
          <w:sz w:val="20"/>
          <w:szCs w:val="20"/>
          <w:color w:val="auto"/>
        </w:rPr>
      </w:pPr>
    </w:p>
    <w:p>
      <w:pPr>
        <w:ind w:right="220" w:firstLine="414"/>
        <w:spacing w:after="0" w:line="277" w:lineRule="auto"/>
        <w:rPr>
          <w:sz w:val="20"/>
          <w:szCs w:val="20"/>
          <w:color w:val="auto"/>
        </w:rPr>
      </w:pPr>
      <w:r>
        <w:rPr>
          <w:rFonts w:ascii="Arial" w:cs="Arial" w:eastAsia="Arial" w:hAnsi="Arial"/>
          <w:sz w:val="18"/>
          <w:szCs w:val="18"/>
          <w:color w:val="auto"/>
        </w:rPr>
        <w:t>For non-junior class CLO Fund securities, such as our investment in the class B-2L notes of Katonah 2007-I CLO and the class F notes of Catamaran 2012-1, interest is earned at a fixed spread relative to the LIBOR index.</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64" w:name="page65"/>
    <w:bookmarkEnd w:id="64"/>
    <w:p>
      <w:pPr>
        <w:ind w:left="220"/>
        <w:spacing w:after="0"/>
        <w:rPr>
          <w:sz w:val="20"/>
          <w:szCs w:val="20"/>
          <w:color w:val="auto"/>
        </w:rPr>
      </w:pPr>
      <w:r>
        <w:rPr>
          <w:rFonts w:ascii="Arial" w:cs="Arial" w:eastAsia="Arial" w:hAnsi="Arial"/>
          <w:sz w:val="18"/>
          <w:szCs w:val="18"/>
          <w:b w:val="1"/>
          <w:bCs w:val="1"/>
          <w:i w:val="1"/>
          <w:iCs w:val="1"/>
          <w:color w:val="auto"/>
        </w:rPr>
        <w:t>Dividends from Asset Manager Affiliates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record dividend income from our Asset Manager Affiliates on the declaration date, which represents the ex-dividend date.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Payment in Kind Interest</w:t>
      </w:r>
    </w:p>
    <w:p>
      <w:pPr>
        <w:spacing w:after="0" w:line="225" w:lineRule="exact"/>
        <w:rPr>
          <w:sz w:val="20"/>
          <w:szCs w:val="20"/>
          <w:color w:val="auto"/>
        </w:rPr>
      </w:pPr>
    </w:p>
    <w:p>
      <w:pPr>
        <w:ind w:right="220" w:firstLine="414"/>
        <w:spacing w:after="0" w:line="264" w:lineRule="auto"/>
        <w:rPr>
          <w:sz w:val="20"/>
          <w:szCs w:val="20"/>
          <w:color w:val="auto"/>
        </w:rPr>
      </w:pPr>
      <w:r>
        <w:rPr>
          <w:rFonts w:ascii="Arial" w:cs="Arial" w:eastAsia="Arial" w:hAnsi="Arial"/>
          <w:sz w:val="18"/>
          <w:szCs w:val="18"/>
          <w:color w:val="auto"/>
        </w:rPr>
        <w:t>We may have loans in our portfolio that contain a payment-in-kind (“PIK”) provision. PIK interest, computed at the contractual rate specified in each loan agreement, is added to the principal balance of the loan and recorded as interest income. To maintain our RIC status, this non-cash source of income must be paid out to stockholders in the form of dividends, even though we have not yet collected the cash.</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Fee Income</w:t>
      </w:r>
    </w:p>
    <w:p>
      <w:pPr>
        <w:spacing w:after="0" w:line="225" w:lineRule="exact"/>
        <w:rPr>
          <w:sz w:val="20"/>
          <w:szCs w:val="20"/>
          <w:color w:val="auto"/>
        </w:rPr>
      </w:pPr>
    </w:p>
    <w:p>
      <w:pPr>
        <w:ind w:right="100" w:firstLine="414"/>
        <w:spacing w:after="0" w:line="259" w:lineRule="auto"/>
        <w:rPr>
          <w:sz w:val="20"/>
          <w:szCs w:val="20"/>
          <w:color w:val="auto"/>
        </w:rPr>
      </w:pPr>
      <w:r>
        <w:rPr>
          <w:rFonts w:ascii="Arial" w:cs="Arial" w:eastAsia="Arial" w:hAnsi="Arial"/>
          <w:sz w:val="18"/>
          <w:szCs w:val="18"/>
          <w:color w:val="auto"/>
        </w:rPr>
        <w:t>Fee income includes fees, if any, for due diligence, structuring, commitment and facility fees, and fees, if any, for transaction services and management services rendered by us to portfolio companies and other third parties. Commitment and facility fees are generally recognized as income over the life of the underlying loan, whereas due diligence, structuring, transaction service and management service fees are generally recognized as income when the services are rendered.</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Management Compensation</w:t>
      </w:r>
    </w:p>
    <w:p>
      <w:pPr>
        <w:spacing w:after="0" w:line="225" w:lineRule="exact"/>
        <w:rPr>
          <w:sz w:val="20"/>
          <w:szCs w:val="20"/>
          <w:color w:val="auto"/>
        </w:rPr>
      </w:pPr>
    </w:p>
    <w:p>
      <w:pPr>
        <w:ind w:firstLine="414"/>
        <w:spacing w:after="0" w:line="312" w:lineRule="auto"/>
        <w:rPr>
          <w:sz w:val="20"/>
          <w:szCs w:val="20"/>
          <w:color w:val="auto"/>
        </w:rPr>
      </w:pPr>
      <w:r>
        <w:rPr>
          <w:rFonts w:ascii="Arial" w:cs="Arial" w:eastAsia="Arial" w:hAnsi="Arial"/>
          <w:sz w:val="16"/>
          <w:szCs w:val="16"/>
          <w:color w:val="auto"/>
        </w:rPr>
        <w:t xml:space="preserve">We may, from time to time, issue stock options or restricted stock under our equity compensation plan to officers and employees for services rendered to us. We follow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a method by which the fair value of options or restricted stock is determined and expensed. We use a Binary Option Pricing Model (American, call option) as its valuation model to establish the expected value of all stock option grants.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are internally managed and therefore do not incur management fees payable to third parties.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United States Federal Income Taxes</w:t>
      </w:r>
    </w:p>
    <w:p>
      <w:pPr>
        <w:spacing w:after="0" w:line="225" w:lineRule="exact"/>
        <w:rPr>
          <w:sz w:val="20"/>
          <w:szCs w:val="20"/>
          <w:color w:val="auto"/>
        </w:rPr>
      </w:pPr>
    </w:p>
    <w:p>
      <w:pPr>
        <w:ind w:right="40" w:firstLine="414"/>
        <w:spacing w:after="0" w:line="257" w:lineRule="auto"/>
        <w:rPr>
          <w:sz w:val="20"/>
          <w:szCs w:val="20"/>
          <w:color w:val="auto"/>
        </w:rPr>
      </w:pPr>
      <w:r>
        <w:rPr>
          <w:rFonts w:ascii="Arial" w:cs="Arial" w:eastAsia="Arial" w:hAnsi="Arial"/>
          <w:sz w:val="18"/>
          <w:szCs w:val="18"/>
          <w:color w:val="auto"/>
        </w:rPr>
        <w:t>The Company has elected and intends to continue to qualify for the tax treatment applicable to RICs under Subchapter M of the Code and, among other things, intends to make the required distributions to its stockholders as specified therein. In order to qualify as a RIC, the Company is required to timely distribute to its stockholders at least 90% of investment company taxable income, as defined by the Code, for each year. Depending on the level of taxable income earned in a tax year, we may choose to carry forward taxable income in excess of current year distributions into the next tax year and pay a 4% excise tax on such income, to the extent required.</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firstLine="414"/>
        <w:spacing w:after="0" w:line="308" w:lineRule="auto"/>
        <w:rPr>
          <w:sz w:val="20"/>
          <w:szCs w:val="20"/>
          <w:color w:val="auto"/>
        </w:rPr>
      </w:pPr>
      <w:r>
        <w:rPr>
          <w:rFonts w:ascii="Arial" w:cs="Arial" w:eastAsia="Arial" w:hAnsi="Arial"/>
          <w:sz w:val="17"/>
          <w:szCs w:val="17"/>
          <w:color w:val="auto"/>
        </w:rPr>
        <w:t>Dividends and distributions to common stockholders are recorded on the ex-dividend date. The amount to be paid out as a dividend is determined by the Board of Directors each quarter and is generally based upon the earnings estimated by management for the period and year.</w:t>
      </w:r>
    </w:p>
    <w:p>
      <w:pPr>
        <w:spacing w:after="0" w:line="147" w:lineRule="exact"/>
        <w:rPr>
          <w:sz w:val="20"/>
          <w:szCs w:val="20"/>
          <w:color w:val="auto"/>
        </w:rPr>
      </w:pPr>
    </w:p>
    <w:p>
      <w:pPr>
        <w:ind w:right="280" w:firstLine="414"/>
        <w:spacing w:after="0" w:line="342" w:lineRule="auto"/>
        <w:rPr>
          <w:sz w:val="20"/>
          <w:szCs w:val="20"/>
          <w:color w:val="auto"/>
        </w:rPr>
      </w:pPr>
      <w:r>
        <w:rPr>
          <w:rFonts w:ascii="Arial" w:cs="Arial" w:eastAsia="Arial" w:hAnsi="Arial"/>
          <w:sz w:val="16"/>
          <w:szCs w:val="16"/>
          <w:color w:val="auto"/>
        </w:rPr>
        <w:t>We have adopted a dividend reinvestment plan that provides for reinvestment of our distributions on behalf of our stockholders, unless a stockholder “opts out” of the plan to receive cash in lieu of having their cash dividends automatically reinvested in additional shares of our common stock.</w:t>
      </w:r>
    </w:p>
    <w:p>
      <w:pPr>
        <w:spacing w:after="0" w:line="120"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firstLine="414"/>
        <w:spacing w:after="0" w:line="257" w:lineRule="auto"/>
        <w:rPr>
          <w:sz w:val="20"/>
          <w:szCs w:val="20"/>
          <w:color w:val="auto"/>
        </w:rPr>
      </w:pPr>
      <w:r>
        <w:rPr>
          <w:rFonts w:ascii="Arial" w:cs="Arial" w:eastAsia="Arial" w:hAnsi="Arial"/>
          <w:sz w:val="18"/>
          <w:szCs w:val="18"/>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 bearing debt and liabilities. Changes in interest rates can also affect, among other things, our ability to acquire and originate loans and securities and the value of our investment portfolio.</w:t>
      </w:r>
    </w:p>
    <w:p>
      <w:pPr>
        <w:spacing w:after="0" w:line="188" w:lineRule="exact"/>
        <w:rPr>
          <w:sz w:val="20"/>
          <w:szCs w:val="20"/>
          <w:color w:val="auto"/>
        </w:rPr>
      </w:pPr>
    </w:p>
    <w:p>
      <w:pPr>
        <w:jc w:val="both"/>
        <w:ind w:right="340" w:firstLine="414"/>
        <w:spacing w:after="0" w:line="259" w:lineRule="auto"/>
        <w:rPr>
          <w:sz w:val="20"/>
          <w:szCs w:val="20"/>
          <w:color w:val="auto"/>
        </w:rPr>
      </w:pPr>
      <w:r>
        <w:rPr>
          <w:rFonts w:ascii="Arial" w:cs="Arial" w:eastAsia="Arial" w:hAnsi="Arial"/>
          <w:sz w:val="18"/>
          <w:szCs w:val="18"/>
          <w:color w:val="auto"/>
        </w:rPr>
        <w:t>Our investment income is affected by fluctuations in various interest rates, including LIBOR and prime rates. As of March 31, 2013, approximately 84% of our loans at fair value in our portfolio were at floating rates with a spread to an interest rate index such as LIBOR or the prime rate. We generally expect that future portfolio investments will predominately be floating rate investments. As of March 31, 2013, we had $101.4 million of borrowings outstanding at a weighted average fixed rate of 8.19%.</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65" w:name="page66"/>
    <w:bookmarkEnd w:id="65"/>
    <w:p>
      <w:pPr>
        <w:ind w:right="220" w:firstLine="414"/>
        <w:spacing w:after="0" w:line="293" w:lineRule="auto"/>
        <w:rPr>
          <w:sz w:val="20"/>
          <w:szCs w:val="20"/>
          <w:color w:val="auto"/>
        </w:rPr>
      </w:pPr>
      <w:r>
        <w:rPr>
          <w:rFonts w:ascii="Arial" w:cs="Arial" w:eastAsia="Arial" w:hAnsi="Arial"/>
          <w:sz w:val="16"/>
          <w:szCs w:val="16"/>
          <w:color w:val="auto"/>
        </w:rPr>
        <w:t>Because we borrow money to make investments,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or lowering interest rates, the cost of the proportion of our debt associated with our Convertible Senior Notes would remain the same at 8.75% given that this debt is at a fixed rate. We would expect that an increase in the base rate index for our floating rate investment assets would increase our net investment income and that a decrease in the base rate index for such assets would decrease our net investment income (in either case, such increase/decrease may be limited by interest rate floors/minimums for certain investment assets).</w:t>
      </w:r>
    </w:p>
    <w:p>
      <w:pPr>
        <w:spacing w:after="0" w:line="165" w:lineRule="exact"/>
        <w:rPr>
          <w:sz w:val="20"/>
          <w:szCs w:val="20"/>
          <w:color w:val="auto"/>
        </w:rPr>
      </w:pPr>
    </w:p>
    <w:p>
      <w:pPr>
        <w:ind w:right="20" w:firstLine="414"/>
        <w:spacing w:after="0" w:line="302" w:lineRule="auto"/>
        <w:rPr>
          <w:sz w:val="20"/>
          <w:szCs w:val="20"/>
          <w:color w:val="auto"/>
        </w:rPr>
      </w:pPr>
      <w:r>
        <w:rPr>
          <w:rFonts w:ascii="Arial" w:cs="Arial" w:eastAsia="Arial" w:hAnsi="Arial"/>
          <w:sz w:val="16"/>
          <w:szCs w:val="16"/>
          <w:color w:val="auto"/>
        </w:rPr>
        <w:t>We have analyzed the potential impact of changes in interest rates on interest income net of interest expense. Assuming that our balance sheet at March 31, 2013 was to remain constant and no actions were taken to alter the existing interest rate sensitivity, a hypothetical increase of a 1% change in interest rates would correspondingly increase net interest income proportionately by approximately $570,000 over a one-year period. Conversely, a hypothetical decrease of a 1% change in interest rates would correspondingly decrease net interest income proportionately by approximately $376,000 over a one-year period.</w:t>
      </w:r>
    </w:p>
    <w:p>
      <w:pPr>
        <w:spacing w:after="0" w:line="154" w:lineRule="exact"/>
        <w:rPr>
          <w:sz w:val="20"/>
          <w:szCs w:val="20"/>
          <w:color w:val="auto"/>
        </w:rPr>
      </w:pPr>
    </w:p>
    <w:p>
      <w:pPr>
        <w:ind w:right="20" w:firstLine="414"/>
        <w:spacing w:after="0" w:line="259" w:lineRule="auto"/>
        <w:rPr>
          <w:sz w:val="20"/>
          <w:szCs w:val="20"/>
          <w:color w:val="auto"/>
        </w:rPr>
      </w:pPr>
      <w:r>
        <w:rPr>
          <w:rFonts w:ascii="Arial" w:cs="Arial" w:eastAsia="Arial" w:hAnsi="Arial"/>
          <w:sz w:val="18"/>
          <w:szCs w:val="18"/>
          <w:color w:val="auto"/>
        </w:rPr>
        <w:t>Although management believes that this measure is indicative of our sensitivity to interest rate changes, it does not adjust for potential changes in credit quality, size and composition of the assets on the balance sheet and other business developments that could affect a net change in assets resulting from operations or net income. Accordingly, no assurances can be given that actual results would not materially differ from the potential outcome simulated by this estimate.</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did not hold any derivative financial instruments for hedging purposes as of March 31, 2013.</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Portfolio Valuation</w:t>
      </w:r>
    </w:p>
    <w:p>
      <w:pPr>
        <w:spacing w:after="0" w:line="225" w:lineRule="exact"/>
        <w:rPr>
          <w:sz w:val="20"/>
          <w:szCs w:val="20"/>
          <w:color w:val="auto"/>
        </w:rPr>
      </w:pPr>
    </w:p>
    <w:p>
      <w:pPr>
        <w:ind w:firstLine="414"/>
        <w:spacing w:after="0" w:line="270" w:lineRule="auto"/>
        <w:rPr>
          <w:sz w:val="20"/>
          <w:szCs w:val="20"/>
          <w:color w:val="auto"/>
        </w:rPr>
      </w:pPr>
      <w:r>
        <w:rPr>
          <w:rFonts w:ascii="Arial" w:cs="Arial" w:eastAsia="Arial" w:hAnsi="Arial"/>
          <w:sz w:val="17"/>
          <w:szCs w:val="17"/>
          <w:color w:val="auto"/>
        </w:rPr>
        <w:t>We carry our investments at fair value, as determined in good faith by our Board of Directors pursuant to a valuation methodology approved by our Board of Directors. Investments for which market quotations are generally readily available are generally valued at such market quotations. Investments for which there is not a readily available market value are valued at fair value as determined in good faith by our Board of Directors under a valuation policy and consistently applied valuation process. However, due to the inherent uncertainty of determining the fair value of investments that cannot be marked to market, the fair value of our investments may differ materially from the values that would have been used had a ready market existed for such investments. In addition, changes in the market environment and other events that may occur over the life of the investments may cause the value realized on these investments to be different than the valuations that are assigned. The types of factors that we may take into account in fair value pricing of our investments include, as relevant, the nature and realizable value of any collateral, third party valuations, the portfolio company’s ability to make payments and its earnings and discounted cash flow, the markets in which the portfolio company does business, comparison to publicly-traded securities, recent sales of or offers to buy comparable companies, and other relevant factors.</w:t>
      </w:r>
    </w:p>
    <w:p>
      <w:pPr>
        <w:spacing w:after="0" w:line="17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2012 we engaged an independent valuation firm, to provide a third-party review of our CLO fair value model relative to its functionality, model inputs and calculations as a reasonable method to determine CLO fair values, in the absence of Level I or Level II trading activity or observable market inputs. The independent valuation firm concluded that our CLO model appropriately factors in all the necessary inputs required to build a CLO equity cash flow for fair value purposes and that the inputs were being employed correctly.</w:t>
      </w:r>
    </w:p>
    <w:p>
      <w:pPr>
        <w:spacing w:after="0" w:line="187"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The Company has engaged an independent valuation firm to provide third party valuation consulting services to the Company’s Board of Directors. Each quarter, the independent valuation firm will perform third party valuations on the Company’s investments on illiquid securities such that they are reviewed at least once during a trailing 12 month period. These third party valuation estimates were considered as one of the relevant data inputs in the Company’s determination of fair value. The Board of Directors intends to continue to engage an independent valuation firm in the future to provide certain valuation services, including the review of certain portfolio assets, as part of the quarterly and annual year-end valuation process.</w:t>
      </w:r>
    </w:p>
    <w:p>
      <w:pPr>
        <w:spacing w:after="0" w:line="16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right="200" w:firstLine="414"/>
        <w:spacing w:after="0" w:line="279" w:lineRule="auto"/>
        <w:rPr>
          <w:sz w:val="20"/>
          <w:szCs w:val="20"/>
          <w:color w:val="auto"/>
        </w:rPr>
      </w:pPr>
      <w:r>
        <w:rPr>
          <w:rFonts w:ascii="Arial" w:cs="Arial" w:eastAsia="Arial" w:hAnsi="Arial"/>
          <w:sz w:val="17"/>
          <w:szCs w:val="17"/>
          <w:color w:val="auto"/>
        </w:rPr>
        <w:t>The Company’s management, under the supervision and with the participation of various members of management, including our CEO and our CFO, has evaluated the effectiveness of the design and operation of our disclosure controls and procedures (as defined in Rule 13a-15(e) or Rule 15d-15(e) of the Exchange Act) as of the end of the period covered by this report. Based upon that evaluation, our CEO and CFO have concluded that our current disclosure controls and procedures are effective as of the end of the period covered by this Quarterly Report on Form 10-Q.</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66" w:name="page67"/>
    <w:bookmarkEnd w:id="66"/>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firstLine="414"/>
        <w:spacing w:after="0" w:line="277" w:lineRule="auto"/>
        <w:rPr>
          <w:sz w:val="20"/>
          <w:szCs w:val="20"/>
          <w:color w:val="auto"/>
        </w:rPr>
      </w:pPr>
      <w:r>
        <w:rPr>
          <w:rFonts w:ascii="Arial" w:cs="Arial" w:eastAsia="Arial" w:hAnsi="Arial"/>
          <w:sz w:val="18"/>
          <w:szCs w:val="18"/>
          <w:color w:val="auto"/>
        </w:rPr>
        <w:t>During the quarter ended March 31, 2013, the Company had no changes in its internal control over financial reporting that have materially affected, or are reasonably likely to materially affect, the Company’s internal control over financial reporting.</w:t>
      </w:r>
    </w:p>
    <w:p>
      <w:pPr>
        <w:spacing w:after="0" w:line="3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8" w:right="399" w:bottom="1440" w:gutter="0" w:footer="0" w:header="0"/>
        </w:sectPr>
      </w:pPr>
    </w:p>
    <w:bookmarkStart w:id="67" w:name="page68"/>
    <w:bookmarkEnd w:id="67"/>
    <w:p>
      <w:pPr>
        <w:jc w:val="center"/>
        <w:ind w:right="-17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160" w:firstLine="414"/>
        <w:spacing w:after="0" w:line="308" w:lineRule="auto"/>
        <w:rPr>
          <w:sz w:val="20"/>
          <w:szCs w:val="20"/>
          <w:color w:val="auto"/>
        </w:rPr>
      </w:pPr>
      <w:r>
        <w:rPr>
          <w:rFonts w:ascii="Arial" w:cs="Arial" w:eastAsia="Arial" w:hAnsi="Arial"/>
          <w:sz w:val="17"/>
          <w:szCs w:val="17"/>
          <w:color w:val="auto"/>
        </w:rPr>
        <w:t>The Company is not currently a party to any material legal proceedings, other than routine litigation arising in the ordinary course of business. Such litigation is not expected to have a material adverse effect on the business, financial condition, or results of the Company’s operations.</w:t>
      </w:r>
    </w:p>
    <w:p>
      <w:pPr>
        <w:spacing w:after="0" w:line="143"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ind w:firstLine="414"/>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Part I, “Item 1A. Risk Factors” in our Annual Report on Form 10-K for the year ended December 31, 2012.</w:t>
      </w:r>
    </w:p>
    <w:p>
      <w:pPr>
        <w:spacing w:after="0" w:line="166"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9" w:lineRule="exact"/>
        <w:rPr>
          <w:sz w:val="20"/>
          <w:szCs w:val="20"/>
          <w:color w:val="auto"/>
        </w:rPr>
      </w:pPr>
    </w:p>
    <w:p>
      <w:pPr>
        <w:ind w:right="20" w:firstLine="414"/>
        <w:spacing w:after="0" w:line="286" w:lineRule="auto"/>
        <w:rPr>
          <w:sz w:val="20"/>
          <w:szCs w:val="20"/>
          <w:color w:val="auto"/>
        </w:rPr>
      </w:pPr>
      <w:r>
        <w:rPr>
          <w:rFonts w:ascii="Arial" w:cs="Arial" w:eastAsia="Arial" w:hAnsi="Arial"/>
          <w:sz w:val="17"/>
          <w:szCs w:val="17"/>
          <w:color w:val="auto"/>
        </w:rPr>
        <w:t>While we did not engage in any sales of unregistered securities during the three months ended March 31, 2013, we issued a total of 23,572 shares of common stock under our dividend reinvestment plan (“DRIP”). This issuance was not subject to the registration requirements of the Securities Act of 1933. The aggregate value of the shares of our common stock issued under our DRIP was approximately $238,000.</w:t>
      </w:r>
    </w:p>
    <w:p>
      <w:pPr>
        <w:spacing w:after="0" w:line="162"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Reference is made to the Exhibit List filed as a part of this report beginning on page E-1. Each of such exhibits is incorporated by reference herein.</w:t>
      </w:r>
    </w:p>
    <w:p>
      <w:pPr>
        <w:spacing w:after="0" w:line="200" w:lineRule="exact"/>
        <w:rPr>
          <w:sz w:val="20"/>
          <w:szCs w:val="20"/>
          <w:color w:val="auto"/>
        </w:rPr>
      </w:pPr>
    </w:p>
    <w:p>
      <w:pPr>
        <w:spacing w:after="0" w:line="26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905" w:right="419" w:bottom="1440" w:gutter="0" w:footer="0" w:header="0"/>
        </w:sectPr>
      </w:pPr>
    </w:p>
    <w:bookmarkStart w:id="68" w:name="page69"/>
    <w:bookmarkEnd w:id="68"/>
    <w:p>
      <w:pPr>
        <w:ind w:left="54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60" w:firstLine="41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7760" w:type="dxa"/>
            <w:vAlign w:val="bottom"/>
            <w:gridSpan w:val="2"/>
          </w:tcPr>
          <w:p>
            <w:pPr>
              <w:ind w:left="2300"/>
              <w:spacing w:after="0"/>
              <w:rPr>
                <w:sz w:val="20"/>
                <w:szCs w:val="20"/>
                <w:color w:val="auto"/>
              </w:rPr>
            </w:pPr>
            <w:r>
              <w:rPr>
                <w:rFonts w:ascii="Arial" w:cs="Arial" w:eastAsia="Arial" w:hAnsi="Arial"/>
                <w:sz w:val="18"/>
                <w:szCs w:val="18"/>
                <w:color w:val="auto"/>
              </w:rPr>
              <w:t>KCAP FINANCIAL, INC.</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May 6, 2013</w:t>
            </w:r>
          </w:p>
        </w:tc>
        <w:tc>
          <w:tcPr>
            <w:tcW w:w="2640" w:type="dxa"/>
            <w:vAlign w:val="bottom"/>
          </w:tcPr>
          <w:p>
            <w:pPr>
              <w:ind w:left="230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9"/>
              </w:rPr>
              <w:t>/s/ Dayl W. Pearson</w:t>
            </w:r>
          </w:p>
        </w:tc>
      </w:tr>
      <w:tr>
        <w:trPr>
          <w:trHeight w:val="195"/>
        </w:trPr>
        <w:tc>
          <w:tcPr>
            <w:tcW w:w="36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120" w:type="dxa"/>
            <w:vAlign w:val="bottom"/>
          </w:tcPr>
          <w:p>
            <w:pPr>
              <w:jc w:val="center"/>
              <w:ind w:left="10"/>
              <w:spacing w:after="0" w:line="195" w:lineRule="exact"/>
              <w:rPr>
                <w:sz w:val="20"/>
                <w:szCs w:val="20"/>
                <w:color w:val="auto"/>
              </w:rPr>
            </w:pPr>
            <w:r>
              <w:rPr>
                <w:rFonts w:ascii="Arial" w:cs="Arial" w:eastAsia="Arial" w:hAnsi="Arial"/>
                <w:sz w:val="18"/>
                <w:szCs w:val="18"/>
                <w:color w:val="auto"/>
                <w:w w:val="90"/>
              </w:rPr>
              <w:t>Dayl W. Pearson</w:t>
            </w:r>
          </w:p>
        </w:tc>
      </w:tr>
      <w:tr>
        <w:trPr>
          <w:trHeight w:val="216"/>
        </w:trPr>
        <w:tc>
          <w:tcPr>
            <w:tcW w:w="36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120" w:type="dxa"/>
            <w:vAlign w:val="bottom"/>
          </w:tcPr>
          <w:p>
            <w:pPr>
              <w:jc w:val="center"/>
              <w:ind w:left="10"/>
              <w:spacing w:after="0"/>
              <w:rPr>
                <w:sz w:val="20"/>
                <w:szCs w:val="20"/>
                <w:color w:val="auto"/>
              </w:rPr>
            </w:pPr>
            <w:r>
              <w:rPr>
                <w:rFonts w:ascii="Arial" w:cs="Arial" w:eastAsia="Arial" w:hAnsi="Arial"/>
                <w:sz w:val="18"/>
                <w:szCs w:val="18"/>
                <w:i w:val="1"/>
                <w:iCs w:val="1"/>
                <w:color w:val="auto"/>
                <w:w w:val="91"/>
              </w:rPr>
              <w:t>President and Chief Executive Officer</w:t>
            </w:r>
          </w:p>
        </w:tc>
      </w:tr>
      <w:tr>
        <w:trPr>
          <w:trHeight w:val="230"/>
        </w:trPr>
        <w:tc>
          <w:tcPr>
            <w:tcW w:w="36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120" w:type="dxa"/>
            <w:vAlign w:val="bottom"/>
          </w:tcPr>
          <w:p>
            <w:pPr>
              <w:jc w:val="center"/>
              <w:ind w:left="10"/>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May 6, 2013</w:t>
            </w:r>
          </w:p>
        </w:tc>
        <w:tc>
          <w:tcPr>
            <w:tcW w:w="2640" w:type="dxa"/>
            <w:vAlign w:val="bottom"/>
          </w:tcPr>
          <w:p>
            <w:pPr>
              <w:ind w:left="2300"/>
              <w:spacing w:after="0"/>
              <w:rPr>
                <w:sz w:val="20"/>
                <w:szCs w:val="20"/>
                <w:color w:val="auto"/>
              </w:rPr>
            </w:pPr>
            <w:r>
              <w:rPr>
                <w:rFonts w:ascii="Arial" w:cs="Arial" w:eastAsia="Arial" w:hAnsi="Arial"/>
                <w:sz w:val="18"/>
                <w:szCs w:val="18"/>
                <w:color w:val="auto"/>
              </w:rPr>
              <w:t>By</w:t>
            </w:r>
          </w:p>
        </w:tc>
        <w:tc>
          <w:tcPr>
            <w:tcW w:w="5120" w:type="dxa"/>
            <w:vAlign w:val="bottom"/>
          </w:tcPr>
          <w:p>
            <w:pPr>
              <w:jc w:val="center"/>
              <w:ind w:left="10"/>
              <w:spacing w:after="0"/>
              <w:rPr>
                <w:sz w:val="20"/>
                <w:szCs w:val="20"/>
                <w:color w:val="auto"/>
              </w:rPr>
            </w:pPr>
            <w:r>
              <w:rPr>
                <w:rFonts w:ascii="Arial" w:cs="Arial" w:eastAsia="Arial" w:hAnsi="Arial"/>
                <w:sz w:val="18"/>
                <w:szCs w:val="18"/>
                <w:color w:val="auto"/>
                <w:w w:val="94"/>
              </w:rPr>
              <w:t>/s/ Edward U. Gilpin</w:t>
            </w:r>
          </w:p>
        </w:tc>
      </w:tr>
    </w:tbl>
    <w:p>
      <w:pPr>
        <w:jc w:val="center"/>
        <w:ind w:left="6400"/>
        <w:spacing w:after="0"/>
        <w:rPr>
          <w:sz w:val="20"/>
          <w:szCs w:val="20"/>
          <w:color w:val="auto"/>
        </w:rPr>
      </w:pPr>
      <w:r>
        <w:rPr>
          <w:rFonts w:ascii="Arial" w:cs="Arial" w:eastAsia="Arial" w:hAnsi="Arial"/>
          <w:sz w:val="18"/>
          <w:szCs w:val="18"/>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32499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jc w:val="center"/>
        <w:ind w:left="640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64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618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3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4"/>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160" w:type="dxa"/>
            <w:vAlign w:val="bottom"/>
            <w:gridSpan w:val="3"/>
          </w:tcPr>
          <w:p>
            <w:pPr>
              <w:spacing w:after="0"/>
              <w:rPr>
                <w:sz w:val="20"/>
                <w:szCs w:val="20"/>
                <w:color w:val="auto"/>
              </w:rPr>
            </w:pPr>
            <w:r>
              <w:rPr>
                <w:rFonts w:ascii="Arial" w:cs="Arial" w:eastAsia="Arial" w:hAnsi="Arial"/>
                <w:sz w:val="18"/>
                <w:szCs w:val="18"/>
                <w:b w:val="1"/>
                <w:bCs w:val="1"/>
                <w:color w:val="auto"/>
              </w:rPr>
              <w:t>Description of Document</w:t>
            </w:r>
          </w:p>
        </w:tc>
      </w:tr>
      <w:tr>
        <w:trPr>
          <w:trHeight w:val="411"/>
        </w:trPr>
        <w:tc>
          <w:tcPr>
            <w:tcW w:w="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101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5"/>
              </w:rPr>
              <w:t>Certification of Chief Executive Officer Pursuant to Rule 13a-14(a) under the Securities Exchange Act of 1934, as adopted pursuant to</w:t>
            </w:r>
          </w:p>
        </w:tc>
      </w:tr>
      <w:tr>
        <w:trPr>
          <w:trHeight w:val="230"/>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60" w:type="dxa"/>
            <w:vAlign w:val="bottom"/>
            <w:gridSpan w:val="3"/>
          </w:tcPr>
          <w:p>
            <w:pPr>
              <w:spacing w:after="0"/>
              <w:rPr>
                <w:sz w:val="20"/>
                <w:szCs w:val="20"/>
                <w:color w:val="auto"/>
              </w:rPr>
            </w:pPr>
            <w:r>
              <w:rPr>
                <w:rFonts w:ascii="Arial" w:cs="Arial" w:eastAsia="Arial" w:hAnsi="Arial"/>
                <w:sz w:val="18"/>
                <w:szCs w:val="18"/>
                <w:color w:val="auto"/>
              </w:rPr>
              <w:t>Section 302 of the Sarbanes-Oxley Act of 2002.</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10160" w:type="dxa"/>
            <w:vAlign w:val="bottom"/>
            <w:gridSpan w:val="3"/>
          </w:tcPr>
          <w:p>
            <w:pPr>
              <w:spacing w:after="0"/>
              <w:rPr>
                <w:sz w:val="20"/>
                <w:szCs w:val="20"/>
                <w:color w:val="auto"/>
              </w:rPr>
            </w:pPr>
            <w:r>
              <w:rPr>
                <w:rFonts w:ascii="Arial" w:cs="Arial" w:eastAsia="Arial" w:hAnsi="Arial"/>
                <w:sz w:val="18"/>
                <w:szCs w:val="18"/>
                <w:color w:val="auto"/>
                <w:w w:val="95"/>
              </w:rPr>
              <w:t>Certification of Chief Financial Officer Pursuant to Rule 13a-14(a) under the Securities Exchange Act of 1934, as adopted pursuant to</w:t>
            </w:r>
          </w:p>
        </w:tc>
      </w:tr>
      <w:tr>
        <w:trPr>
          <w:trHeight w:val="230"/>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60" w:type="dxa"/>
            <w:vAlign w:val="bottom"/>
            <w:gridSpan w:val="3"/>
          </w:tcPr>
          <w:p>
            <w:pPr>
              <w:spacing w:after="0"/>
              <w:rPr>
                <w:sz w:val="20"/>
                <w:szCs w:val="20"/>
                <w:color w:val="auto"/>
              </w:rPr>
            </w:pPr>
            <w:r>
              <w:rPr>
                <w:rFonts w:ascii="Arial" w:cs="Arial" w:eastAsia="Arial" w:hAnsi="Arial"/>
                <w:sz w:val="18"/>
                <w:szCs w:val="18"/>
                <w:color w:val="auto"/>
              </w:rPr>
              <w:t>Section 302 of the Sarbanes-Oxley Act of 2002.</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10160" w:type="dxa"/>
            <w:vAlign w:val="bottom"/>
            <w:gridSpan w:val="3"/>
          </w:tcPr>
          <w:p>
            <w:pPr>
              <w:spacing w:after="0"/>
              <w:rPr>
                <w:sz w:val="20"/>
                <w:szCs w:val="20"/>
                <w:color w:val="auto"/>
              </w:rPr>
            </w:pPr>
            <w:r>
              <w:rPr>
                <w:rFonts w:ascii="Arial" w:cs="Arial" w:eastAsia="Arial" w:hAnsi="Arial"/>
                <w:sz w:val="18"/>
                <w:szCs w:val="18"/>
                <w:color w:val="auto"/>
                <w:w w:val="94"/>
              </w:rPr>
              <w:t>Certification of Chief Executive Officer Pursuant to 18 U. S. C. 1350, as adopted pursuant to Section 906 of the Sarbanes-Oxley Act of</w:t>
            </w:r>
          </w:p>
        </w:tc>
      </w:tr>
      <w:tr>
        <w:trPr>
          <w:trHeight w:val="230"/>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2002.</w:t>
            </w:r>
          </w:p>
        </w:tc>
        <w:tc>
          <w:tcPr>
            <w:tcW w:w="114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4"/>
                <w:szCs w:val="24"/>
                <w:color w:val="auto"/>
              </w:rPr>
            </w:pPr>
          </w:p>
        </w:tc>
        <w:tc>
          <w:tcPr>
            <w:tcW w:w="10160" w:type="dxa"/>
            <w:vAlign w:val="bottom"/>
            <w:gridSpan w:val="3"/>
          </w:tcPr>
          <w:p>
            <w:pPr>
              <w:spacing w:after="0"/>
              <w:rPr>
                <w:sz w:val="20"/>
                <w:szCs w:val="20"/>
                <w:color w:val="auto"/>
              </w:rPr>
            </w:pPr>
            <w:r>
              <w:rPr>
                <w:rFonts w:ascii="Arial" w:cs="Arial" w:eastAsia="Arial" w:hAnsi="Arial"/>
                <w:sz w:val="18"/>
                <w:szCs w:val="18"/>
                <w:color w:val="auto"/>
                <w:w w:val="95"/>
              </w:rPr>
              <w:t>Certification of Chief Financial Officer Pursuant to 18 U. S. C. 1350, as adopted pursuant to Section 906 of the Sarbanes-Oxley Act of</w:t>
            </w:r>
          </w:p>
        </w:tc>
      </w:tr>
      <w:tr>
        <w:trPr>
          <w:trHeight w:val="230"/>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2002.</w:t>
            </w:r>
          </w:p>
        </w:tc>
        <w:tc>
          <w:tcPr>
            <w:tcW w:w="114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270"/>
        </w:trPr>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5040" w:type="dxa"/>
            <w:vAlign w:val="bottom"/>
          </w:tcPr>
          <w:p>
            <w:pPr>
              <w:spacing w:after="0"/>
              <w:rPr>
                <w:sz w:val="23"/>
                <w:szCs w:val="23"/>
                <w:color w:val="auto"/>
              </w:rPr>
            </w:pPr>
          </w:p>
        </w:tc>
      </w:tr>
    </w:tbl>
    <w:p>
      <w:pPr>
        <w:spacing w:after="0" w:line="296" w:lineRule="exact"/>
        <w:rPr>
          <w:sz w:val="20"/>
          <w:szCs w:val="20"/>
          <w:color w:val="auto"/>
        </w:rPr>
      </w:pPr>
    </w:p>
    <w:p>
      <w:pPr>
        <w:ind w:right="5180" w:firstLine="8"/>
        <w:spacing w:after="0" w:line="277" w:lineRule="auto"/>
        <w:tabs>
          <w:tab w:leader="none" w:pos="459"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contract or agreement. ** Submitted herewith.</w:t>
      </w: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4"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 Dayl W. Pearson, certify that:</w:t>
      </w:r>
    </w:p>
    <w:p>
      <w:pPr>
        <w:spacing w:after="0" w:line="225" w:lineRule="exact"/>
        <w:rPr>
          <w:sz w:val="20"/>
          <w:szCs w:val="20"/>
          <w:color w:val="auto"/>
        </w:rPr>
      </w:pPr>
    </w:p>
    <w:p>
      <w:pPr>
        <w:ind w:left="600" w:hanging="178"/>
        <w:spacing w:after="0"/>
        <w:tabs>
          <w:tab w:leader="none" w:pos="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2013 of KCAP Financial, Inc. (the “registrant”);</w:t>
      </w:r>
    </w:p>
    <w:p>
      <w:pPr>
        <w:spacing w:after="0" w:line="225" w:lineRule="exact"/>
        <w:rPr>
          <w:rFonts w:ascii="Arial" w:cs="Arial" w:eastAsia="Arial" w:hAnsi="Arial"/>
          <w:sz w:val="18"/>
          <w:szCs w:val="18"/>
          <w:color w:val="auto"/>
        </w:rPr>
      </w:pPr>
    </w:p>
    <w:p>
      <w:pPr>
        <w:ind w:right="280" w:firstLine="422"/>
        <w:spacing w:after="0" w:line="342" w:lineRule="auto"/>
        <w:tabs>
          <w:tab w:leader="none" w:pos="594"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20" w:firstLine="422"/>
        <w:spacing w:after="0" w:line="277" w:lineRule="auto"/>
        <w:tabs>
          <w:tab w:leader="none" w:pos="594"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22"/>
        <w:spacing w:after="0" w:line="264" w:lineRule="auto"/>
        <w:tabs>
          <w:tab w:leader="none" w:pos="594"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20" w:firstLine="422"/>
        <w:spacing w:after="0" w:line="264" w:lineRule="auto"/>
        <w:tabs>
          <w:tab w:leader="none" w:pos="659"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firstLine="422"/>
        <w:spacing w:after="0" w:line="264" w:lineRule="auto"/>
        <w:tabs>
          <w:tab w:leader="none" w:pos="669"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0" w:firstLine="422"/>
        <w:spacing w:after="0" w:line="277" w:lineRule="auto"/>
        <w:tabs>
          <w:tab w:leader="none" w:pos="659" w:val="left"/>
        </w:tabs>
        <w:numPr>
          <w:ilvl w:val="0"/>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00" w:firstLine="422"/>
        <w:spacing w:after="0" w:line="264" w:lineRule="auto"/>
        <w:tabs>
          <w:tab w:leader="none" w:pos="669"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422"/>
        <w:spacing w:after="0" w:line="308" w:lineRule="auto"/>
        <w:tabs>
          <w:tab w:leader="none" w:pos="594"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440" w:firstLine="422"/>
        <w:spacing w:after="0" w:line="277" w:lineRule="auto"/>
        <w:tabs>
          <w:tab w:leader="none" w:pos="659"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422"/>
        <w:spacing w:after="0" w:line="277" w:lineRule="auto"/>
        <w:tabs>
          <w:tab w:leader="none" w:pos="669"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6740" w:val="left"/>
          <w:tab w:leader="none" w:pos="8320" w:val="left"/>
        </w:tabs>
        <w:rPr>
          <w:sz w:val="20"/>
          <w:szCs w:val="20"/>
          <w:color w:val="auto"/>
        </w:rPr>
      </w:pPr>
      <w:r>
        <w:rPr>
          <w:rFonts w:ascii="Arial" w:cs="Arial" w:eastAsia="Arial" w:hAnsi="Arial"/>
          <w:sz w:val="18"/>
          <w:szCs w:val="18"/>
          <w:color w:val="auto"/>
        </w:rPr>
        <w:t>Date: May 6,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 S / DAYL W. PEARSON</w:t>
      </w:r>
    </w:p>
    <w:p>
      <w:pPr>
        <w:spacing w:after="0" w:line="23"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Dayl W.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-130810</wp:posOffset>
            </wp:positionV>
            <wp:extent cx="27444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 Edward U. Gilpin, certify that:</w:t>
      </w:r>
    </w:p>
    <w:p>
      <w:pPr>
        <w:spacing w:after="0" w:line="225" w:lineRule="exact"/>
        <w:rPr>
          <w:sz w:val="20"/>
          <w:szCs w:val="20"/>
          <w:color w:val="auto"/>
        </w:rPr>
      </w:pPr>
    </w:p>
    <w:p>
      <w:pPr>
        <w:ind w:left="600" w:hanging="178"/>
        <w:spacing w:after="0"/>
        <w:tabs>
          <w:tab w:leader="none" w:pos="6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2013 of KCAP Financial, Inc. (the “registrant”);</w:t>
      </w:r>
    </w:p>
    <w:p>
      <w:pPr>
        <w:spacing w:after="0" w:line="225" w:lineRule="exact"/>
        <w:rPr>
          <w:rFonts w:ascii="Arial" w:cs="Arial" w:eastAsia="Arial" w:hAnsi="Arial"/>
          <w:sz w:val="18"/>
          <w:szCs w:val="18"/>
          <w:color w:val="auto"/>
        </w:rPr>
      </w:pPr>
    </w:p>
    <w:p>
      <w:pPr>
        <w:ind w:right="280" w:firstLine="422"/>
        <w:spacing w:after="0" w:line="342" w:lineRule="auto"/>
        <w:tabs>
          <w:tab w:leader="none" w:pos="594"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20" w:firstLine="422"/>
        <w:spacing w:after="0" w:line="277" w:lineRule="auto"/>
        <w:tabs>
          <w:tab w:leader="none" w:pos="594"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22"/>
        <w:spacing w:after="0" w:line="264" w:lineRule="auto"/>
        <w:tabs>
          <w:tab w:leader="none" w:pos="594"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20" w:firstLine="422"/>
        <w:spacing w:after="0" w:line="264" w:lineRule="auto"/>
        <w:tabs>
          <w:tab w:leader="none" w:pos="659"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firstLine="422"/>
        <w:spacing w:after="0" w:line="264" w:lineRule="auto"/>
        <w:tabs>
          <w:tab w:leader="none" w:pos="669"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0" w:firstLine="422"/>
        <w:spacing w:after="0" w:line="277" w:lineRule="auto"/>
        <w:tabs>
          <w:tab w:leader="none" w:pos="659" w:val="left"/>
        </w:tabs>
        <w:numPr>
          <w:ilvl w:val="0"/>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00" w:firstLine="422"/>
        <w:spacing w:after="0" w:line="264" w:lineRule="auto"/>
        <w:tabs>
          <w:tab w:leader="none" w:pos="669"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422"/>
        <w:spacing w:after="0" w:line="308" w:lineRule="auto"/>
        <w:tabs>
          <w:tab w:leader="none" w:pos="594"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440" w:firstLine="422"/>
        <w:spacing w:after="0" w:line="277" w:lineRule="auto"/>
        <w:tabs>
          <w:tab w:leader="none" w:pos="659"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422"/>
        <w:spacing w:after="0" w:line="277" w:lineRule="auto"/>
        <w:tabs>
          <w:tab w:leader="none" w:pos="669"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5720" w:val="left"/>
          <w:tab w:leader="none" w:pos="7800" w:val="left"/>
        </w:tabs>
        <w:rPr>
          <w:sz w:val="20"/>
          <w:szCs w:val="20"/>
          <w:color w:val="auto"/>
        </w:rPr>
      </w:pPr>
      <w:r>
        <w:rPr>
          <w:rFonts w:ascii="Arial" w:cs="Arial" w:eastAsia="Arial" w:hAnsi="Arial"/>
          <w:sz w:val="18"/>
          <w:szCs w:val="18"/>
          <w:color w:val="auto"/>
        </w:rPr>
        <w:t>Date: May 6,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EDWARD U. GILPIN</w:t>
      </w:r>
    </w:p>
    <w:p>
      <w:pPr>
        <w:spacing w:after="0" w:line="23" w:lineRule="exact"/>
        <w:rPr>
          <w:sz w:val="20"/>
          <w:szCs w:val="20"/>
          <w:color w:val="auto"/>
        </w:rPr>
      </w:pPr>
    </w:p>
    <w:p>
      <w:pPr>
        <w:jc w:val="center"/>
        <w:ind w:left="6160"/>
        <w:spacing w:after="0"/>
        <w:rPr>
          <w:sz w:val="20"/>
          <w:szCs w:val="20"/>
          <w:color w:val="auto"/>
        </w:rPr>
      </w:pPr>
      <w:r>
        <w:rPr>
          <w:rFonts w:ascii="Arial" w:cs="Arial" w:eastAsia="Arial" w:hAnsi="Arial"/>
          <w:sz w:val="18"/>
          <w:szCs w:val="18"/>
          <w:b w:val="1"/>
          <w:bCs w:val="1"/>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jc w:val="center"/>
        <w:ind w:left="616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16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00" w:firstLine="414"/>
        <w:spacing w:after="0" w:line="264" w:lineRule="auto"/>
        <w:rPr>
          <w:sz w:val="20"/>
          <w:szCs w:val="20"/>
          <w:color w:val="auto"/>
        </w:rPr>
      </w:pPr>
      <w:r>
        <w:rPr>
          <w:rFonts w:ascii="Arial" w:cs="Arial" w:eastAsia="Arial" w:hAnsi="Arial"/>
          <w:sz w:val="18"/>
          <w:szCs w:val="18"/>
          <w:color w:val="auto"/>
        </w:rPr>
        <w:t>In connection with the accompanying Quarterly Report of KCAP Financial, Inc. (the “Company”) on Form 10-Q for the quarter ended March 31, 2013 (the “Report”), I, Dayl W. Pearson, President and Chief Executive Officer of the Company, certify, pursuant to 18 U.S.C. §1350, as adopted pursuant to §906 of the Sarbanes-Oxley Act of 2002, that:</w:t>
      </w:r>
    </w:p>
    <w:p>
      <w:pPr>
        <w:spacing w:after="0" w:line="181" w:lineRule="exact"/>
        <w:rPr>
          <w:sz w:val="20"/>
          <w:szCs w:val="20"/>
          <w:color w:val="auto"/>
        </w:rPr>
      </w:pPr>
    </w:p>
    <w:p>
      <w:pPr>
        <w:ind w:left="680" w:hanging="258"/>
        <w:spacing w:after="0"/>
        <w:tabs>
          <w:tab w:leader="none" w:pos="6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36" w:lineRule="exact"/>
        <w:rPr>
          <w:rFonts w:ascii="Arial" w:cs="Arial" w:eastAsia="Arial" w:hAnsi="Arial"/>
          <w:sz w:val="17"/>
          <w:szCs w:val="17"/>
          <w:color w:val="auto"/>
        </w:rPr>
      </w:pPr>
    </w:p>
    <w:p>
      <w:pPr>
        <w:ind w:left="680" w:hanging="258"/>
        <w:spacing w:after="0"/>
        <w:tabs>
          <w:tab w:leader="none" w:pos="6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tabs>
          <w:tab w:leader="none" w:pos="6740" w:val="left"/>
          <w:tab w:leader="none" w:pos="8320" w:val="left"/>
        </w:tabs>
        <w:rPr>
          <w:sz w:val="20"/>
          <w:szCs w:val="20"/>
          <w:color w:val="auto"/>
        </w:rPr>
      </w:pPr>
      <w:r>
        <w:rPr>
          <w:rFonts w:ascii="Arial" w:cs="Arial" w:eastAsia="Arial" w:hAnsi="Arial"/>
          <w:sz w:val="18"/>
          <w:szCs w:val="18"/>
          <w:color w:val="auto"/>
        </w:rPr>
        <w:t>Date: May 6,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 S / DAYL W. PEARSON</w:t>
      </w:r>
    </w:p>
    <w:p>
      <w:pPr>
        <w:spacing w:after="0" w:line="23"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Dayl W.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-130810</wp:posOffset>
            </wp:positionV>
            <wp:extent cx="27444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414"/>
        <w:spacing w:after="0" w:line="264" w:lineRule="auto"/>
        <w:rPr>
          <w:sz w:val="20"/>
          <w:szCs w:val="20"/>
          <w:color w:val="auto"/>
        </w:rPr>
      </w:pPr>
      <w:r>
        <w:rPr>
          <w:rFonts w:ascii="Arial" w:cs="Arial" w:eastAsia="Arial" w:hAnsi="Arial"/>
          <w:sz w:val="18"/>
          <w:szCs w:val="18"/>
          <w:color w:val="auto"/>
        </w:rPr>
        <w:t>In connection with the accompanying Quarterly Report of KCAP Financial, Inc. (the “Company”) on Form 10-Q for the quarter ended March 31, 2013 (the “Report”), I, Edward U. Gilpin, Chief Financial Officer of the Company, certify, pursuant to 18 U.S.C. §1350, as adopted pursuant to §906 of the Sarbanes-Oxley Act of 2002, that:</w:t>
      </w:r>
    </w:p>
    <w:p>
      <w:pPr>
        <w:spacing w:after="0" w:line="181" w:lineRule="exact"/>
        <w:rPr>
          <w:sz w:val="20"/>
          <w:szCs w:val="20"/>
          <w:color w:val="auto"/>
        </w:rPr>
      </w:pPr>
    </w:p>
    <w:p>
      <w:pPr>
        <w:ind w:left="680" w:hanging="258"/>
        <w:spacing w:after="0"/>
        <w:tabs>
          <w:tab w:leader="none" w:pos="6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36" w:lineRule="exact"/>
        <w:rPr>
          <w:rFonts w:ascii="Arial" w:cs="Arial" w:eastAsia="Arial" w:hAnsi="Arial"/>
          <w:sz w:val="17"/>
          <w:szCs w:val="17"/>
          <w:color w:val="auto"/>
        </w:rPr>
      </w:pPr>
    </w:p>
    <w:p>
      <w:pPr>
        <w:ind w:left="680" w:hanging="258"/>
        <w:spacing w:after="0"/>
        <w:tabs>
          <w:tab w:leader="none" w:pos="6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tabs>
          <w:tab w:leader="none" w:pos="5600" w:val="left"/>
          <w:tab w:leader="none" w:pos="7740" w:val="left"/>
        </w:tabs>
        <w:rPr>
          <w:sz w:val="20"/>
          <w:szCs w:val="20"/>
          <w:color w:val="auto"/>
        </w:rPr>
      </w:pPr>
      <w:r>
        <w:rPr>
          <w:rFonts w:ascii="Arial" w:cs="Arial" w:eastAsia="Arial" w:hAnsi="Arial"/>
          <w:sz w:val="18"/>
          <w:szCs w:val="18"/>
          <w:color w:val="auto"/>
        </w:rPr>
        <w:t>Date: May 6,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EDWARD U. GILPIN</w:t>
      </w:r>
    </w:p>
    <w:p>
      <w:pPr>
        <w:spacing w:after="0" w:line="23"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-130810</wp:posOffset>
            </wp:positionV>
            <wp:extent cx="347345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x"/>
      <w:numFmt w:val="bullet"/>
      <w:start w:val="1"/>
    </w:lvl>
  </w:abstractNum>
  <w:abstractNum w:abstractNumId="1">
    <w:nsid w:val="737B8DDC"/>
    <w:multiLevelType w:val="hybridMultilevel"/>
    <w:lvl w:ilvl="0">
      <w:lvlJc w:val="left"/>
      <w:lvlText w:val="o"/>
      <w:numFmt w:val="bullet"/>
      <w:start w:val="1"/>
    </w:lvl>
  </w:abstractNum>
  <w:abstractNum w:abstractNumId="2">
    <w:nsid w:val="6CEAF087"/>
    <w:multiLevelType w:val="hybridMultilevel"/>
    <w:lvl w:ilvl="0">
      <w:lvlJc w:val="left"/>
      <w:lvlText w:val="\emdash "/>
      <w:numFmt w:val="bullet"/>
      <w:start w:val="1"/>
    </w:lvl>
  </w:abstractNum>
  <w:abstractNum w:abstractNumId="3">
    <w:nsid w:val="22221A70"/>
    <w:multiLevelType w:val="hybridMultilevel"/>
    <w:lvl w:ilvl="0">
      <w:lvlJc w:val="left"/>
      <w:lvlText w:val="1"/>
      <w:numFmt w:val="bullet"/>
      <w:start w:val="1"/>
    </w:lvl>
  </w:abstractNum>
  <w:abstractNum w:abstractNumId="4">
    <w:nsid w:val="4516DDE9"/>
    <w:multiLevelType w:val="hybridMultilevel"/>
    <w:lvl w:ilvl="0">
      <w:lvlJc w:val="left"/>
      <w:lvlText w:val="2"/>
      <w:numFmt w:val="bullet"/>
      <w:start w:val="1"/>
    </w:lvl>
  </w:abstractNum>
  <w:abstractNum w:abstractNumId="5">
    <w:nsid w:val="3006C83E"/>
    <w:multiLevelType w:val="hybridMultilevel"/>
    <w:lvl w:ilvl="0">
      <w:lvlJc w:val="left"/>
      <w:lvlText w:val="3"/>
      <w:numFmt w:val="bullet"/>
      <w:start w:val="1"/>
    </w:lvl>
  </w:abstractNum>
  <w:abstractNum w:abstractNumId="6">
    <w:nsid w:val="614FD4A1"/>
    <w:multiLevelType w:val="hybridMultilevel"/>
    <w:lvl w:ilvl="0">
      <w:lvlJc w:val="left"/>
      <w:lvlText w:val="4"/>
      <w:numFmt w:val="bullet"/>
      <w:start w:val="1"/>
    </w:lvl>
  </w:abstractNum>
  <w:abstractNum w:abstractNumId="7">
    <w:nsid w:val="419AC241"/>
    <w:multiLevelType w:val="hybridMultilevel"/>
    <w:lvl w:ilvl="0">
      <w:lvlJc w:val="left"/>
      <w:lvlText w:val="5"/>
      <w:numFmt w:val="bullet"/>
      <w:start w:val="1"/>
    </w:lvl>
  </w:abstractNum>
  <w:abstractNum w:abstractNumId="8">
    <w:nsid w:val="5577F8E1"/>
    <w:multiLevelType w:val="hybridMultilevel"/>
    <w:lvl w:ilvl="0">
      <w:lvlJc w:val="left"/>
      <w:lvlText w:val="6"/>
      <w:numFmt w:val="bullet"/>
      <w:start w:val="1"/>
    </w:lvl>
  </w:abstractNum>
  <w:abstractNum w:abstractNumId="9">
    <w:nsid w:val="440BADFC"/>
    <w:multiLevelType w:val="hybridMultilevel"/>
    <w:lvl w:ilvl="0">
      <w:lvlJc w:val="left"/>
      <w:lvlText w:val="7"/>
      <w:numFmt w:val="bullet"/>
      <w:start w:val="1"/>
    </w:lvl>
  </w:abstractNum>
  <w:abstractNum w:abstractNumId="10">
    <w:nsid w:val="5072367"/>
    <w:multiLevelType w:val="hybridMultilevel"/>
    <w:lvl w:ilvl="0">
      <w:lvlJc w:val="left"/>
      <w:lvlText w:val="8"/>
      <w:numFmt w:val="bullet"/>
      <w:start w:val="1"/>
    </w:lvl>
  </w:abstractNum>
  <w:abstractNum w:abstractNumId="11">
    <w:nsid w:val="3804823E"/>
    <w:multiLevelType w:val="hybridMultilevel"/>
    <w:lvl w:ilvl="0">
      <w:lvlJc w:val="left"/>
      <w:lvlText w:val="9"/>
      <w:numFmt w:val="bullet"/>
      <w:start w:val="1"/>
    </w:lvl>
  </w:abstractNum>
  <w:abstractNum w:abstractNumId="12">
    <w:nsid w:val="77465F01"/>
    <w:multiLevelType w:val="hybridMultilevel"/>
    <w:lvl w:ilvl="0">
      <w:lvlJc w:val="left"/>
      <w:lvlText w:val="%1"/>
      <w:numFmt w:val="decimal"/>
      <w:start w:val="10"/>
    </w:lvl>
  </w:abstractNum>
  <w:abstractNum w:abstractNumId="13">
    <w:nsid w:val="7724C67E"/>
    <w:multiLevelType w:val="hybridMultilevel"/>
    <w:lvl w:ilvl="0">
      <w:lvlJc w:val="left"/>
      <w:lvlText w:val="1"/>
      <w:numFmt w:val="bullet"/>
      <w:start w:val="1"/>
    </w:lvl>
  </w:abstractNum>
  <w:abstractNum w:abstractNumId="14">
    <w:nsid w:val="5C482A97"/>
    <w:multiLevelType w:val="hybridMultilevel"/>
    <w:lvl w:ilvl="0">
      <w:lvlJc w:val="left"/>
      <w:lvlText w:val="2"/>
      <w:numFmt w:val="bullet"/>
      <w:start w:val="1"/>
    </w:lvl>
  </w:abstractNum>
  <w:abstractNum w:abstractNumId="15">
    <w:nsid w:val="2463B9EA"/>
    <w:multiLevelType w:val="hybridMultilevel"/>
    <w:lvl w:ilvl="0">
      <w:lvlJc w:val="left"/>
      <w:lvlText w:val="3"/>
      <w:numFmt w:val="bullet"/>
      <w:start w:val="1"/>
    </w:lvl>
  </w:abstractNum>
  <w:abstractNum w:abstractNumId="16">
    <w:nsid w:val="5E884ADC"/>
    <w:multiLevelType w:val="hybridMultilevel"/>
    <w:lvl w:ilvl="0">
      <w:lvlJc w:val="left"/>
      <w:lvlText w:val="4"/>
      <w:numFmt w:val="bullet"/>
      <w:start w:val="1"/>
    </w:lvl>
  </w:abstractNum>
  <w:abstractNum w:abstractNumId="17">
    <w:nsid w:val="51EAD36B"/>
    <w:multiLevelType w:val="hybridMultilevel"/>
    <w:lvl w:ilvl="0">
      <w:lvlJc w:val="left"/>
      <w:lvlText w:val="5"/>
      <w:numFmt w:val="bullet"/>
      <w:start w:val="1"/>
    </w:lvl>
  </w:abstractNum>
  <w:abstractNum w:abstractNumId="18">
    <w:nsid w:val="2D517796"/>
    <w:multiLevelType w:val="hybridMultilevel"/>
    <w:lvl w:ilvl="0">
      <w:lvlJc w:val="left"/>
      <w:lvlText w:val="6"/>
      <w:numFmt w:val="bullet"/>
      <w:start w:val="1"/>
    </w:lvl>
  </w:abstractNum>
  <w:abstractNum w:abstractNumId="19">
    <w:nsid w:val="580BD78F"/>
    <w:multiLevelType w:val="hybridMultilevel"/>
    <w:lvl w:ilvl="0">
      <w:lvlJc w:val="left"/>
      <w:lvlText w:val="7"/>
      <w:numFmt w:val="bullet"/>
      <w:start w:val="1"/>
    </w:lvl>
  </w:abstractNum>
  <w:abstractNum w:abstractNumId="20">
    <w:nsid w:val="153EA438"/>
    <w:multiLevelType w:val="hybridMultilevel"/>
    <w:lvl w:ilvl="0">
      <w:lvlJc w:val="left"/>
      <w:lvlText w:val="8"/>
      <w:numFmt w:val="bullet"/>
      <w:start w:val="1"/>
    </w:lvl>
  </w:abstractNum>
  <w:abstractNum w:abstractNumId="21">
    <w:nsid w:val="3855585C"/>
    <w:multiLevelType w:val="hybridMultilevel"/>
    <w:lvl w:ilvl="0">
      <w:lvlJc w:val="left"/>
      <w:lvlText w:val="9"/>
      <w:numFmt w:val="bullet"/>
      <w:start w:val="1"/>
    </w:lvl>
  </w:abstractNum>
  <w:abstractNum w:abstractNumId="22">
    <w:nsid w:val="70A64E2A"/>
    <w:multiLevelType w:val="hybridMultilevel"/>
    <w:lvl w:ilvl="0">
      <w:lvlJc w:val="left"/>
      <w:lvlText w:val="%1"/>
      <w:numFmt w:val="decimal"/>
      <w:start w:val="10"/>
    </w:lvl>
  </w:abstractNum>
  <w:abstractNum w:abstractNumId="23">
    <w:nsid w:val="6A2342EC"/>
    <w:multiLevelType w:val="hybridMultilevel"/>
    <w:lvl w:ilvl="0">
      <w:lvlJc w:val="left"/>
      <w:lvlText w:val="1"/>
      <w:numFmt w:val="bullet"/>
      <w:start w:val="1"/>
    </w:lvl>
  </w:abstractNum>
  <w:abstractNum w:abstractNumId="24">
    <w:nsid w:val="2A487CB0"/>
    <w:multiLevelType w:val="hybridMultilevel"/>
    <w:lvl w:ilvl="0">
      <w:lvlJc w:val="left"/>
      <w:lvlText w:val="2"/>
      <w:numFmt w:val="bullet"/>
      <w:start w:val="1"/>
    </w:lvl>
  </w:abstractNum>
  <w:abstractNum w:abstractNumId="25">
    <w:nsid w:val="1D4ED43B"/>
    <w:multiLevelType w:val="hybridMultilevel"/>
    <w:lvl w:ilvl="0">
      <w:lvlJc w:val="left"/>
      <w:lvlText w:val="3"/>
      <w:numFmt w:val="bullet"/>
      <w:start w:val="1"/>
    </w:lvl>
  </w:abstractNum>
  <w:abstractNum w:abstractNumId="26">
    <w:nsid w:val="725A06FB"/>
    <w:multiLevelType w:val="hybridMultilevel"/>
    <w:lvl w:ilvl="0">
      <w:lvlJc w:val="left"/>
      <w:lvlText w:val="4"/>
      <w:numFmt w:val="bullet"/>
      <w:start w:val="1"/>
    </w:lvl>
  </w:abstractNum>
  <w:abstractNum w:abstractNumId="27">
    <w:nsid w:val="2CD89A32"/>
    <w:multiLevelType w:val="hybridMultilevel"/>
    <w:lvl w:ilvl="0">
      <w:lvlJc w:val="left"/>
      <w:lvlText w:val="5"/>
      <w:numFmt w:val="bullet"/>
      <w:start w:val="1"/>
    </w:lvl>
  </w:abstractNum>
  <w:abstractNum w:abstractNumId="28">
    <w:nsid w:val="57E4CCAF"/>
    <w:multiLevelType w:val="hybridMultilevel"/>
    <w:lvl w:ilvl="0">
      <w:lvlJc w:val="left"/>
      <w:lvlText w:val="%1."/>
      <w:numFmt w:val="decimal"/>
      <w:start w:val="2"/>
    </w:lvl>
  </w:abstractNum>
  <w:abstractNum w:abstractNumId="29">
    <w:nsid w:val="7A6D8D3C"/>
    <w:multiLevelType w:val="hybridMultilevel"/>
    <w:lvl w:ilvl="0">
      <w:lvlJc w:val="left"/>
      <w:lvlText w:val="%1)"/>
      <w:numFmt w:val="decimal"/>
      <w:start w:val="1"/>
    </w:lvl>
  </w:abstractNum>
  <w:abstractNum w:abstractNumId="30">
    <w:nsid w:val="4B588F54"/>
    <w:multiLevelType w:val="hybridMultilevel"/>
    <w:lvl w:ilvl="0">
      <w:lvlJc w:val="left"/>
      <w:lvlText w:val="1"/>
      <w:numFmt w:val="bullet"/>
      <w:start w:val="1"/>
    </w:lvl>
  </w:abstractNum>
  <w:abstractNum w:abstractNumId="31">
    <w:nsid w:val="542289EC"/>
    <w:multiLevelType w:val="hybridMultilevel"/>
    <w:lvl w:ilvl="0">
      <w:lvlJc w:val="left"/>
      <w:lvlText w:val="1"/>
      <w:numFmt w:val="bullet"/>
      <w:start w:val="1"/>
    </w:lvl>
  </w:abstractNum>
  <w:abstractNum w:abstractNumId="32">
    <w:nsid w:val="6DE91B18"/>
    <w:multiLevelType w:val="hybridMultilevel"/>
    <w:lvl w:ilvl="0">
      <w:lvlJc w:val="left"/>
      <w:lvlText w:val="2"/>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1"/>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1"/>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1)"/>
      <w:numFmt w:val="lowerRoman"/>
      <w:start w:val="2"/>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1"/>
      <w:numFmt w:val="bullet"/>
      <w:start w:val="1"/>
    </w:lvl>
  </w:abstractNum>
  <w:abstractNum w:abstractNumId="43">
    <w:nsid w:val="12E685FB"/>
    <w:multiLevelType w:val="hybridMultilevel"/>
    <w:lvl w:ilvl="0">
      <w:lvlJc w:val="left"/>
      <w:lvlText w:val="1"/>
      <w:numFmt w:val="bullet"/>
      <w:start w:val="1"/>
    </w:lvl>
  </w:abstractNum>
  <w:abstractNum w:abstractNumId="44">
    <w:nsid w:val="70C6A529"/>
    <w:multiLevelType w:val="hybridMultilevel"/>
    <w:lvl w:ilvl="0">
      <w:lvlJc w:val="left"/>
      <w:lvlText w:val="2"/>
      <w:numFmt w:val="bullet"/>
      <w:start w:val="1"/>
    </w:lvl>
  </w:abstractNum>
  <w:abstractNum w:abstractNumId="45">
    <w:nsid w:val="520EEDD1"/>
    <w:multiLevelType w:val="hybridMultilevel"/>
    <w:lvl w:ilvl="0">
      <w:lvlJc w:val="left"/>
      <w:lvlText w:val="3"/>
      <w:numFmt w:val="bullet"/>
      <w:start w:val="1"/>
    </w:lvl>
  </w:abstractNum>
  <w:abstractNum w:abstractNumId="46">
    <w:nsid w:val="374A3FE6"/>
    <w:multiLevelType w:val="hybridMultilevel"/>
    <w:lvl w:ilvl="0">
      <w:lvlJc w:val="left"/>
      <w:lvlText w:val="1"/>
      <w:numFmt w:val="bullet"/>
      <w:start w:val="1"/>
    </w:lvl>
  </w:abstractNum>
  <w:abstractNum w:abstractNumId="47">
    <w:nsid w:val="4F4EF005"/>
    <w:multiLevelType w:val="hybridMultilevel"/>
    <w:lvl w:ilvl="0">
      <w:lvlJc w:val="left"/>
      <w:lvlText w:val="2"/>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1."/>
      <w:numFmt w:val="decimal"/>
      <w:start w:val="1"/>
    </w:lvl>
  </w:abstractNum>
  <w:abstractNum w:abstractNumId="52">
    <w:nsid w:val="1CF10FD8"/>
    <w:multiLevelType w:val="hybridMultilevel"/>
    <w:lvl w:ilvl="0">
      <w:lvlJc w:val="left"/>
      <w:lvlText w:val="(%1)"/>
      <w:numFmt w:val="lowerLetter"/>
      <w:start w:val="1"/>
    </w:lvl>
  </w:abstractNum>
  <w:abstractNum w:abstractNumId="53">
    <w:nsid w:val="180115BE"/>
    <w:multiLevelType w:val="hybridMultilevel"/>
    <w:lvl w:ilvl="0">
      <w:lvlJc w:val="left"/>
      <w:lvlText w:val="%1."/>
      <w:numFmt w:val="decimal"/>
      <w:start w:val="5"/>
    </w:lvl>
  </w:abstractNum>
  <w:abstractNum w:abstractNumId="54">
    <w:nsid w:val="235BA861"/>
    <w:multiLevelType w:val="hybridMultilevel"/>
    <w:lvl w:ilvl="0">
      <w:lvlJc w:val="left"/>
      <w:lvlText w:val="(%1)"/>
      <w:numFmt w:val="lowerLetter"/>
      <w:start w:val="1"/>
    </w:lvl>
  </w:abstractNum>
  <w:abstractNum w:abstractNumId="55">
    <w:nsid w:val="47398C89"/>
    <w:multiLevelType w:val="hybridMultilevel"/>
    <w:lvl w:ilvl="0">
      <w:lvlJc w:val="left"/>
      <w:lvlText w:val="%1."/>
      <w:numFmt w:val="decimal"/>
      <w:start w:val="1"/>
    </w:lvl>
  </w:abstractNum>
  <w:abstractNum w:abstractNumId="56">
    <w:nsid w:val="354FE9F9"/>
    <w:multiLevelType w:val="hybridMultilevel"/>
    <w:lvl w:ilvl="0">
      <w:lvlJc w:val="left"/>
      <w:lvlText w:val="(%1)"/>
      <w:numFmt w:val="lowerLetter"/>
      <w:start w:val="1"/>
    </w:lvl>
  </w:abstractNum>
  <w:abstractNum w:abstractNumId="57">
    <w:nsid w:val="15B5AF5C"/>
    <w:multiLevelType w:val="hybridMultilevel"/>
    <w:lvl w:ilvl="0">
      <w:lvlJc w:val="left"/>
      <w:lvlText w:val="%1."/>
      <w:numFmt w:val="decimal"/>
      <w:start w:val="5"/>
    </w:lvl>
  </w:abstractNum>
  <w:abstractNum w:abstractNumId="58">
    <w:nsid w:val="741226BB"/>
    <w:multiLevelType w:val="hybridMultilevel"/>
    <w:lvl w:ilvl="0">
      <w:lvlJc w:val="left"/>
      <w:lvlText w:val="(%1)"/>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2019-12-07T13:46:52Z</dcterms:created>
  <dcterms:modified xsi:type="dcterms:W3CDTF">2019-12-07T13:46:52Z</dcterms:modified>
</cp:coreProperties>
</file>