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-224155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24130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4"/>
          <w:szCs w:val="24"/>
          <w:color w:val="auto"/>
        </w:rPr>
      </w:pPr>
    </w:p>
    <w:p>
      <w:pPr>
        <w:ind w:left="820" w:right="1360"/>
        <w:spacing w:after="0" w:line="261" w:lineRule="auto"/>
        <w:rPr>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2013</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23"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 w:lineRule="exact"/>
        <w:rPr>
          <w:sz w:val="24"/>
          <w:szCs w:val="24"/>
          <w:color w:val="auto"/>
        </w:rPr>
      </w:pPr>
    </w:p>
    <w:p>
      <w:pPr>
        <w:ind w:left="820"/>
        <w:spacing w:after="0"/>
        <w:tabs>
          <w:tab w:leader="none" w:pos="3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7"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160" w:type="dxa"/>
            <w:vAlign w:val="bottom"/>
            <w:gridSpan w:val="2"/>
          </w:tcPr>
          <w:p>
            <w:pPr>
              <w:jc w:val="center"/>
              <w:ind w:right="3210"/>
              <w:spacing w:after="0"/>
              <w:rPr>
                <w:sz w:val="20"/>
                <w:szCs w:val="20"/>
                <w:color w:val="auto"/>
              </w:rPr>
            </w:pPr>
            <w:r>
              <w:rPr>
                <w:rFonts w:ascii="Arial" w:cs="Arial" w:eastAsia="Arial" w:hAnsi="Arial"/>
                <w:sz w:val="18"/>
                <w:szCs w:val="18"/>
                <w:b w:val="1"/>
                <w:bCs w:val="1"/>
                <w:color w:val="auto"/>
                <w:w w:val="89"/>
              </w:rPr>
              <w:t>Commission File No. 814-00735</w:t>
            </w:r>
          </w:p>
        </w:tc>
      </w:tr>
      <w:tr>
        <w:trPr>
          <w:trHeight w:val="697"/>
        </w:trPr>
        <w:tc>
          <w:tcPr>
            <w:tcW w:w="2680" w:type="dxa"/>
            <w:vAlign w:val="bottom"/>
          </w:tcPr>
          <w:p>
            <w:pPr>
              <w:spacing w:after="0"/>
              <w:rPr>
                <w:sz w:val="24"/>
                <w:szCs w:val="24"/>
                <w:color w:val="auto"/>
              </w:rPr>
            </w:pPr>
          </w:p>
        </w:tc>
        <w:tc>
          <w:tcPr>
            <w:tcW w:w="7060" w:type="dxa"/>
            <w:vAlign w:val="bottom"/>
            <w:gridSpan w:val="3"/>
          </w:tcPr>
          <w:p>
            <w:pPr>
              <w:jc w:val="center"/>
              <w:ind w:right="2310"/>
              <w:spacing w:after="0"/>
              <w:rPr>
                <w:sz w:val="20"/>
                <w:szCs w:val="20"/>
                <w:color w:val="auto"/>
              </w:rPr>
            </w:pPr>
            <w:r>
              <w:rPr>
                <w:rFonts w:ascii="Arial" w:cs="Arial" w:eastAsia="Arial" w:hAnsi="Arial"/>
                <w:sz w:val="43"/>
                <w:szCs w:val="43"/>
                <w:b w:val="1"/>
                <w:bCs w:val="1"/>
                <w:color w:val="auto"/>
                <w:w w:val="95"/>
              </w:rPr>
              <w:t>KCAP Financial, Inc.</w:t>
            </w:r>
          </w:p>
        </w:tc>
      </w:tr>
      <w:tr>
        <w:trPr>
          <w:trHeight w:val="234"/>
        </w:trPr>
        <w:tc>
          <w:tcPr>
            <w:tcW w:w="2680" w:type="dxa"/>
            <w:vAlign w:val="bottom"/>
          </w:tcPr>
          <w:p>
            <w:pPr>
              <w:spacing w:after="0"/>
              <w:rPr>
                <w:sz w:val="20"/>
                <w:szCs w:val="20"/>
                <w:color w:val="auto"/>
              </w:rPr>
            </w:pPr>
          </w:p>
        </w:tc>
        <w:tc>
          <w:tcPr>
            <w:tcW w:w="7060" w:type="dxa"/>
            <w:vAlign w:val="bottom"/>
            <w:gridSpan w:val="3"/>
          </w:tcPr>
          <w:p>
            <w:pPr>
              <w:jc w:val="center"/>
              <w:ind w:right="231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16"/>
        </w:trPr>
        <w:tc>
          <w:tcPr>
            <w:tcW w:w="2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3300" w:type="dxa"/>
            <w:vAlign w:val="bottom"/>
          </w:tcPr>
          <w:p>
            <w:pPr>
              <w:spacing w:after="0"/>
              <w:rPr>
                <w:sz w:val="18"/>
                <w:szCs w:val="18"/>
                <w:color w:val="auto"/>
              </w:rPr>
            </w:pPr>
          </w:p>
        </w:tc>
      </w:tr>
      <w:tr>
        <w:trPr>
          <w:trHeight w:val="434"/>
        </w:trPr>
        <w:tc>
          <w:tcPr>
            <w:tcW w:w="268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Delaware</w:t>
            </w:r>
          </w:p>
        </w:tc>
        <w:tc>
          <w:tcPr>
            <w:tcW w:w="7060" w:type="dxa"/>
            <w:vAlign w:val="bottom"/>
            <w:gridSpan w:val="3"/>
          </w:tcPr>
          <w:p>
            <w:pPr>
              <w:jc w:val="center"/>
              <w:ind w:left="5169"/>
              <w:spacing w:after="0"/>
              <w:rPr>
                <w:sz w:val="20"/>
                <w:szCs w:val="20"/>
                <w:color w:val="auto"/>
              </w:rPr>
            </w:pPr>
            <w:r>
              <w:rPr>
                <w:rFonts w:ascii="Arial" w:cs="Arial" w:eastAsia="Arial" w:hAnsi="Arial"/>
                <w:sz w:val="18"/>
                <w:szCs w:val="18"/>
                <w:b w:val="1"/>
                <w:bCs w:val="1"/>
                <w:color w:val="auto"/>
                <w:w w:val="89"/>
              </w:rPr>
              <w:t>20-5951150</w:t>
            </w:r>
          </w:p>
        </w:tc>
      </w:tr>
      <w:tr>
        <w:trPr>
          <w:trHeight w:val="216"/>
        </w:trPr>
        <w:tc>
          <w:tcPr>
            <w:tcW w:w="268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(State or other jurisdiction of</w:t>
            </w:r>
          </w:p>
        </w:tc>
        <w:tc>
          <w:tcPr>
            <w:tcW w:w="9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300" w:type="dxa"/>
            <w:vAlign w:val="bottom"/>
          </w:tcPr>
          <w:p>
            <w:pPr>
              <w:jc w:val="center"/>
              <w:ind w:left="14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Incorporation or organization)</w:t>
            </w:r>
          </w:p>
        </w:tc>
        <w:tc>
          <w:tcPr>
            <w:tcW w:w="9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300" w:type="dxa"/>
            <w:vAlign w:val="bottom"/>
          </w:tcPr>
          <w:p>
            <w:pPr>
              <w:jc w:val="center"/>
              <w:ind w:left="1430"/>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2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160" w:type="dxa"/>
            <w:vAlign w:val="bottom"/>
            <w:gridSpan w:val="2"/>
          </w:tcPr>
          <w:p>
            <w:pPr>
              <w:jc w:val="center"/>
              <w:ind w:right="3190"/>
              <w:spacing w:after="0"/>
              <w:rPr>
                <w:sz w:val="20"/>
                <w:szCs w:val="20"/>
                <w:color w:val="auto"/>
              </w:rPr>
            </w:pPr>
            <w:r>
              <w:rPr>
                <w:rFonts w:ascii="Arial" w:cs="Arial" w:eastAsia="Arial" w:hAnsi="Arial"/>
                <w:sz w:val="18"/>
                <w:szCs w:val="18"/>
                <w:b w:val="1"/>
                <w:bCs w:val="1"/>
                <w:color w:val="auto"/>
                <w:w w:val="90"/>
              </w:rPr>
              <w:t>295 Madison Avenue, 6th Floor</w:t>
            </w:r>
          </w:p>
        </w:tc>
      </w:tr>
      <w:tr>
        <w:trPr>
          <w:trHeight w:val="216"/>
        </w:trPr>
        <w:tc>
          <w:tcPr>
            <w:tcW w:w="2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160" w:type="dxa"/>
            <w:vAlign w:val="bottom"/>
            <w:gridSpan w:val="2"/>
          </w:tcPr>
          <w:p>
            <w:pPr>
              <w:jc w:val="center"/>
              <w:ind w:right="3190"/>
              <w:spacing w:after="0"/>
              <w:rPr>
                <w:sz w:val="20"/>
                <w:szCs w:val="20"/>
                <w:color w:val="auto"/>
              </w:rPr>
            </w:pPr>
            <w:r>
              <w:rPr>
                <w:rFonts w:ascii="Arial" w:cs="Arial" w:eastAsia="Arial" w:hAnsi="Arial"/>
                <w:sz w:val="18"/>
                <w:szCs w:val="18"/>
                <w:b w:val="1"/>
                <w:bCs w:val="1"/>
                <w:color w:val="auto"/>
                <w:w w:val="92"/>
              </w:rPr>
              <w:t>New York, New York 10017</w:t>
            </w:r>
          </w:p>
        </w:tc>
      </w:tr>
      <w:tr>
        <w:trPr>
          <w:trHeight w:val="234"/>
        </w:trPr>
        <w:tc>
          <w:tcPr>
            <w:tcW w:w="2680" w:type="dxa"/>
            <w:vAlign w:val="bottom"/>
          </w:tcPr>
          <w:p>
            <w:pPr>
              <w:spacing w:after="0"/>
              <w:rPr>
                <w:sz w:val="20"/>
                <w:szCs w:val="20"/>
                <w:color w:val="auto"/>
              </w:rPr>
            </w:pPr>
          </w:p>
        </w:tc>
        <w:tc>
          <w:tcPr>
            <w:tcW w:w="7060" w:type="dxa"/>
            <w:vAlign w:val="bottom"/>
            <w:gridSpan w:val="3"/>
          </w:tcPr>
          <w:p>
            <w:pPr>
              <w:jc w:val="center"/>
              <w:ind w:right="2310"/>
              <w:spacing w:after="0"/>
              <w:rPr>
                <w:sz w:val="20"/>
                <w:szCs w:val="20"/>
                <w:color w:val="auto"/>
              </w:rPr>
            </w:pPr>
            <w:r>
              <w:rPr>
                <w:rFonts w:ascii="Arial" w:cs="Arial" w:eastAsia="Arial" w:hAnsi="Arial"/>
                <w:sz w:val="18"/>
                <w:szCs w:val="18"/>
                <w:b w:val="1"/>
                <w:bCs w:val="1"/>
                <w:color w:val="auto"/>
                <w:w w:val="88"/>
              </w:rPr>
              <w:t>(Address of principal executive offices)</w:t>
            </w:r>
          </w:p>
        </w:tc>
      </w:tr>
      <w:tr>
        <w:trPr>
          <w:trHeight w:val="414"/>
        </w:trPr>
        <w:tc>
          <w:tcPr>
            <w:tcW w:w="2680" w:type="dxa"/>
            <w:vAlign w:val="bottom"/>
          </w:tcPr>
          <w:p>
            <w:pPr>
              <w:spacing w:after="0"/>
              <w:rPr>
                <w:sz w:val="24"/>
                <w:szCs w:val="24"/>
                <w:color w:val="auto"/>
              </w:rPr>
            </w:pPr>
          </w:p>
        </w:tc>
        <w:tc>
          <w:tcPr>
            <w:tcW w:w="3760" w:type="dxa"/>
            <w:vAlign w:val="bottom"/>
            <w:gridSpan w:val="2"/>
          </w:tcPr>
          <w:p>
            <w:pPr>
              <w:jc w:val="center"/>
              <w:ind w:left="809"/>
              <w:spacing w:after="0"/>
              <w:rPr>
                <w:sz w:val="20"/>
                <w:szCs w:val="20"/>
                <w:color w:val="auto"/>
              </w:rPr>
            </w:pPr>
            <w:r>
              <w:rPr>
                <w:rFonts w:ascii="Arial" w:cs="Arial" w:eastAsia="Arial" w:hAnsi="Arial"/>
                <w:sz w:val="18"/>
                <w:szCs w:val="18"/>
                <w:b w:val="1"/>
                <w:bCs w:val="1"/>
                <w:color w:val="auto"/>
                <w:w w:val="90"/>
              </w:rPr>
              <w:t>(212) 455-8300</w:t>
            </w:r>
          </w:p>
        </w:tc>
        <w:tc>
          <w:tcPr>
            <w:tcW w:w="3300" w:type="dxa"/>
            <w:vAlign w:val="bottom"/>
          </w:tcPr>
          <w:p>
            <w:pPr>
              <w:spacing w:after="0"/>
              <w:rPr>
                <w:sz w:val="24"/>
                <w:szCs w:val="24"/>
                <w:color w:val="auto"/>
              </w:rPr>
            </w:pPr>
          </w:p>
        </w:tc>
      </w:tr>
      <w:tr>
        <w:trPr>
          <w:trHeight w:val="234"/>
        </w:trPr>
        <w:tc>
          <w:tcPr>
            <w:tcW w:w="2680" w:type="dxa"/>
            <w:vAlign w:val="bottom"/>
          </w:tcPr>
          <w:p>
            <w:pPr>
              <w:spacing w:after="0"/>
              <w:rPr>
                <w:sz w:val="20"/>
                <w:szCs w:val="20"/>
                <w:color w:val="auto"/>
              </w:rPr>
            </w:pPr>
          </w:p>
        </w:tc>
        <w:tc>
          <w:tcPr>
            <w:tcW w:w="7060" w:type="dxa"/>
            <w:vAlign w:val="bottom"/>
            <w:gridSpan w:val="3"/>
          </w:tcPr>
          <w:p>
            <w:pPr>
              <w:jc w:val="center"/>
              <w:ind w:right="2310"/>
              <w:spacing w:after="0"/>
              <w:rPr>
                <w:sz w:val="20"/>
                <w:szCs w:val="20"/>
                <w:color w:val="auto"/>
              </w:rPr>
            </w:pPr>
            <w:r>
              <w:rPr>
                <w:rFonts w:ascii="Arial" w:cs="Arial" w:eastAsia="Arial" w:hAnsi="Arial"/>
                <w:sz w:val="18"/>
                <w:szCs w:val="18"/>
                <w:b w:val="1"/>
                <w:bCs w:val="1"/>
                <w:color w:val="auto"/>
                <w:w w:val="89"/>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137160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320"/>
          </w:cols>
          <w:pgMar w:left="240" w:top="747" w:right="339" w:bottom="1440" w:gutter="0" w:footer="0" w:header="0"/>
        </w:sectPr>
      </w:pPr>
    </w:p>
    <w:p>
      <w:pPr>
        <w:spacing w:after="0" w:line="170" w:lineRule="exact"/>
        <w:rPr>
          <w:sz w:val="24"/>
          <w:szCs w:val="24"/>
          <w:color w:val="auto"/>
        </w:rPr>
      </w:pPr>
    </w:p>
    <w:p>
      <w:pPr>
        <w:ind w:right="30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9" w:lineRule="exact"/>
        <w:rPr>
          <w:sz w:val="24"/>
          <w:szCs w:val="24"/>
          <w:color w:val="auto"/>
        </w:rPr>
      </w:pPr>
    </w:p>
    <w:p>
      <w:pPr>
        <w:sectPr>
          <w:pgSz w:w="11900" w:h="16838" w:orient="portrait"/>
          <w:cols w:equalWidth="0" w:num="5">
            <w:col w:w="1920" w:space="720"/>
            <w:col w:w="160" w:space="420"/>
            <w:col w:w="4420" w:space="720"/>
            <w:col w:w="1960" w:space="660"/>
            <w:col w:w="340"/>
          </w:cols>
          <w:pgMar w:left="240" w:top="747" w:right="339" w:bottom="1440" w:gutter="0" w:footer="0" w:header="0"/>
          <w:type w:val="continuous"/>
        </w:sect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7"/>
          <w:szCs w:val="17"/>
          <w:color w:val="auto"/>
        </w:rPr>
        <w:t>The number of outstanding shares of common stock of the registrant as of August 2, 2013 was 33,314,779.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74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gridSpan w:val="12"/>
          </w:tcPr>
          <w:p>
            <w:pPr>
              <w:jc w:val="center"/>
              <w:ind w:right="354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6100" w:type="dxa"/>
            <w:vAlign w:val="bottom"/>
            <w:gridSpan w:val="14"/>
            <w:shd w:val="clear" w:color="auto" w:fill="CCFFCC"/>
          </w:tcPr>
          <w:p>
            <w:pPr>
              <w:jc w:val="center"/>
              <w:ind w:right="3020"/>
              <w:spacing w:after="0" w:line="176" w:lineRule="exact"/>
              <w:rPr>
                <w:sz w:val="20"/>
                <w:szCs w:val="20"/>
                <w:color w:val="auto"/>
              </w:rPr>
            </w:pPr>
            <w:r>
              <w:rPr>
                <w:rFonts w:ascii="Arial" w:cs="Arial" w:eastAsia="Arial" w:hAnsi="Arial"/>
                <w:sz w:val="18"/>
                <w:szCs w:val="18"/>
                <w:b w:val="1"/>
                <w:bCs w:val="1"/>
                <w:color w:val="auto"/>
                <w:w w:val="94"/>
              </w:rPr>
              <w:t>Part I. Financial Information</w:t>
            </w:r>
          </w:p>
        </w:tc>
        <w:tc>
          <w:tcPr>
            <w:tcW w:w="114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2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22"/>
            <w:shd w:val="clear" w:color="auto" w:fill="CCFFCC"/>
          </w:tcPr>
          <w:p>
            <w:pPr>
              <w:spacing w:after="0" w:line="176" w:lineRule="exact"/>
              <w:rPr>
                <w:sz w:val="20"/>
                <w:szCs w:val="20"/>
                <w:color w:val="auto"/>
              </w:rPr>
            </w:pPr>
            <w:r>
              <w:rPr>
                <w:rFonts w:ascii="Arial" w:cs="Arial" w:eastAsia="Arial" w:hAnsi="Arial"/>
                <w:sz w:val="18"/>
                <w:szCs w:val="18"/>
                <w:color w:val="auto"/>
              </w:rPr>
              <w:t>Financial Statements</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2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120" w:type="dxa"/>
            <w:vAlign w:val="bottom"/>
            <w:gridSpan w:val="22"/>
            <w:shd w:val="clear" w:color="auto" w:fill="CCFFCC"/>
          </w:tcPr>
          <w:p>
            <w:pPr>
              <w:spacing w:after="0" w:line="176" w:lineRule="exact"/>
              <w:rPr>
                <w:sz w:val="20"/>
                <w:szCs w:val="20"/>
                <w:color w:val="auto"/>
              </w:rPr>
            </w:pPr>
            <w:r>
              <w:rPr>
                <w:rFonts w:ascii="Arial" w:cs="Arial" w:eastAsia="Arial" w:hAnsi="Arial"/>
                <w:sz w:val="18"/>
                <w:szCs w:val="18"/>
                <w:color w:val="auto"/>
              </w:rPr>
              <w:t>Balance Sheets as of June 30, 2013 (unaudited) and December 31, 2012</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2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120" w:type="dxa"/>
            <w:vAlign w:val="bottom"/>
            <w:gridSpan w:val="22"/>
            <w:shd w:val="clear" w:color="auto" w:fill="CCFFCC"/>
          </w:tcPr>
          <w:p>
            <w:pPr>
              <w:spacing w:after="0" w:line="176" w:lineRule="exact"/>
              <w:rPr>
                <w:sz w:val="20"/>
                <w:szCs w:val="20"/>
                <w:color w:val="auto"/>
              </w:rPr>
            </w:pPr>
            <w:r>
              <w:rPr>
                <w:rFonts w:ascii="Arial" w:cs="Arial" w:eastAsia="Arial" w:hAnsi="Arial"/>
                <w:sz w:val="18"/>
                <w:szCs w:val="18"/>
                <w:color w:val="auto"/>
              </w:rPr>
              <w:t>Statements of Operations (unaudited) for the three and six months ended June 30, 2013 and 2012</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2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120" w:type="dxa"/>
            <w:vAlign w:val="bottom"/>
            <w:gridSpan w:val="22"/>
            <w:shd w:val="clear" w:color="auto" w:fill="CCFFCC"/>
          </w:tcPr>
          <w:p>
            <w:pPr>
              <w:spacing w:after="0" w:line="176" w:lineRule="exact"/>
              <w:rPr>
                <w:sz w:val="20"/>
                <w:szCs w:val="20"/>
                <w:color w:val="auto"/>
              </w:rPr>
            </w:pPr>
            <w:r>
              <w:rPr>
                <w:rFonts w:ascii="Arial" w:cs="Arial" w:eastAsia="Arial" w:hAnsi="Arial"/>
                <w:sz w:val="18"/>
                <w:szCs w:val="18"/>
                <w:color w:val="auto"/>
              </w:rPr>
              <w:t>Statements of Changes in Net Assets (unaudited) for the six months ended June 30, 2013 and 2012</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2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120" w:type="dxa"/>
            <w:vAlign w:val="bottom"/>
            <w:gridSpan w:val="22"/>
            <w:shd w:val="clear" w:color="auto" w:fill="CCFFCC"/>
          </w:tcPr>
          <w:p>
            <w:pPr>
              <w:spacing w:after="0" w:line="176" w:lineRule="exact"/>
              <w:rPr>
                <w:sz w:val="20"/>
                <w:szCs w:val="20"/>
                <w:color w:val="auto"/>
              </w:rPr>
            </w:pPr>
            <w:r>
              <w:rPr>
                <w:rFonts w:ascii="Arial" w:cs="Arial" w:eastAsia="Arial" w:hAnsi="Arial"/>
                <w:sz w:val="18"/>
                <w:szCs w:val="18"/>
                <w:color w:val="auto"/>
              </w:rPr>
              <w:t>Statements of Cash Flows (unaudited) for the six months ended June 30, 2013 and 2012</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2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120" w:type="dxa"/>
            <w:vAlign w:val="bottom"/>
            <w:gridSpan w:val="22"/>
            <w:shd w:val="clear" w:color="auto" w:fill="CCFFCC"/>
          </w:tcPr>
          <w:p>
            <w:pPr>
              <w:spacing w:after="0" w:line="176" w:lineRule="exact"/>
              <w:rPr>
                <w:sz w:val="20"/>
                <w:szCs w:val="20"/>
                <w:color w:val="auto"/>
              </w:rPr>
            </w:pPr>
            <w:r>
              <w:rPr>
                <w:rFonts w:ascii="Arial" w:cs="Arial" w:eastAsia="Arial" w:hAnsi="Arial"/>
                <w:sz w:val="18"/>
                <w:szCs w:val="18"/>
                <w:color w:val="auto"/>
              </w:rPr>
              <w:t>Schedules of Investments as of June 30, 2013 (unaudited) and December 31, 2012</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2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120" w:type="dxa"/>
            <w:vAlign w:val="bottom"/>
            <w:gridSpan w:val="22"/>
            <w:shd w:val="clear" w:color="auto" w:fill="CCFFCC"/>
          </w:tcPr>
          <w:p>
            <w:pPr>
              <w:spacing w:after="0" w:line="176" w:lineRule="exact"/>
              <w:rPr>
                <w:sz w:val="20"/>
                <w:szCs w:val="20"/>
                <w:color w:val="auto"/>
              </w:rPr>
            </w:pPr>
            <w:r>
              <w:rPr>
                <w:rFonts w:ascii="Arial" w:cs="Arial" w:eastAsia="Arial" w:hAnsi="Arial"/>
                <w:sz w:val="18"/>
                <w:szCs w:val="18"/>
                <w:color w:val="auto"/>
              </w:rPr>
              <w:t>Financial Highlights (unaudited) for the six months ended June 30, 2013 and 2012</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2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120" w:type="dxa"/>
            <w:vAlign w:val="bottom"/>
            <w:gridSpan w:val="22"/>
            <w:shd w:val="clear" w:color="auto" w:fill="CCFFCC"/>
          </w:tcPr>
          <w:p>
            <w:pPr>
              <w:spacing w:after="0" w:line="176" w:lineRule="exact"/>
              <w:rPr>
                <w:sz w:val="20"/>
                <w:szCs w:val="20"/>
                <w:color w:val="auto"/>
              </w:rPr>
            </w:pPr>
            <w:r>
              <w:rPr>
                <w:rFonts w:ascii="Arial" w:cs="Arial" w:eastAsia="Arial" w:hAnsi="Arial"/>
                <w:sz w:val="18"/>
                <w:szCs w:val="18"/>
                <w:color w:val="auto"/>
              </w:rPr>
              <w:t>Notes to Financial Statements (unaudited)</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2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22"/>
            <w:shd w:val="clear" w:color="auto" w:fill="CCFFCC"/>
          </w:tcPr>
          <w:p>
            <w:pPr>
              <w:spacing w:after="0" w:line="176"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2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22"/>
            <w:shd w:val="clear" w:color="auto" w:fill="CCFFCC"/>
          </w:tcPr>
          <w:p>
            <w:pPr>
              <w:spacing w:after="0" w:line="176" w:lineRule="exact"/>
              <w:rPr>
                <w:sz w:val="20"/>
                <w:szCs w:val="20"/>
                <w:color w:val="auto"/>
              </w:rPr>
            </w:pPr>
            <w:r>
              <w:rPr>
                <w:rFonts w:ascii="Arial" w:cs="Arial" w:eastAsia="Arial" w:hAnsi="Arial"/>
                <w:sz w:val="18"/>
                <w:szCs w:val="18"/>
                <w:color w:val="auto"/>
              </w:rPr>
              <w:t>Quantitative and Qualitative Disclosures About Market Risk</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2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22"/>
            <w:shd w:val="clear" w:color="auto" w:fill="CCFFCC"/>
          </w:tcPr>
          <w:p>
            <w:pPr>
              <w:spacing w:after="0" w:line="176" w:lineRule="exact"/>
              <w:rPr>
                <w:sz w:val="20"/>
                <w:szCs w:val="20"/>
                <w:color w:val="auto"/>
              </w:rPr>
            </w:pPr>
            <w:r>
              <w:rPr>
                <w:rFonts w:ascii="Arial" w:cs="Arial" w:eastAsia="Arial" w:hAnsi="Arial"/>
                <w:sz w:val="18"/>
                <w:szCs w:val="18"/>
                <w:color w:val="auto"/>
              </w:rPr>
              <w:t>Controls and Procedures</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2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5580" w:type="dxa"/>
            <w:vAlign w:val="bottom"/>
            <w:gridSpan w:val="12"/>
            <w:shd w:val="clear" w:color="auto" w:fill="CCFFCC"/>
          </w:tcPr>
          <w:p>
            <w:pPr>
              <w:jc w:val="center"/>
              <w:ind w:right="3520"/>
              <w:spacing w:after="0" w:line="176" w:lineRule="exact"/>
              <w:rPr>
                <w:sz w:val="20"/>
                <w:szCs w:val="20"/>
                <w:color w:val="auto"/>
              </w:rPr>
            </w:pPr>
            <w:r>
              <w:rPr>
                <w:rFonts w:ascii="Arial" w:cs="Arial" w:eastAsia="Arial" w:hAnsi="Arial"/>
                <w:sz w:val="18"/>
                <w:szCs w:val="18"/>
                <w:b w:val="1"/>
                <w:bCs w:val="1"/>
                <w:color w:val="auto"/>
                <w:w w:val="97"/>
              </w:rPr>
              <w:t>Part II. Other Information</w:t>
            </w:r>
          </w:p>
        </w:tc>
        <w:tc>
          <w:tcPr>
            <w:tcW w:w="114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2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22"/>
            <w:shd w:val="clear" w:color="auto" w:fill="CCFFCC"/>
          </w:tcPr>
          <w:p>
            <w:pPr>
              <w:spacing w:after="0" w:line="176" w:lineRule="exact"/>
              <w:rPr>
                <w:sz w:val="20"/>
                <w:szCs w:val="20"/>
                <w:color w:val="auto"/>
              </w:rPr>
            </w:pPr>
            <w:r>
              <w:rPr>
                <w:rFonts w:ascii="Arial" w:cs="Arial" w:eastAsia="Arial" w:hAnsi="Arial"/>
                <w:sz w:val="18"/>
                <w:szCs w:val="18"/>
                <w:color w:val="auto"/>
              </w:rPr>
              <w:t>Legal Proceedings</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2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1A.</w:t>
            </w:r>
          </w:p>
        </w:tc>
        <w:tc>
          <w:tcPr>
            <w:tcW w:w="9120" w:type="dxa"/>
            <w:vAlign w:val="bottom"/>
            <w:gridSpan w:val="22"/>
            <w:shd w:val="clear" w:color="auto" w:fill="CCFFCC"/>
          </w:tcPr>
          <w:p>
            <w:pPr>
              <w:spacing w:after="0" w:line="176" w:lineRule="exact"/>
              <w:rPr>
                <w:sz w:val="20"/>
                <w:szCs w:val="20"/>
                <w:color w:val="auto"/>
              </w:rPr>
            </w:pPr>
            <w:r>
              <w:rPr>
                <w:rFonts w:ascii="Arial" w:cs="Arial" w:eastAsia="Arial" w:hAnsi="Arial"/>
                <w:sz w:val="18"/>
                <w:szCs w:val="18"/>
                <w:color w:val="auto"/>
              </w:rPr>
              <w:t>Risk Factors</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2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22"/>
            <w:shd w:val="clear" w:color="auto" w:fill="CCFFCC"/>
          </w:tcPr>
          <w:p>
            <w:pPr>
              <w:spacing w:after="0" w:line="176" w:lineRule="exact"/>
              <w:rPr>
                <w:sz w:val="20"/>
                <w:szCs w:val="20"/>
                <w:color w:val="auto"/>
              </w:rPr>
            </w:pPr>
            <w:r>
              <w:rPr>
                <w:rFonts w:ascii="Arial" w:cs="Arial" w:eastAsia="Arial" w:hAnsi="Arial"/>
                <w:sz w:val="18"/>
                <w:szCs w:val="18"/>
                <w:color w:val="auto"/>
              </w:rPr>
              <w:t>Unregistered Sales of Equity Securities and Use of Proceeds</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2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22"/>
            <w:shd w:val="clear" w:color="auto" w:fill="CCFFCC"/>
          </w:tcPr>
          <w:p>
            <w:pPr>
              <w:spacing w:after="0" w:line="176" w:lineRule="exact"/>
              <w:rPr>
                <w:sz w:val="20"/>
                <w:szCs w:val="20"/>
                <w:color w:val="auto"/>
              </w:rPr>
            </w:pPr>
            <w:r>
              <w:rPr>
                <w:rFonts w:ascii="Arial" w:cs="Arial" w:eastAsia="Arial" w:hAnsi="Arial"/>
                <w:sz w:val="18"/>
                <w:szCs w:val="18"/>
                <w:color w:val="auto"/>
              </w:rPr>
              <w:t>Defaults Upon Senior Securities</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2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22"/>
            <w:shd w:val="clear" w:color="auto" w:fill="CCFFCC"/>
          </w:tcPr>
          <w:p>
            <w:pPr>
              <w:spacing w:after="0" w:line="176" w:lineRule="exact"/>
              <w:rPr>
                <w:sz w:val="20"/>
                <w:szCs w:val="20"/>
                <w:color w:val="auto"/>
              </w:rPr>
            </w:pPr>
            <w:r>
              <w:rPr>
                <w:rFonts w:ascii="Arial" w:cs="Arial" w:eastAsia="Arial" w:hAnsi="Arial"/>
                <w:sz w:val="18"/>
                <w:szCs w:val="18"/>
                <w:color w:val="auto"/>
              </w:rPr>
              <w:t>Mine Safety Disclosures</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2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5.</w:t>
            </w:r>
          </w:p>
        </w:tc>
        <w:tc>
          <w:tcPr>
            <w:tcW w:w="9120" w:type="dxa"/>
            <w:vAlign w:val="bottom"/>
            <w:gridSpan w:val="22"/>
            <w:shd w:val="clear" w:color="auto" w:fill="CCFFCC"/>
          </w:tcPr>
          <w:p>
            <w:pPr>
              <w:spacing w:after="0" w:line="176" w:lineRule="exact"/>
              <w:rPr>
                <w:sz w:val="20"/>
                <w:szCs w:val="20"/>
                <w:color w:val="auto"/>
              </w:rPr>
            </w:pPr>
            <w:r>
              <w:rPr>
                <w:rFonts w:ascii="Arial" w:cs="Arial" w:eastAsia="Arial" w:hAnsi="Arial"/>
                <w:sz w:val="18"/>
                <w:szCs w:val="18"/>
                <w:color w:val="auto"/>
              </w:rPr>
              <w:t>Other Information</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2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6.</w:t>
            </w:r>
          </w:p>
        </w:tc>
        <w:tc>
          <w:tcPr>
            <w:tcW w:w="9120" w:type="dxa"/>
            <w:vAlign w:val="bottom"/>
            <w:gridSpan w:val="22"/>
            <w:shd w:val="clear" w:color="auto" w:fill="CCFFCC"/>
          </w:tcPr>
          <w:p>
            <w:pPr>
              <w:spacing w:after="0" w:line="176" w:lineRule="exact"/>
              <w:rPr>
                <w:sz w:val="20"/>
                <w:szCs w:val="20"/>
                <w:color w:val="auto"/>
              </w:rPr>
            </w:pPr>
            <w:r>
              <w:rPr>
                <w:rFonts w:ascii="Arial" w:cs="Arial" w:eastAsia="Arial" w:hAnsi="Arial"/>
                <w:sz w:val="18"/>
                <w:szCs w:val="18"/>
                <w:color w:val="auto"/>
              </w:rPr>
              <w:t>Exhibits</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2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Signatures</w:t>
            </w:r>
          </w:p>
        </w:tc>
        <w:tc>
          <w:tcPr>
            <w:tcW w:w="60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0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CCFFCC"/>
              <w:bottom w:val="single" w:sz="8" w:color="auto"/>
            </w:tcBorders>
          </w:tcPr>
          <w:p>
            <w:pPr>
              <w:spacing w:after="0"/>
              <w:rPr>
                <w:sz w:val="24"/>
                <w:szCs w:val="24"/>
                <w:color w:val="auto"/>
              </w:rPr>
            </w:pPr>
          </w:p>
        </w:tc>
        <w:tc>
          <w:tcPr>
            <w:tcW w:w="600" w:type="dxa"/>
            <w:vAlign w:val="bottom"/>
            <w:tcBorders>
              <w:top w:val="single" w:sz="8" w:color="CCFFCC"/>
              <w:bottom w:val="single" w:sz="8" w:color="auto"/>
            </w:tcBorders>
          </w:tcPr>
          <w:p>
            <w:pPr>
              <w:spacing w:after="0"/>
              <w:rPr>
                <w:sz w:val="24"/>
                <w:szCs w:val="24"/>
                <w:color w:val="auto"/>
              </w:rPr>
            </w:pPr>
          </w:p>
        </w:tc>
        <w:tc>
          <w:tcPr>
            <w:tcW w:w="300" w:type="dxa"/>
            <w:vAlign w:val="bottom"/>
            <w:tcBorders>
              <w:top w:val="single" w:sz="8" w:color="CCFFCC"/>
              <w:bottom w:val="single" w:sz="8" w:color="auto"/>
            </w:tcBorders>
          </w:tcPr>
          <w:p>
            <w:pPr>
              <w:spacing w:after="0"/>
              <w:rPr>
                <w:sz w:val="24"/>
                <w:szCs w:val="24"/>
                <w:color w:val="auto"/>
              </w:rPr>
            </w:pPr>
          </w:p>
        </w:tc>
        <w:tc>
          <w:tcPr>
            <w:tcW w:w="420" w:type="dxa"/>
            <w:vAlign w:val="bottom"/>
            <w:tcBorders>
              <w:top w:val="single" w:sz="8" w:color="CCFFCC"/>
              <w:bottom w:val="single" w:sz="8" w:color="auto"/>
            </w:tcBorders>
          </w:tcPr>
          <w:p>
            <w:pPr>
              <w:spacing w:after="0"/>
              <w:rPr>
                <w:sz w:val="24"/>
                <w:szCs w:val="24"/>
                <w:color w:val="auto"/>
              </w:rPr>
            </w:pPr>
          </w:p>
        </w:tc>
        <w:tc>
          <w:tcPr>
            <w:tcW w:w="20" w:type="dxa"/>
            <w:vAlign w:val="bottom"/>
            <w:tcBorders>
              <w:top w:val="single" w:sz="8" w:color="CCFFCC"/>
              <w:bottom w:val="single" w:sz="8" w:color="auto"/>
            </w:tcBorders>
          </w:tcPr>
          <w:p>
            <w:pPr>
              <w:spacing w:after="0"/>
              <w:rPr>
                <w:sz w:val="24"/>
                <w:szCs w:val="24"/>
                <w:color w:val="auto"/>
              </w:rPr>
            </w:pPr>
          </w:p>
        </w:tc>
        <w:tc>
          <w:tcPr>
            <w:tcW w:w="160" w:type="dxa"/>
            <w:vAlign w:val="bottom"/>
            <w:tcBorders>
              <w:top w:val="single" w:sz="8" w:color="CCFFCC"/>
              <w:bottom w:val="single" w:sz="8" w:color="auto"/>
            </w:tcBorders>
          </w:tcPr>
          <w:p>
            <w:pPr>
              <w:spacing w:after="0"/>
              <w:rPr>
                <w:sz w:val="24"/>
                <w:szCs w:val="24"/>
                <w:color w:val="auto"/>
              </w:rPr>
            </w:pPr>
          </w:p>
        </w:tc>
        <w:tc>
          <w:tcPr>
            <w:tcW w:w="260" w:type="dxa"/>
            <w:vAlign w:val="bottom"/>
            <w:tcBorders>
              <w:top w:val="single" w:sz="8" w:color="CCFFCC"/>
              <w:bottom w:val="single" w:sz="8" w:color="auto"/>
            </w:tcBorders>
          </w:tcPr>
          <w:p>
            <w:pPr>
              <w:spacing w:after="0"/>
              <w:rPr>
                <w:sz w:val="24"/>
                <w:szCs w:val="24"/>
                <w:color w:val="auto"/>
              </w:rPr>
            </w:pPr>
          </w:p>
        </w:tc>
        <w:tc>
          <w:tcPr>
            <w:tcW w:w="560" w:type="dxa"/>
            <w:vAlign w:val="bottom"/>
            <w:tcBorders>
              <w:top w:val="single" w:sz="8" w:color="CCFFCC"/>
              <w:bottom w:val="single" w:sz="8" w:color="auto"/>
            </w:tcBorders>
          </w:tcPr>
          <w:p>
            <w:pPr>
              <w:spacing w:after="0"/>
              <w:rPr>
                <w:sz w:val="24"/>
                <w:szCs w:val="24"/>
                <w:color w:val="auto"/>
              </w:rPr>
            </w:pPr>
          </w:p>
        </w:tc>
        <w:tc>
          <w:tcPr>
            <w:tcW w:w="700" w:type="dxa"/>
            <w:vAlign w:val="bottom"/>
            <w:tcBorders>
              <w:top w:val="single" w:sz="8" w:color="CCFFCC"/>
              <w:bottom w:val="single" w:sz="8" w:color="auto"/>
            </w:tcBorders>
          </w:tcPr>
          <w:p>
            <w:pPr>
              <w:spacing w:after="0"/>
              <w:rPr>
                <w:sz w:val="24"/>
                <w:szCs w:val="24"/>
                <w:color w:val="auto"/>
              </w:rPr>
            </w:pPr>
          </w:p>
        </w:tc>
        <w:tc>
          <w:tcPr>
            <w:tcW w:w="420" w:type="dxa"/>
            <w:vAlign w:val="bottom"/>
            <w:tcBorders>
              <w:top w:val="single" w:sz="8" w:color="CCFFCC"/>
              <w:bottom w:val="single" w:sz="8" w:color="auto"/>
            </w:tcBorders>
          </w:tcPr>
          <w:p>
            <w:pPr>
              <w:spacing w:after="0"/>
              <w:rPr>
                <w:sz w:val="24"/>
                <w:szCs w:val="24"/>
                <w:color w:val="auto"/>
              </w:rPr>
            </w:pPr>
          </w:p>
        </w:tc>
        <w:tc>
          <w:tcPr>
            <w:tcW w:w="100" w:type="dxa"/>
            <w:vAlign w:val="bottom"/>
            <w:tcBorders>
              <w:top w:val="single" w:sz="8" w:color="CCFFCC"/>
              <w:bottom w:val="single" w:sz="8" w:color="auto"/>
            </w:tcBorders>
          </w:tcPr>
          <w:p>
            <w:pPr>
              <w:spacing w:after="0"/>
              <w:rPr>
                <w:sz w:val="24"/>
                <w:szCs w:val="24"/>
                <w:color w:val="auto"/>
              </w:rPr>
            </w:pPr>
          </w:p>
        </w:tc>
        <w:tc>
          <w:tcPr>
            <w:tcW w:w="800" w:type="dxa"/>
            <w:vAlign w:val="bottom"/>
            <w:tcBorders>
              <w:top w:val="single" w:sz="8" w:color="CCFFCC"/>
              <w:bottom w:val="single" w:sz="8" w:color="auto"/>
            </w:tcBorders>
          </w:tcPr>
          <w:p>
            <w:pPr>
              <w:spacing w:after="0"/>
              <w:rPr>
                <w:sz w:val="24"/>
                <w:szCs w:val="24"/>
                <w:color w:val="auto"/>
              </w:rPr>
            </w:pPr>
          </w:p>
        </w:tc>
        <w:tc>
          <w:tcPr>
            <w:tcW w:w="20" w:type="dxa"/>
            <w:vAlign w:val="bottom"/>
            <w:tcBorders>
              <w:top w:val="single" w:sz="8" w:color="CCFFCC"/>
              <w:bottom w:val="single" w:sz="8" w:color="auto"/>
            </w:tcBorders>
          </w:tcPr>
          <w:p>
            <w:pPr>
              <w:spacing w:after="0"/>
              <w:rPr>
                <w:sz w:val="24"/>
                <w:szCs w:val="24"/>
                <w:color w:val="auto"/>
              </w:rPr>
            </w:pPr>
          </w:p>
        </w:tc>
        <w:tc>
          <w:tcPr>
            <w:tcW w:w="800" w:type="dxa"/>
            <w:vAlign w:val="bottom"/>
            <w:tcBorders>
              <w:top w:val="single" w:sz="8" w:color="CCFFCC"/>
              <w:bottom w:val="single" w:sz="8" w:color="auto"/>
            </w:tcBorders>
          </w:tcPr>
          <w:p>
            <w:pPr>
              <w:spacing w:after="0"/>
              <w:rPr>
                <w:sz w:val="24"/>
                <w:szCs w:val="24"/>
                <w:color w:val="auto"/>
              </w:rPr>
            </w:pPr>
          </w:p>
        </w:tc>
        <w:tc>
          <w:tcPr>
            <w:tcW w:w="440" w:type="dxa"/>
            <w:vAlign w:val="bottom"/>
            <w:tcBorders>
              <w:top w:val="single" w:sz="8" w:color="CCFFCC"/>
              <w:bottom w:val="single" w:sz="8" w:color="auto"/>
            </w:tcBorders>
          </w:tcPr>
          <w:p>
            <w:pPr>
              <w:spacing w:after="0"/>
              <w:rPr>
                <w:sz w:val="24"/>
                <w:szCs w:val="24"/>
                <w:color w:val="auto"/>
              </w:rPr>
            </w:pPr>
          </w:p>
        </w:tc>
        <w:tc>
          <w:tcPr>
            <w:tcW w:w="80" w:type="dxa"/>
            <w:vAlign w:val="bottom"/>
            <w:tcBorders>
              <w:top w:val="single" w:sz="8" w:color="CCFFCC"/>
              <w:bottom w:val="single" w:sz="8" w:color="auto"/>
            </w:tcBorders>
          </w:tcPr>
          <w:p>
            <w:pPr>
              <w:spacing w:after="0"/>
              <w:rPr>
                <w:sz w:val="24"/>
                <w:szCs w:val="24"/>
                <w:color w:val="auto"/>
              </w:rPr>
            </w:pPr>
          </w:p>
        </w:tc>
        <w:tc>
          <w:tcPr>
            <w:tcW w:w="240" w:type="dxa"/>
            <w:vAlign w:val="bottom"/>
            <w:tcBorders>
              <w:top w:val="single" w:sz="8" w:color="CCFFCC"/>
              <w:bottom w:val="single" w:sz="8" w:color="auto"/>
            </w:tcBorders>
          </w:tcPr>
          <w:p>
            <w:pPr>
              <w:spacing w:after="0"/>
              <w:rPr>
                <w:sz w:val="24"/>
                <w:szCs w:val="24"/>
                <w:color w:val="auto"/>
              </w:rPr>
            </w:pPr>
          </w:p>
        </w:tc>
        <w:tc>
          <w:tcPr>
            <w:tcW w:w="20" w:type="dxa"/>
            <w:vAlign w:val="bottom"/>
            <w:tcBorders>
              <w:top w:val="single" w:sz="8" w:color="CCFFCC"/>
              <w:bottom w:val="single" w:sz="8" w:color="auto"/>
            </w:tcBorders>
          </w:tcPr>
          <w:p>
            <w:pPr>
              <w:spacing w:after="0"/>
              <w:rPr>
                <w:sz w:val="24"/>
                <w:szCs w:val="24"/>
                <w:color w:val="auto"/>
              </w:rPr>
            </w:pPr>
          </w:p>
        </w:tc>
        <w:tc>
          <w:tcPr>
            <w:tcW w:w="400" w:type="dxa"/>
            <w:vAlign w:val="bottom"/>
            <w:tcBorders>
              <w:top w:val="single" w:sz="8" w:color="CCFFCC"/>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c>
          <w:tcPr>
            <w:tcW w:w="520" w:type="dxa"/>
            <w:vAlign w:val="bottom"/>
            <w:tcBorders>
              <w:top w:val="single" w:sz="8" w:color="CCFFCC"/>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c>
          <w:tcPr>
            <w:tcW w:w="2020" w:type="dxa"/>
            <w:vAlign w:val="bottom"/>
            <w:tcBorders>
              <w:top w:val="single" w:sz="8" w:color="CCFFCC"/>
              <w:bottom w:val="single" w:sz="8" w:color="auto"/>
            </w:tcBorders>
          </w:tcPr>
          <w:p>
            <w:pPr>
              <w:spacing w:after="0"/>
              <w:rPr>
                <w:sz w:val="24"/>
                <w:szCs w:val="24"/>
                <w:color w:val="auto"/>
              </w:rPr>
            </w:pPr>
          </w:p>
        </w:tc>
        <w:tc>
          <w:tcPr>
            <w:tcW w:w="1140" w:type="dxa"/>
            <w:vAlign w:val="bottom"/>
            <w:tcBorders>
              <w:top w:val="single" w:sz="8" w:color="CCFFCC"/>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9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As of</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30, 2013</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Time deposits (cost: 2013 - $0; 2012 - $1,942,834)</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1,942,834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Money market account (cost: 2013 - $67,494,608; 2012 - $30,543,824)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67,494,608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30,543,824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Debt securities (cost: 2013 - $211,661,173; 2012 - $134,377,151)</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190,732,894</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111,037,882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CLO Fund securities managed by non-affiliates (cost: 2013 - $9,733,633; 2012 - $10,487,023)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1,784,300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3,725,924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CLO Fund securities managed by affiliates (cost: 2013 - $88,175,787; 2012 - $79,659,387)</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79,700,585</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79,531,583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Equity securities (cost: 2013 - $18,841,238; 2012 - $18,375,587)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9,485,307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8,020,716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Asset manager affiliates (cost: 2013 - $83,234,131; 2012 - $83,161,529)</w:t>
            </w:r>
          </w:p>
        </w:tc>
        <w:tc>
          <w:tcPr>
            <w:tcW w:w="1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87,300,000</w:t>
            </w:r>
          </w:p>
        </w:tc>
        <w:tc>
          <w:tcPr>
            <w:tcW w:w="8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77,242,000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Total Investments at fair value (cost: 2013 - $479,140,566; 2012 - $358,547,336)</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436,497,694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312,044,763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7,669,782</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738,756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78,985,473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1,164,144</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697,349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Receivable for open trades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3,515,052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3,302,142</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2,210,869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10,364,201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3,568,736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541,498,488</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319,260,473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0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16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320" w:type="dxa"/>
            <w:vAlign w:val="bottom"/>
            <w:tcBorders>
              <w:top w:val="single" w:sz="8" w:color="auto"/>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Convertible Notes</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51,008,000</w:t>
            </w:r>
          </w:p>
        </w:tc>
        <w:tc>
          <w:tcPr>
            <w:tcW w:w="4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Retail Notes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41,400,000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KCAP Senior Funding I, LLC</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105,250,000</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Payable for open trades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66,840,035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2,692,613</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2,581,432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Dividend payable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7,403,382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Total liabilities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267,190,648</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111,384,814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0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16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320" w:type="dxa"/>
            <w:vAlign w:val="bottom"/>
            <w:tcBorders>
              <w:top w:val="single" w:sz="8" w:color="auto"/>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Common stock, par value $0.01 per share, 100,000,000 common shares authorized; 33,298,674 and 26,470,408</w:t>
            </w:r>
          </w:p>
        </w:tc>
        <w:tc>
          <w:tcPr>
            <w:tcW w:w="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common shares issued and outstanding at June 30, 2013 and December 31, 2012, respectively</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330,207</w:t>
            </w:r>
          </w:p>
        </w:tc>
        <w:tc>
          <w:tcPr>
            <w:tcW w:w="4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264,382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370,441,874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310,566,503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Accumulated undistributed net investment income</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4,380,234</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Accumulated net realized losses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(57,680,841)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(56,035,375)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Net unrealized depreciation on investments</w:t>
            </w:r>
          </w:p>
        </w:tc>
        <w:tc>
          <w:tcPr>
            <w:tcW w:w="1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(43,163,634)</w:t>
            </w:r>
          </w:p>
        </w:tc>
        <w:tc>
          <w:tcPr>
            <w:tcW w:w="8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(47,023,335)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274,307,840</w:t>
            </w:r>
          </w:p>
        </w:tc>
        <w:tc>
          <w:tcPr>
            <w:tcW w:w="4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207,875,659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541,498,488</w:t>
            </w:r>
          </w:p>
        </w:tc>
        <w:tc>
          <w:tcPr>
            <w:tcW w:w="4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319,260,473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NET ASSET VALUE PER COMMON SHARE</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8.24</w:t>
            </w:r>
          </w:p>
        </w:tc>
        <w:tc>
          <w:tcPr>
            <w:tcW w:w="4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Borders>
              <w:top w:val="single" w:sz="8" w:color="CCFFCC"/>
              <w:bottom w:val="single" w:sz="8" w:color="CCFFCC"/>
            </w:tcBorders>
            <w:vMerge w:val="restart"/>
          </w:tcPr>
          <w:p>
            <w:pPr>
              <w:ind w:left="3940"/>
              <w:spacing w:after="0"/>
              <w:rPr>
                <w:sz w:val="20"/>
                <w:szCs w:val="20"/>
                <w:color w:val="auto"/>
              </w:rPr>
            </w:pPr>
            <w:r>
              <w:rPr>
                <w:rFonts w:ascii="Arial" w:cs="Arial" w:eastAsia="Arial" w:hAnsi="Arial"/>
                <w:sz w:val="18"/>
                <w:szCs w:val="18"/>
                <w:color w:val="auto"/>
              </w:rPr>
              <w:t>See accompanying notes to financial statements.</w:t>
            </w:r>
          </w:p>
        </w:tc>
        <w:tc>
          <w:tcPr>
            <w:tcW w:w="1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200" w:type="dxa"/>
            <w:vAlign w:val="bottom"/>
            <w:tcBorders>
              <w:bottom w:val="single" w:sz="8" w:color="auto"/>
            </w:tcBorders>
          </w:tcPr>
          <w:p>
            <w:pPr>
              <w:ind w:left="564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2012</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 Income:</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from investments in debt securities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2,997,246</w:t>
            </w:r>
          </w:p>
        </w:tc>
        <w:tc>
          <w:tcPr>
            <w:tcW w:w="160" w:type="dxa"/>
            <w:vAlign w:val="bottom"/>
          </w:tcPr>
          <w:p>
            <w:pPr>
              <w:spacing w:after="0"/>
              <w:rPr>
                <w:sz w:val="18"/>
                <w:szCs w:val="18"/>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2,671,291</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5,475,265</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5,172,904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from cash and time deposits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3,026</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845</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7,738</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ind w:left="160"/>
              <w:spacing w:after="0" w:line="201" w:lineRule="exact"/>
              <w:rPr>
                <w:sz w:val="20"/>
                <w:szCs w:val="20"/>
                <w:color w:val="auto"/>
              </w:rPr>
            </w:pPr>
            <w:r>
              <w:rPr>
                <w:rFonts w:ascii="Arial" w:cs="Arial" w:eastAsia="Arial" w:hAnsi="Arial"/>
                <w:sz w:val="18"/>
                <w:szCs w:val="18"/>
                <w:color w:val="auto"/>
                <w:w w:val="97"/>
              </w:rPr>
              <w:t>Dividends from investments in CLO Fund securities managed by non-</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affiliates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323,790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458,538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747,664</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877,703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rPr>
              <w:t>Dividends from investments in CLO Fund securities managed by</w:t>
            </w: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affiliates</w:t>
            </w:r>
          </w:p>
        </w:tc>
        <w:tc>
          <w:tcPr>
            <w:tcW w:w="260" w:type="dxa"/>
            <w:vAlign w:val="bottom"/>
            <w:shd w:val="clear" w:color="auto" w:fill="CCFFCC"/>
          </w:tcPr>
          <w:p>
            <w:pPr>
              <w:spacing w:after="0"/>
              <w:rPr>
                <w:sz w:val="20"/>
                <w:szCs w:val="20"/>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4,557,531</w:t>
            </w: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5,028,886</w:t>
            </w:r>
          </w:p>
        </w:tc>
        <w:tc>
          <w:tcPr>
            <w:tcW w:w="8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10,038,183</w:t>
            </w:r>
          </w:p>
        </w:tc>
        <w:tc>
          <w:tcPr>
            <w:tcW w:w="6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8,642,525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Dividends from affiliate asset managers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1,200,000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6,300,000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Capital structuring service fees</w:t>
            </w:r>
          </w:p>
        </w:tc>
        <w:tc>
          <w:tcPr>
            <w:tcW w:w="26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52,753</w:t>
            </w:r>
          </w:p>
        </w:tc>
        <w:tc>
          <w:tcPr>
            <w:tcW w:w="8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122,044</w:t>
            </w:r>
          </w:p>
        </w:tc>
        <w:tc>
          <w:tcPr>
            <w:tcW w:w="8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59,326</w:t>
            </w:r>
          </w:p>
        </w:tc>
        <w:tc>
          <w:tcPr>
            <w:tcW w:w="6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161,605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investment income</w:t>
            </w:r>
          </w:p>
        </w:tc>
        <w:tc>
          <w:tcPr>
            <w:tcW w:w="26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11,234,346</w:t>
            </w:r>
          </w:p>
        </w:tc>
        <w:tc>
          <w:tcPr>
            <w:tcW w:w="8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9,481,604</w:t>
            </w:r>
          </w:p>
        </w:tc>
        <w:tc>
          <w:tcPr>
            <w:tcW w:w="8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22,628,176</w:t>
            </w:r>
          </w:p>
        </w:tc>
        <w:tc>
          <w:tcPr>
            <w:tcW w:w="6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w w:val="93"/>
              </w:rPr>
              <w:t>16,883,145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and amortization of debt issuance costs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2,250,063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1,646,352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4,510,309</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3,088,638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Compensation</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1,110,409</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1,073,975</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2,020,122</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2,021,710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652,644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245,671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1,294,971</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1,162,331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Insurance</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126,632</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142,676</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255,348</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272,280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Administrative and other</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513,085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369,109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1,019,556</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695,085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Total expenses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4,652,833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3,477,783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9,100,306</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7,240,044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6,581,513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6,003,821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13,527,870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9,643,101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Realized And Unrealized Gains (Losses) On Investments: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realized gains (losses) from investment transactions</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(1,562,529)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(1,645,466)</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304,421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change in unrealized appreciation (depreciation) on:</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Debt securities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124,466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(3,915,572)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2,410,992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7"/>
              </w:rPr>
              <w:t>(4,998,267)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1,064,379</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997,361</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998,942</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1,678,347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CLO Fund securities managed by affiliates</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(3,768,238)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264,851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(8,347,397)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2,631,727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CLO Fund securities managed by non-affiliates</w:t>
            </w:r>
          </w:p>
        </w:tc>
        <w:tc>
          <w:tcPr>
            <w:tcW w:w="2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(820,826)</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(38,767)</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(1,188,235)</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(65,611)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Affiliate asset manager investments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6,910,060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(1,695,927)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9,985,399</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7"/>
              </w:rPr>
              <w:t>(6,999,609)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net change in unrealized appreciation (depreciation)</w:t>
            </w:r>
          </w:p>
        </w:tc>
        <w:tc>
          <w:tcPr>
            <w:tcW w:w="260" w:type="dxa"/>
            <w:vAlign w:val="bottom"/>
            <w:tcBorders>
              <w:top w:val="single" w:sz="8" w:color="auto"/>
              <w:bottom w:val="single" w:sz="8" w:color="auto"/>
            </w:tcBorders>
            <w:shd w:val="clear" w:color="auto" w:fill="CCFFCC"/>
          </w:tcPr>
          <w:p>
            <w:pPr>
              <w:spacing w:after="0"/>
              <w:rPr>
                <w:sz w:val="19"/>
                <w:szCs w:val="19"/>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3,509,841</w:t>
            </w:r>
          </w:p>
        </w:tc>
        <w:tc>
          <w:tcPr>
            <w:tcW w:w="1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340" w:type="dxa"/>
            <w:vAlign w:val="bottom"/>
            <w:tcBorders>
              <w:top w:val="single" w:sz="8" w:color="auto"/>
              <w:bottom w:val="single" w:sz="8" w:color="auto"/>
            </w:tcBorders>
            <w:shd w:val="clear" w:color="auto" w:fill="CCFFCC"/>
          </w:tcPr>
          <w:p>
            <w:pPr>
              <w:spacing w:after="0"/>
              <w:rPr>
                <w:sz w:val="19"/>
                <w:szCs w:val="19"/>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(4,388,054</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tcBorders>
            <w:shd w:val="clear" w:color="auto" w:fill="CCFFCC"/>
          </w:tcPr>
          <w:p>
            <w:pPr>
              <w:spacing w:after="0"/>
              <w:rPr>
                <w:sz w:val="19"/>
                <w:szCs w:val="19"/>
                <w:color w:val="auto"/>
              </w:rPr>
            </w:pPr>
          </w:p>
        </w:tc>
        <w:tc>
          <w:tcPr>
            <w:tcW w:w="260" w:type="dxa"/>
            <w:vAlign w:val="bottom"/>
            <w:tcBorders>
              <w:top w:val="single" w:sz="8" w:color="auto"/>
            </w:tcBorders>
            <w:shd w:val="clear" w:color="auto" w:fill="CCFFCC"/>
          </w:tcPr>
          <w:p>
            <w:pPr>
              <w:spacing w:after="0"/>
              <w:rPr>
                <w:sz w:val="19"/>
                <w:szCs w:val="19"/>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3,859,701</w:t>
            </w:r>
          </w:p>
        </w:tc>
        <w:tc>
          <w:tcPr>
            <w:tcW w:w="140" w:type="dxa"/>
            <w:vAlign w:val="bottom"/>
            <w:tcBorders>
              <w:top w:val="single" w:sz="8" w:color="CCFFCC"/>
            </w:tcBorders>
            <w:shd w:val="clear" w:color="auto" w:fill="CCFFCC"/>
          </w:tcPr>
          <w:p>
            <w:pPr>
              <w:spacing w:after="0"/>
              <w:rPr>
                <w:sz w:val="19"/>
                <w:szCs w:val="19"/>
                <w:color w:val="auto"/>
              </w:rPr>
            </w:pPr>
          </w:p>
        </w:tc>
        <w:tc>
          <w:tcPr>
            <w:tcW w:w="60" w:type="dxa"/>
            <w:vAlign w:val="bottom"/>
            <w:tcBorders>
              <w:top w:val="single" w:sz="8" w:color="CCFFCC"/>
            </w:tcBorders>
            <w:shd w:val="clear" w:color="auto" w:fill="CCFFCC"/>
          </w:tcPr>
          <w:p>
            <w:pPr>
              <w:spacing w:after="0"/>
              <w:rPr>
                <w:sz w:val="19"/>
                <w:szCs w:val="19"/>
                <w:color w:val="auto"/>
              </w:rPr>
            </w:pPr>
          </w:p>
        </w:tc>
        <w:tc>
          <w:tcPr>
            <w:tcW w:w="400" w:type="dxa"/>
            <w:vAlign w:val="bottom"/>
            <w:tcBorders>
              <w:top w:val="single" w:sz="8" w:color="auto"/>
              <w:bottom w:val="single" w:sz="8" w:color="auto"/>
            </w:tcBorders>
            <w:shd w:val="clear" w:color="auto" w:fill="CCFFCC"/>
          </w:tcPr>
          <w:p>
            <w:pPr>
              <w:spacing w:after="0"/>
              <w:rPr>
                <w:sz w:val="19"/>
                <w:szCs w:val="19"/>
                <w:color w:val="auto"/>
              </w:rPr>
            </w:pP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(7,753,413</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w w:val="96"/>
              </w:rPr>
              <w:t>Net realized and unrealized appreciation (depreciation) on investments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1,947,312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(4,386,366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2,214,235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(7,448,992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60" w:type="dxa"/>
            <w:vAlign w:val="bottom"/>
            <w:tcBorders>
              <w:top w:val="single" w:sz="8" w:color="auto"/>
              <w:bottom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8,528,825</w:t>
            </w: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340" w:type="dxa"/>
            <w:vAlign w:val="bottom"/>
            <w:tcBorders>
              <w:top w:val="single" w:sz="8" w:color="auto"/>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1,617,455</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auto"/>
              <w:bottom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15,742,105</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40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2,194,109</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160"/>
              <w:spacing w:after="0" w:line="195" w:lineRule="exact"/>
              <w:rPr>
                <w:sz w:val="20"/>
                <w:szCs w:val="20"/>
                <w:color w:val="auto"/>
              </w:rPr>
            </w:pPr>
            <w:r>
              <w:rPr>
                <w:rFonts w:ascii="Arial" w:cs="Arial" w:eastAsia="Arial" w:hAnsi="Arial"/>
                <w:sz w:val="18"/>
                <w:szCs w:val="18"/>
                <w:color w:val="auto"/>
              </w:rPr>
              <w:t>Net Increase In Net Assets Resulting from Operations per Common</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Share:</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0.26</w:t>
            </w:r>
          </w:p>
        </w:tc>
        <w:tc>
          <w:tcPr>
            <w:tcW w:w="4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0.06</w:t>
            </w:r>
          </w:p>
        </w:tc>
        <w:tc>
          <w:tcPr>
            <w:tcW w:w="340" w:type="dxa"/>
            <w:vAlign w:val="bottom"/>
            <w:gridSpan w:val="2"/>
            <w:shd w:val="clear" w:color="auto" w:fill="CCFFCC"/>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0.51</w:t>
            </w:r>
          </w:p>
        </w:tc>
        <w:tc>
          <w:tcPr>
            <w:tcW w:w="4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0.48</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Investment Income Per Common Share:</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0.23</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0.43</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0.20</w:t>
            </w:r>
          </w:p>
        </w:tc>
        <w:tc>
          <w:tcPr>
            <w:tcW w:w="4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0.23</w:t>
            </w:r>
          </w:p>
        </w:tc>
        <w:tc>
          <w:tcPr>
            <w:tcW w:w="340" w:type="dxa"/>
            <w:vAlign w:val="bottom"/>
            <w:gridSpan w:val="2"/>
            <w:shd w:val="clear" w:color="auto" w:fill="CCFFCC"/>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0.42</w:t>
            </w:r>
          </w:p>
        </w:tc>
        <w:tc>
          <w:tcPr>
            <w:tcW w:w="4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Weighted Average Shares of Common Stock Outstanding—Basic</w:t>
            </w:r>
          </w:p>
        </w:tc>
        <w:tc>
          <w:tcPr>
            <w:tcW w:w="2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33,040,155</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26,633,122</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31,163,596</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w w:val="93"/>
              </w:rPr>
              <w:t>25,451,974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Weighted Average Shares of Common Stock Outstanding—Diluted</w:t>
            </w:r>
          </w:p>
        </w:tc>
        <w:tc>
          <w:tcPr>
            <w:tcW w:w="2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39,372,311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26,633,122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37,495,139</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25,451,974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Operations:</w:t>
            </w:r>
          </w:p>
        </w:tc>
        <w:tc>
          <w:tcPr>
            <w:tcW w:w="18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 investment income</w:t>
            </w: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13,527,870</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9,643,101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Net realized gains (losses) from investment transactions</w:t>
            </w:r>
          </w:p>
        </w:tc>
        <w:tc>
          <w:tcPr>
            <w:tcW w:w="18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(1,645,466)</w:t>
            </w:r>
          </w:p>
        </w:tc>
        <w:tc>
          <w:tcPr>
            <w:tcW w:w="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304,421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3,859,701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(7,753,413)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Net increase in net assets resulting from operations</w:t>
            </w:r>
          </w:p>
        </w:tc>
        <w:tc>
          <w:tcPr>
            <w:tcW w:w="18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15,742,105</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2,194,109</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Tax return of capital Distributions to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 return of capital distributions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decrease in net assets resulting from stockholder distributions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tabs>
          <w:tab w:leader="none" w:pos="1440" w:val="left"/>
        </w:tabs>
        <w:rPr>
          <w:sz w:val="20"/>
          <w:szCs w:val="20"/>
          <w:color w:val="auto"/>
        </w:rPr>
      </w:pPr>
      <w:r>
        <w:rPr>
          <w:rFonts w:ascii="Arial" w:cs="Arial" w:eastAsia="Arial" w:hAnsi="Arial"/>
          <w:sz w:val="16"/>
          <w:szCs w:val="16"/>
          <w:color w:val="auto"/>
        </w:rPr>
        <w:t>(9,251,119)</w:t>
      </w:r>
      <w:r>
        <w:rPr>
          <w:sz w:val="20"/>
          <w:szCs w:val="20"/>
          <w:color w:val="auto"/>
        </w:rPr>
        <w:tab/>
      </w:r>
      <w:r>
        <w:rPr>
          <w:rFonts w:ascii="Arial" w:cs="Arial" w:eastAsia="Arial" w:hAnsi="Arial"/>
          <w:sz w:val="16"/>
          <w:szCs w:val="16"/>
          <w:color w:val="auto"/>
        </w:rPr>
        <w:t>(4,731,232)</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(7,308)</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(9,251,119)</w:t>
      </w:r>
      <w:r>
        <w:rPr>
          <w:rFonts w:ascii="Arial" w:cs="Arial" w:eastAsia="Arial" w:hAnsi="Arial"/>
          <w:sz w:val="16"/>
          <w:szCs w:val="16"/>
          <w:color w:val="auto"/>
        </w:rPr>
        <w:t>(4,738,540)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-130810</wp:posOffset>
            </wp:positionV>
            <wp:extent cx="17322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8360" w:space="720"/>
            <w:col w:w="234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4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Capital transactions: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Issuance of common stock for:</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Interest in affiliate asset manager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25,560,000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Dividend reinvestment plan</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394,275</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280,095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Issuance of common stock for public offering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50,404,236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Vesting of restricted stock</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Convertible Bonds Conversion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8,992,000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Stock based compensation</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150,687</w:t>
            </w:r>
          </w:p>
        </w:tc>
        <w:tc>
          <w:tcPr>
            <w:tcW w:w="1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338,202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Net increase in net assets resulting from capital transactions</w:t>
            </w:r>
          </w:p>
        </w:tc>
        <w:tc>
          <w:tcPr>
            <w:tcW w:w="12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59,941,198</w:t>
            </w: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26,178,798</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assets at beginning of period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207,875,656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180,525,941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40" w:type="dxa"/>
            <w:vAlign w:val="bottom"/>
          </w:tcPr>
          <w:p>
            <w:pPr>
              <w:spacing w:after="0" w:line="201" w:lineRule="exact"/>
              <w:rPr>
                <w:sz w:val="20"/>
                <w:szCs w:val="20"/>
                <w:color w:val="auto"/>
              </w:rPr>
            </w:pPr>
            <w:r>
              <w:rPr>
                <w:rFonts w:ascii="Arial" w:cs="Arial" w:eastAsia="Arial" w:hAnsi="Arial"/>
                <w:sz w:val="18"/>
                <w:szCs w:val="18"/>
                <w:color w:val="auto"/>
                <w:w w:val="91"/>
              </w:rPr>
              <w:t>Net assets at end of period (including undistributed net investment income of $4,380,234 in 2013 and $5,726,464 in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2012)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274,307,840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204,160,309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240" w:type="dxa"/>
            <w:vAlign w:val="bottom"/>
            <w:tcBorders>
              <w:top w:val="single" w:sz="8" w:color="auto"/>
            </w:tcBorders>
            <w:shd w:val="clear" w:color="auto" w:fill="CCFFCC"/>
          </w:tcPr>
          <w:p>
            <w:pPr>
              <w:spacing w:after="0"/>
              <w:rPr>
                <w:sz w:val="17"/>
                <w:szCs w:val="17"/>
                <w:color w:val="auto"/>
              </w:rPr>
            </w:pPr>
          </w:p>
        </w:tc>
        <w:tc>
          <w:tcPr>
            <w:tcW w:w="10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220" w:type="dxa"/>
            <w:vAlign w:val="bottom"/>
            <w:tcBorders>
              <w:top w:val="single" w:sz="8" w:color="auto"/>
            </w:tcBorders>
            <w:shd w:val="clear" w:color="auto" w:fill="CCFFCC"/>
          </w:tcPr>
          <w:p>
            <w:pPr>
              <w:spacing w:after="0"/>
              <w:rPr>
                <w:sz w:val="17"/>
                <w:szCs w:val="17"/>
                <w:color w:val="auto"/>
              </w:rPr>
            </w:pPr>
          </w:p>
        </w:tc>
        <w:tc>
          <w:tcPr>
            <w:tcW w:w="10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asset value per common share</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Common shares outstanding at end of period</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33,298,674</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26,664,132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FFCC"/>
          </w:tcPr>
          <w:p>
            <w:pPr>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Net increase in net assets resulting from operations</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15,742,105</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2,194,109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2"/>
              </w:rPr>
              <w:t>Adjustments to reconcile net increase in net assets resulting from operations to net cash provided by (used in)</w:t>
            </w:r>
          </w:p>
        </w:tc>
        <w:tc>
          <w:tcPr>
            <w:tcW w:w="2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operations:</w:t>
            </w:r>
          </w:p>
        </w:tc>
        <w:tc>
          <w:tcPr>
            <w:tcW w:w="2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rPr>
              <w:t>Net realized (gains) losses on investment transactions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1,645,466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(304,421)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(3,859,701)</w:t>
            </w: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7,753,413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rPr>
              <w:t>Net accretion of discount on securities and loans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496,351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(1,005,102)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Amortization of debt issuance cost</w:t>
            </w:r>
          </w:p>
        </w:tc>
        <w:tc>
          <w:tcPr>
            <w:tcW w:w="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402,169</w:t>
            </w: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283,105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rPr>
              <w:t>Payment-in-kind interest income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(96,908)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150,687</w:t>
            </w: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338,202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Purchases of investments</w:t>
            </w:r>
          </w:p>
        </w:tc>
        <w:tc>
          <w:tcPr>
            <w:tcW w:w="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8"/>
              </w:rPr>
              <w:t>(111,594,696)</w:t>
            </w: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7"/>
              </w:rPr>
              <w:t>(70,119,157)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rPr>
              <w:t>Proceeds from sale and redemption of investments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50,241,800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49,804,938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Increase in interest and dividends receivable</w:t>
            </w:r>
          </w:p>
        </w:tc>
        <w:tc>
          <w:tcPr>
            <w:tcW w:w="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(466,795)</w:t>
            </w: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(374,740)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rPr>
              <w:t>Increase in accounts receivable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(1,091,273)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(1,145,165)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Decrease in time deposits</w:t>
            </w:r>
          </w:p>
        </w:tc>
        <w:tc>
          <w:tcPr>
            <w:tcW w:w="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1,942,834</w:t>
            </w: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rPr>
              <w:t>Increase in other assets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(7,197,635)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(247,782)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Decrease in due from affiliates</w:t>
            </w:r>
          </w:p>
        </w:tc>
        <w:tc>
          <w:tcPr>
            <w:tcW w:w="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rPr>
              <w:t>Decrease in accounts payable and accrued expenses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111,180</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(167,548)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Net cash used in by operating activities</w:t>
            </w:r>
          </w:p>
        </w:tc>
        <w:tc>
          <w:tcPr>
            <w:tcW w:w="2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(53,477,508</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bottom w:val="single" w:sz="8" w:color="auto"/>
            </w:tcBorders>
            <w:shd w:val="clear" w:color="auto" w:fill="CCFFCC"/>
          </w:tcPr>
          <w:p>
            <w:pPr>
              <w:spacing w:after="0"/>
              <w:rPr>
                <w:sz w:val="18"/>
                <w:szCs w:val="18"/>
                <w:color w:val="auto"/>
              </w:rPr>
            </w:pP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(13,083,930</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FFCC"/>
          </w:tcPr>
          <w:p>
            <w:pPr>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50,404,236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Dividends paid in cash</w:t>
            </w:r>
          </w:p>
        </w:tc>
        <w:tc>
          <w:tcPr>
            <w:tcW w:w="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(16,260,229)</w:t>
            </w: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(8,537,984)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Proceeds from issuance of debt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105,250,000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paid on repayment of debt</w:t>
            </w:r>
          </w:p>
        </w:tc>
        <w:tc>
          <w:tcPr>
            <w:tcW w:w="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Increase in restricted cash</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(78,985,473)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(815,478)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60,408,534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12,146,538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CHANGE IN CASH</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6,931,026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(937,392)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shd w:val="clear" w:color="auto" w:fill="CCFFCC"/>
          </w:tcPr>
          <w:p>
            <w:pPr>
              <w:spacing w:after="0"/>
              <w:rPr>
                <w:sz w:val="20"/>
                <w:szCs w:val="20"/>
                <w:color w:val="auto"/>
              </w:rPr>
            </w:pPr>
            <w:r>
              <w:rPr>
                <w:rFonts w:ascii="Arial" w:cs="Arial" w:eastAsia="Arial" w:hAnsi="Arial"/>
                <w:sz w:val="18"/>
                <w:szCs w:val="18"/>
                <w:color w:val="auto"/>
              </w:rPr>
              <w:t>CASH, BEGINNING OF PERIOD</w:t>
            </w:r>
          </w:p>
        </w:tc>
        <w:tc>
          <w:tcPr>
            <w:tcW w:w="26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738,756</w:t>
            </w:r>
          </w:p>
        </w:tc>
        <w:tc>
          <w:tcPr>
            <w:tcW w:w="6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2,555,259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00" w:type="dxa"/>
            <w:vAlign w:val="bottom"/>
            <w:shd w:val="clear" w:color="auto" w:fill="CCFFCC"/>
          </w:tcPr>
          <w:p>
            <w:pPr>
              <w:spacing w:after="0"/>
              <w:rPr>
                <w:sz w:val="20"/>
                <w:szCs w:val="20"/>
                <w:color w:val="auto"/>
              </w:rPr>
            </w:pPr>
            <w:r>
              <w:rPr>
                <w:rFonts w:ascii="Arial" w:cs="Arial" w:eastAsia="Arial" w:hAnsi="Arial"/>
                <w:sz w:val="18"/>
                <w:szCs w:val="18"/>
                <w:color w:val="auto"/>
              </w:rPr>
              <w:t>CASH, END OF PERIOD</w:t>
            </w:r>
          </w:p>
        </w:tc>
        <w:tc>
          <w:tcPr>
            <w:tcW w:w="4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7,669,782</w:t>
            </w:r>
          </w:p>
        </w:tc>
        <w:tc>
          <w:tcPr>
            <w:tcW w:w="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1,617,867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FFCC"/>
          </w:tcPr>
          <w:p>
            <w:pPr>
              <w:spacing w:after="0"/>
              <w:rPr>
                <w:sz w:val="20"/>
                <w:szCs w:val="20"/>
                <w:color w:val="auto"/>
              </w:rPr>
            </w:pPr>
            <w:r>
              <w:rPr>
                <w:rFonts w:ascii="Arial" w:cs="Arial" w:eastAsia="Arial" w:hAnsi="Arial"/>
                <w:sz w:val="18"/>
                <w:szCs w:val="18"/>
                <w:color w:val="auto"/>
              </w:rPr>
              <w:t>Supplemental Information:</w:t>
            </w:r>
          </w:p>
        </w:tc>
        <w:tc>
          <w:tcPr>
            <w:tcW w:w="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Interest paid during the period</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4,193,151</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2,781,731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Dividends paid during the period under the dividend reinvestment plan</w:t>
            </w:r>
          </w:p>
        </w:tc>
        <w:tc>
          <w:tcPr>
            <w:tcW w:w="4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393,297</w:t>
            </w:r>
          </w:p>
        </w:tc>
        <w:tc>
          <w:tcPr>
            <w:tcW w:w="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280,596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Issuance of common stock in connection with acquisition of affiliate asset manager</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25,560,000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of June 30, 2013</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ectPr>
          <w:pgSz w:w="11900" w:h="16838" w:orient="portrait"/>
          <w:cols w:equalWidth="0" w:num="1">
            <w:col w:w="11320"/>
          </w:cols>
          <w:pgMar w:left="240" w:top="877" w:right="339" w:bottom="1440" w:gutter="0" w:footer="0" w:header="0"/>
        </w:sectPr>
      </w:pPr>
    </w:p>
    <w:p>
      <w:pPr>
        <w:spacing w:after="0" w:line="369" w:lineRule="exact"/>
        <w:rPr>
          <w:sz w:val="20"/>
          <w:szCs w:val="20"/>
          <w:color w:val="auto"/>
        </w:rPr>
      </w:pPr>
    </w:p>
    <w:p>
      <w:pPr>
        <w:ind w:right="920"/>
        <w:spacing w:after="0" w:line="247" w:lineRule="auto"/>
        <w:rPr>
          <w:sz w:val="20"/>
          <w:szCs w:val="20"/>
          <w:color w:val="auto"/>
        </w:rPr>
      </w:pPr>
      <w:r>
        <w:rPr>
          <w:rFonts w:ascii="Arial" w:cs="Arial" w:eastAsia="Arial" w:hAnsi="Arial"/>
          <w:sz w:val="12"/>
          <w:szCs w:val="12"/>
          <w:b w:val="1"/>
          <w:bCs w:val="1"/>
          <w:color w:val="auto"/>
        </w:rPr>
        <w:t xml:space="preserve">Portfolio Company / Principal Business </w:t>
      </w:r>
      <w:r>
        <w:rPr>
          <w:rFonts w:ascii="Arial" w:cs="Arial" w:eastAsia="Arial" w:hAnsi="Arial"/>
          <w:sz w:val="12"/>
          <w:szCs w:val="12"/>
          <w:color w:val="auto"/>
        </w:rPr>
        <w:t>Advanced Lighting Technologies, Inc.</w:t>
      </w:r>
      <w:r>
        <w:rPr>
          <w:rFonts w:ascii="Arial" w:cs="Arial" w:eastAsia="Arial" w:hAnsi="Arial"/>
          <w:sz w:val="19"/>
          <w:szCs w:val="19"/>
          <w:color w:val="auto"/>
          <w:vertAlign w:val="superscript"/>
        </w:rPr>
        <w:t>10, 12</w:t>
      </w:r>
    </w:p>
    <w:p>
      <w:pPr>
        <w:ind w:left="140"/>
        <w:spacing w:after="0" w:line="237" w:lineRule="auto"/>
        <w:rPr>
          <w:sz w:val="20"/>
          <w:szCs w:val="20"/>
          <w:color w:val="auto"/>
        </w:rPr>
      </w:pPr>
      <w:r>
        <w:rPr>
          <w:rFonts w:ascii="Arial" w:cs="Arial" w:eastAsia="Arial" w:hAnsi="Arial"/>
          <w:sz w:val="14"/>
          <w:szCs w:val="14"/>
          <w:i w:val="1"/>
          <w:iCs w:val="1"/>
          <w:color w:val="auto"/>
        </w:rPr>
        <w:t>Home and Office Furnishings, Housewares, and Durable Consumer Products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Alaska Communications Systems Holdings, Inc.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Allison Transmission, Inc.</w:t>
      </w:r>
      <w:r>
        <w:rPr>
          <w:rFonts w:ascii="Arial" w:cs="Arial" w:eastAsia="Arial" w:hAnsi="Arial"/>
          <w:sz w:val="23"/>
          <w:szCs w:val="23"/>
          <w:color w:val="auto"/>
          <w:vertAlign w:val="superscript"/>
        </w:rPr>
        <w:t>12</w:t>
      </w:r>
    </w:p>
    <w:p>
      <w:pPr>
        <w:ind w:left="140"/>
        <w:spacing w:after="0"/>
        <w:rPr>
          <w:sz w:val="20"/>
          <w:szCs w:val="20"/>
          <w:color w:val="auto"/>
        </w:rPr>
      </w:pPr>
      <w:r>
        <w:rPr>
          <w:rFonts w:ascii="Arial" w:cs="Arial" w:eastAsia="Arial" w:hAnsi="Arial"/>
          <w:sz w:val="14"/>
          <w:szCs w:val="14"/>
          <w:i w:val="1"/>
          <w:iCs w:val="1"/>
          <w:color w:val="auto"/>
        </w:rPr>
        <w:t>Automobile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Alpha Topco Limited</w:t>
      </w:r>
      <w:r>
        <w:rPr>
          <w:rFonts w:ascii="Arial" w:cs="Arial" w:eastAsia="Arial" w:hAnsi="Arial"/>
          <w:sz w:val="23"/>
          <w:szCs w:val="23"/>
          <w:color w:val="auto"/>
          <w:vertAlign w:val="superscript"/>
        </w:rPr>
        <w:t>3</w:t>
      </w:r>
    </w:p>
    <w:p>
      <w:pPr>
        <w:ind w:left="180"/>
        <w:spacing w:after="0"/>
        <w:rPr>
          <w:sz w:val="20"/>
          <w:szCs w:val="20"/>
          <w:color w:val="auto"/>
        </w:rPr>
      </w:pPr>
      <w:r>
        <w:rPr>
          <w:rFonts w:ascii="Arial" w:cs="Arial" w:eastAsia="Arial" w:hAnsi="Arial"/>
          <w:sz w:val="14"/>
          <w:szCs w:val="14"/>
          <w:i w:val="1"/>
          <w:iCs w:val="1"/>
          <w:color w:val="auto"/>
        </w:rPr>
        <w:t>Automobile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Apria Healthcare Group Inc.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Healthcare, Education and Childcare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Aramark Corporation</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Diversified/Conglomerate Service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Aramark Corporation</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Diversified/Conglomerate Service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Asurion, LLC (fka Asurion Corporation)</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Insurance</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Avis Budget Car Rental, LLC </w:t>
      </w:r>
      <w:r>
        <w:rPr>
          <w:rFonts w:ascii="Arial" w:cs="Arial" w:eastAsia="Arial" w:hAnsi="Arial"/>
          <w:sz w:val="23"/>
          <w:szCs w:val="23"/>
          <w:color w:val="auto"/>
          <w:vertAlign w:val="superscript"/>
        </w:rPr>
        <w:t>12</w:t>
      </w:r>
    </w:p>
    <w:p>
      <w:pPr>
        <w:ind w:left="140"/>
        <w:spacing w:after="0"/>
        <w:rPr>
          <w:sz w:val="20"/>
          <w:szCs w:val="20"/>
          <w:color w:val="auto"/>
        </w:rPr>
      </w:pPr>
      <w:r>
        <w:rPr>
          <w:rFonts w:ascii="Arial" w:cs="Arial" w:eastAsia="Arial" w:hAnsi="Arial"/>
          <w:sz w:val="14"/>
          <w:szCs w:val="14"/>
          <w:i w:val="1"/>
          <w:iCs w:val="1"/>
          <w:color w:val="auto"/>
        </w:rPr>
        <w:t>Personal Transportation</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Bankruptcy Management Solutions,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Diversified/Conglomerate Service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4"/>
          </w:tcPr>
          <w:p>
            <w:pPr>
              <w:spacing w:after="0"/>
              <w:rPr>
                <w:sz w:val="20"/>
                <w:szCs w:val="20"/>
                <w:color w:val="auto"/>
              </w:rPr>
            </w:pPr>
            <w:r>
              <w:rPr>
                <w:rFonts w:ascii="Arial" w:cs="Arial" w:eastAsia="Arial" w:hAnsi="Arial"/>
                <w:sz w:val="14"/>
                <w:szCs w:val="14"/>
                <w:b w:val="1"/>
                <w:bCs w:val="1"/>
                <w:color w:val="auto"/>
              </w:rPr>
              <w:t>Investment</w:t>
            </w: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760" w:type="dxa"/>
            <w:vAlign w:val="bottom"/>
            <w:gridSpan w:val="4"/>
          </w:tcPr>
          <w:p>
            <w:pPr>
              <w:spacing w:after="0"/>
              <w:rPr>
                <w:sz w:val="20"/>
                <w:szCs w:val="20"/>
                <w:color w:val="auto"/>
              </w:rPr>
            </w:pPr>
            <w:r>
              <w:rPr>
                <w:rFonts w:ascii="Arial" w:cs="Arial" w:eastAsia="Arial" w:hAnsi="Arial"/>
                <w:sz w:val="14"/>
                <w:szCs w:val="14"/>
                <w:b w:val="1"/>
                <w:bCs w:val="1"/>
                <w:color w:val="auto"/>
              </w:rPr>
              <w:t>Interest Rate¹ / Maturity</w:t>
            </w: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First Lien Bond — 10.5% Cash,</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760" w:type="dxa"/>
            <w:vAlign w:val="bottom"/>
            <w:gridSpan w:val="4"/>
          </w:tcPr>
          <w:p>
            <w:pPr>
              <w:spacing w:after="0"/>
              <w:rPr>
                <w:sz w:val="20"/>
                <w:szCs w:val="20"/>
                <w:color w:val="auto"/>
              </w:rPr>
            </w:pPr>
            <w:r>
              <w:rPr>
                <w:rFonts w:ascii="Arial" w:cs="Arial" w:eastAsia="Arial" w:hAnsi="Arial"/>
                <w:sz w:val="14"/>
                <w:szCs w:val="14"/>
                <w:color w:val="auto"/>
              </w:rPr>
              <w:t>Due 6/19</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440" w:type="dxa"/>
            <w:vAlign w:val="bottom"/>
            <w:gridSpan w:val="3"/>
          </w:tcPr>
          <w:p>
            <w:pPr>
              <w:ind w:left="3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3,000,000</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2,932,604</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2,550,300</w:t>
            </w:r>
          </w:p>
        </w:tc>
        <w:tc>
          <w:tcPr>
            <w:tcW w:w="0" w:type="dxa"/>
            <w:vAlign w:val="bottom"/>
          </w:tcPr>
          <w:p>
            <w:pPr>
              <w:spacing w:after="0"/>
              <w:rPr>
                <w:sz w:val="1"/>
                <w:szCs w:val="1"/>
                <w:color w:val="auto"/>
              </w:rPr>
            </w:pPr>
          </w:p>
        </w:tc>
      </w:tr>
      <w:tr>
        <w:trPr>
          <w:trHeight w:val="263"/>
        </w:trPr>
        <w:tc>
          <w:tcPr>
            <w:tcW w:w="376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6.0%</w:t>
            </w:r>
          </w:p>
        </w:tc>
        <w:tc>
          <w:tcPr>
            <w:tcW w:w="3440" w:type="dxa"/>
            <w:vAlign w:val="bottom"/>
            <w:gridSpan w:val="3"/>
          </w:tcPr>
          <w:p>
            <w:pPr>
              <w:ind w:left="20"/>
              <w:spacing w:after="0"/>
              <w:rPr>
                <w:sz w:val="20"/>
                <w:szCs w:val="20"/>
                <w:color w:val="auto"/>
              </w:rPr>
            </w:pPr>
            <w:r>
              <w:rPr>
                <w:rFonts w:ascii="Arial" w:cs="Arial" w:eastAsia="Arial" w:hAnsi="Arial"/>
                <w:sz w:val="14"/>
                <w:szCs w:val="14"/>
                <w:color w:val="auto"/>
              </w:rPr>
              <w:t>Cash, Due 10/16</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2,826,477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2,837,525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2,801,039</w:t>
            </w:r>
          </w:p>
        </w:tc>
        <w:tc>
          <w:tcPr>
            <w:tcW w:w="0" w:type="dxa"/>
            <w:vAlign w:val="bottom"/>
          </w:tcPr>
          <w:p>
            <w:pPr>
              <w:spacing w:after="0"/>
              <w:rPr>
                <w:sz w:val="1"/>
                <w:szCs w:val="1"/>
                <w:color w:val="auto"/>
              </w:rPr>
            </w:pPr>
          </w:p>
        </w:tc>
      </w:tr>
      <w:tr>
        <w:trPr>
          <w:trHeight w:val="263"/>
        </w:trPr>
        <w:tc>
          <w:tcPr>
            <w:tcW w:w="3760" w:type="dxa"/>
            <w:vAlign w:val="bottom"/>
            <w:gridSpan w:val="4"/>
          </w:tcPr>
          <w:p>
            <w:pPr>
              <w:spacing w:after="0"/>
              <w:rPr>
                <w:sz w:val="20"/>
                <w:szCs w:val="20"/>
                <w:color w:val="auto"/>
              </w:rPr>
            </w:pPr>
            <w:r>
              <w:rPr>
                <w:rFonts w:ascii="Arial" w:cs="Arial" w:eastAsia="Arial" w:hAnsi="Arial"/>
                <w:sz w:val="14"/>
                <w:szCs w:val="14"/>
                <w:color w:val="auto"/>
              </w:rPr>
              <w:t>Senior Secured Loan — New Term B-2 Loan</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3.2%</w:t>
            </w:r>
          </w:p>
        </w:tc>
        <w:tc>
          <w:tcPr>
            <w:tcW w:w="3440" w:type="dxa"/>
            <w:vAlign w:val="bottom"/>
            <w:gridSpan w:val="3"/>
          </w:tcPr>
          <w:p>
            <w:pPr>
              <w:ind w:left="20"/>
              <w:spacing w:after="0"/>
              <w:rPr>
                <w:sz w:val="20"/>
                <w:szCs w:val="20"/>
                <w:color w:val="auto"/>
              </w:rPr>
            </w:pPr>
            <w:r>
              <w:rPr>
                <w:rFonts w:ascii="Arial" w:cs="Arial" w:eastAsia="Arial" w:hAnsi="Arial"/>
                <w:sz w:val="14"/>
                <w:szCs w:val="14"/>
                <w:color w:val="auto"/>
              </w:rPr>
              <w:t>Cash, Due 8/17</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1,970,100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1,963,543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1,979,951</w:t>
            </w:r>
          </w:p>
        </w:tc>
        <w:tc>
          <w:tcPr>
            <w:tcW w:w="0" w:type="dxa"/>
            <w:vAlign w:val="bottom"/>
          </w:tcPr>
          <w:p>
            <w:pPr>
              <w:spacing w:after="0"/>
              <w:rPr>
                <w:sz w:val="1"/>
                <w:szCs w:val="1"/>
                <w:color w:val="auto"/>
              </w:rPr>
            </w:pPr>
          </w:p>
        </w:tc>
      </w:tr>
      <w:tr>
        <w:trPr>
          <w:trHeight w:val="263"/>
        </w:trPr>
        <w:tc>
          <w:tcPr>
            <w:tcW w:w="3760" w:type="dxa"/>
            <w:vAlign w:val="bottom"/>
            <w:gridSpan w:val="4"/>
          </w:tcPr>
          <w:p>
            <w:pPr>
              <w:spacing w:after="0"/>
              <w:rPr>
                <w:sz w:val="20"/>
                <w:szCs w:val="20"/>
                <w:color w:val="auto"/>
              </w:rPr>
            </w:pPr>
            <w:r>
              <w:rPr>
                <w:rFonts w:ascii="Arial" w:cs="Arial" w:eastAsia="Arial" w:hAnsi="Arial"/>
                <w:sz w:val="14"/>
                <w:szCs w:val="14"/>
                <w:color w:val="auto"/>
              </w:rPr>
              <w:t>Senior Secured Loan — New Facility B (USD)</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4.5%</w:t>
            </w:r>
          </w:p>
        </w:tc>
        <w:tc>
          <w:tcPr>
            <w:tcW w:w="3440" w:type="dxa"/>
            <w:vAlign w:val="bottom"/>
            <w:gridSpan w:val="3"/>
          </w:tcPr>
          <w:p>
            <w:pPr>
              <w:ind w:left="20"/>
              <w:spacing w:after="0"/>
              <w:rPr>
                <w:sz w:val="20"/>
                <w:szCs w:val="20"/>
                <w:color w:val="auto"/>
              </w:rPr>
            </w:pPr>
            <w:r>
              <w:rPr>
                <w:rFonts w:ascii="Arial" w:cs="Arial" w:eastAsia="Arial" w:hAnsi="Arial"/>
                <w:sz w:val="14"/>
                <w:szCs w:val="14"/>
                <w:color w:val="auto"/>
              </w:rPr>
              <w:t>Cash, Due 4/19</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3,990,000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3,993,741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3,994,988</w:t>
            </w:r>
          </w:p>
        </w:tc>
        <w:tc>
          <w:tcPr>
            <w:tcW w:w="0" w:type="dxa"/>
            <w:vAlign w:val="bottom"/>
          </w:tcPr>
          <w:p>
            <w:pPr>
              <w:spacing w:after="0"/>
              <w:rPr>
                <w:sz w:val="1"/>
                <w:szCs w:val="1"/>
                <w:color w:val="auto"/>
              </w:rPr>
            </w:pPr>
          </w:p>
        </w:tc>
      </w:tr>
      <w:tr>
        <w:trPr>
          <w:trHeight w:val="263"/>
        </w:trPr>
        <w:tc>
          <w:tcPr>
            <w:tcW w:w="3760" w:type="dxa"/>
            <w:vAlign w:val="bottom"/>
            <w:gridSpan w:val="4"/>
          </w:tcPr>
          <w:p>
            <w:pPr>
              <w:spacing w:after="0"/>
              <w:rPr>
                <w:sz w:val="20"/>
                <w:szCs w:val="20"/>
                <w:color w:val="auto"/>
              </w:rPr>
            </w:pPr>
            <w:r>
              <w:rPr>
                <w:rFonts w:ascii="Arial" w:cs="Arial" w:eastAsia="Arial" w:hAnsi="Arial"/>
                <w:sz w:val="14"/>
                <w:szCs w:val="14"/>
                <w:color w:val="auto"/>
              </w:rPr>
              <w:t>Senior Secured Loan — Initial Term Loan</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6.8%</w:t>
            </w:r>
          </w:p>
        </w:tc>
        <w:tc>
          <w:tcPr>
            <w:tcW w:w="3440" w:type="dxa"/>
            <w:vAlign w:val="bottom"/>
            <w:gridSpan w:val="3"/>
          </w:tcPr>
          <w:p>
            <w:pPr>
              <w:ind w:left="20"/>
              <w:spacing w:after="0"/>
              <w:rPr>
                <w:sz w:val="20"/>
                <w:szCs w:val="20"/>
                <w:color w:val="auto"/>
              </w:rPr>
            </w:pPr>
            <w:r>
              <w:rPr>
                <w:rFonts w:ascii="Arial" w:cs="Arial" w:eastAsia="Arial" w:hAnsi="Arial"/>
                <w:sz w:val="14"/>
                <w:szCs w:val="14"/>
                <w:color w:val="auto"/>
              </w:rPr>
              <w:t>Cash, Due 4/20</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3,010,929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3,008,445</w:t>
            </w:r>
          </w:p>
        </w:tc>
        <w:tc>
          <w:tcPr>
            <w:tcW w:w="0" w:type="dxa"/>
            <w:vAlign w:val="bottom"/>
          </w:tcPr>
          <w:p>
            <w:pPr>
              <w:spacing w:after="0"/>
              <w:rPr>
                <w:sz w:val="1"/>
                <w:szCs w:val="1"/>
                <w:color w:val="auto"/>
              </w:rPr>
            </w:pPr>
          </w:p>
        </w:tc>
      </w:tr>
      <w:tr>
        <w:trPr>
          <w:trHeight w:val="263"/>
        </w:trPr>
        <w:tc>
          <w:tcPr>
            <w:tcW w:w="3760" w:type="dxa"/>
            <w:vAlign w:val="bottom"/>
            <w:gridSpan w:val="4"/>
          </w:tcPr>
          <w:p>
            <w:pPr>
              <w:spacing w:after="0"/>
              <w:rPr>
                <w:sz w:val="20"/>
                <w:szCs w:val="20"/>
                <w:color w:val="auto"/>
              </w:rPr>
            </w:pPr>
            <w:r>
              <w:rPr>
                <w:rFonts w:ascii="Arial" w:cs="Arial" w:eastAsia="Arial" w:hAnsi="Arial"/>
                <w:sz w:val="14"/>
                <w:szCs w:val="14"/>
                <w:color w:val="auto"/>
              </w:rPr>
              <w:t>Senior Secured Loan — LC-3 Facility</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3.8%</w:t>
            </w:r>
          </w:p>
        </w:tc>
        <w:tc>
          <w:tcPr>
            <w:tcW w:w="3440" w:type="dxa"/>
            <w:vAlign w:val="bottom"/>
            <w:gridSpan w:val="3"/>
          </w:tcPr>
          <w:p>
            <w:pPr>
              <w:ind w:left="20"/>
              <w:spacing w:after="0"/>
              <w:rPr>
                <w:sz w:val="20"/>
                <w:szCs w:val="20"/>
                <w:color w:val="auto"/>
              </w:rPr>
            </w:pPr>
            <w:r>
              <w:rPr>
                <w:rFonts w:ascii="Arial" w:cs="Arial" w:eastAsia="Arial" w:hAnsi="Arial"/>
                <w:sz w:val="14"/>
                <w:szCs w:val="14"/>
                <w:color w:val="auto"/>
              </w:rPr>
              <w:t>Cash, Due 7/16</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61,707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61,748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61,807</w:t>
            </w:r>
          </w:p>
        </w:tc>
        <w:tc>
          <w:tcPr>
            <w:tcW w:w="0" w:type="dxa"/>
            <w:vAlign w:val="bottom"/>
          </w:tcPr>
          <w:p>
            <w:pPr>
              <w:spacing w:after="0"/>
              <w:rPr>
                <w:sz w:val="1"/>
                <w:szCs w:val="1"/>
                <w:color w:val="auto"/>
              </w:rPr>
            </w:pPr>
          </w:p>
        </w:tc>
      </w:tr>
      <w:tr>
        <w:trPr>
          <w:trHeight w:val="263"/>
        </w:trPr>
        <w:tc>
          <w:tcPr>
            <w:tcW w:w="3760" w:type="dxa"/>
            <w:vAlign w:val="bottom"/>
            <w:gridSpan w:val="4"/>
          </w:tcPr>
          <w:p>
            <w:pPr>
              <w:spacing w:after="0"/>
              <w:rPr>
                <w:sz w:val="20"/>
                <w:szCs w:val="20"/>
                <w:color w:val="auto"/>
              </w:rPr>
            </w:pPr>
            <w:r>
              <w:rPr>
                <w:rFonts w:ascii="Arial" w:cs="Arial" w:eastAsia="Arial" w:hAnsi="Arial"/>
                <w:sz w:val="14"/>
                <w:szCs w:val="14"/>
                <w:color w:val="auto"/>
              </w:rPr>
              <w:t>Senior Secured Loan — U.S. Term C Loan</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3.8%</w:t>
            </w:r>
          </w:p>
        </w:tc>
        <w:tc>
          <w:tcPr>
            <w:tcW w:w="3440" w:type="dxa"/>
            <w:vAlign w:val="bottom"/>
            <w:gridSpan w:val="3"/>
          </w:tcPr>
          <w:p>
            <w:pPr>
              <w:ind w:left="20"/>
              <w:spacing w:after="0"/>
              <w:rPr>
                <w:sz w:val="20"/>
                <w:szCs w:val="20"/>
                <w:color w:val="auto"/>
              </w:rPr>
            </w:pPr>
            <w:r>
              <w:rPr>
                <w:rFonts w:ascii="Arial" w:cs="Arial" w:eastAsia="Arial" w:hAnsi="Arial"/>
                <w:sz w:val="14"/>
                <w:szCs w:val="14"/>
                <w:color w:val="auto"/>
              </w:rPr>
              <w:t>Cash, Due 7/16</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938,293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938,923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939,813</w:t>
            </w:r>
          </w:p>
        </w:tc>
        <w:tc>
          <w:tcPr>
            <w:tcW w:w="0" w:type="dxa"/>
            <w:vAlign w:val="bottom"/>
          </w:tcPr>
          <w:p>
            <w:pPr>
              <w:spacing w:after="0"/>
              <w:rPr>
                <w:sz w:val="1"/>
                <w:szCs w:val="1"/>
                <w:color w:val="auto"/>
              </w:rPr>
            </w:pPr>
          </w:p>
        </w:tc>
      </w:tr>
      <w:tr>
        <w:trPr>
          <w:trHeight w:val="263"/>
        </w:trPr>
        <w:tc>
          <w:tcPr>
            <w:tcW w:w="3760" w:type="dxa"/>
            <w:vAlign w:val="bottom"/>
            <w:gridSpan w:val="4"/>
          </w:tcPr>
          <w:p>
            <w:pPr>
              <w:spacing w:after="0"/>
              <w:rPr>
                <w:sz w:val="20"/>
                <w:szCs w:val="20"/>
                <w:color w:val="auto"/>
              </w:rPr>
            </w:pPr>
            <w:r>
              <w:rPr>
                <w:rFonts w:ascii="Arial" w:cs="Arial" w:eastAsia="Arial" w:hAnsi="Arial"/>
                <w:sz w:val="14"/>
                <w:szCs w:val="14"/>
                <w:color w:val="auto"/>
              </w:rPr>
              <w:t>Senior Secured Loan — Incremental Tranche B-1 Term</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line="149" w:lineRule="exact"/>
              <w:rPr>
                <w:sz w:val="20"/>
                <w:szCs w:val="20"/>
                <w:color w:val="auto"/>
              </w:rPr>
            </w:pPr>
            <w:r>
              <w:rPr>
                <w:rFonts w:ascii="Arial" w:cs="Arial" w:eastAsia="Arial" w:hAnsi="Arial"/>
                <w:sz w:val="14"/>
                <w:szCs w:val="14"/>
                <w:color w:val="auto"/>
                <w:w w:val="96"/>
              </w:rPr>
              <w:t>Loan</w:t>
            </w: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4.5%</w:t>
            </w:r>
          </w:p>
        </w:tc>
        <w:tc>
          <w:tcPr>
            <w:tcW w:w="3440" w:type="dxa"/>
            <w:vAlign w:val="bottom"/>
            <w:gridSpan w:val="3"/>
          </w:tcPr>
          <w:p>
            <w:pPr>
              <w:ind w:left="20"/>
              <w:spacing w:after="0"/>
              <w:rPr>
                <w:sz w:val="20"/>
                <w:szCs w:val="20"/>
                <w:color w:val="auto"/>
              </w:rPr>
            </w:pPr>
            <w:r>
              <w:rPr>
                <w:rFonts w:ascii="Arial" w:cs="Arial" w:eastAsia="Arial" w:hAnsi="Arial"/>
                <w:sz w:val="14"/>
                <w:szCs w:val="14"/>
                <w:color w:val="auto"/>
              </w:rPr>
              <w:t>Cash, Due 5/19</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1,990,000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2,016,406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1,973,831</w:t>
            </w:r>
          </w:p>
        </w:tc>
        <w:tc>
          <w:tcPr>
            <w:tcW w:w="0" w:type="dxa"/>
            <w:vAlign w:val="bottom"/>
          </w:tcPr>
          <w:p>
            <w:pPr>
              <w:spacing w:after="0"/>
              <w:rPr>
                <w:sz w:val="1"/>
                <w:szCs w:val="1"/>
                <w:color w:val="auto"/>
              </w:rPr>
            </w:pPr>
          </w:p>
        </w:tc>
      </w:tr>
      <w:tr>
        <w:trPr>
          <w:trHeight w:val="263"/>
        </w:trPr>
        <w:tc>
          <w:tcPr>
            <w:tcW w:w="3760" w:type="dxa"/>
            <w:vAlign w:val="bottom"/>
            <w:gridSpan w:val="4"/>
          </w:tcPr>
          <w:p>
            <w:pPr>
              <w:spacing w:after="0"/>
              <w:rPr>
                <w:sz w:val="20"/>
                <w:szCs w:val="20"/>
                <w:color w:val="auto"/>
              </w:rPr>
            </w:pPr>
            <w:r>
              <w:rPr>
                <w:rFonts w:ascii="Arial" w:cs="Arial" w:eastAsia="Arial" w:hAnsi="Arial"/>
                <w:sz w:val="14"/>
                <w:szCs w:val="14"/>
                <w:color w:val="auto"/>
              </w:rPr>
              <w:t>Senior Secured Loan — New Tranche B Term Loan (2013)</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3.0%</w:t>
            </w:r>
          </w:p>
        </w:tc>
        <w:tc>
          <w:tcPr>
            <w:tcW w:w="3440" w:type="dxa"/>
            <w:vAlign w:val="bottom"/>
            <w:gridSpan w:val="3"/>
          </w:tcPr>
          <w:p>
            <w:pPr>
              <w:ind w:left="20"/>
              <w:spacing w:after="0"/>
              <w:rPr>
                <w:sz w:val="20"/>
                <w:szCs w:val="20"/>
                <w:color w:val="auto"/>
              </w:rPr>
            </w:pPr>
            <w:r>
              <w:rPr>
                <w:rFonts w:ascii="Arial" w:cs="Arial" w:eastAsia="Arial" w:hAnsi="Arial"/>
                <w:sz w:val="14"/>
                <w:szCs w:val="14"/>
                <w:color w:val="auto"/>
              </w:rPr>
              <w:t>Cash, Due 3/19</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1,980,045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2,015,845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1,986,975</w:t>
            </w:r>
          </w:p>
        </w:tc>
        <w:tc>
          <w:tcPr>
            <w:tcW w:w="0" w:type="dxa"/>
            <w:vAlign w:val="bottom"/>
          </w:tcPr>
          <w:p>
            <w:pPr>
              <w:spacing w:after="0"/>
              <w:rPr>
                <w:sz w:val="1"/>
                <w:szCs w:val="1"/>
                <w:color w:val="auto"/>
              </w:rPr>
            </w:pPr>
          </w:p>
        </w:tc>
      </w:tr>
      <w:tr>
        <w:trPr>
          <w:trHeight w:val="263"/>
        </w:trPr>
        <w:tc>
          <w:tcPr>
            <w:tcW w:w="3760" w:type="dxa"/>
            <w:vAlign w:val="bottom"/>
            <w:gridSpan w:val="4"/>
          </w:tcPr>
          <w:p>
            <w:pPr>
              <w:spacing w:after="0"/>
              <w:rPr>
                <w:sz w:val="20"/>
                <w:szCs w:val="20"/>
                <w:color w:val="auto"/>
              </w:rPr>
            </w:pPr>
            <w:r>
              <w:rPr>
                <w:rFonts w:ascii="Arial" w:cs="Arial" w:eastAsia="Arial" w:hAnsi="Arial"/>
                <w:sz w:val="14"/>
                <w:szCs w:val="14"/>
                <w:color w:val="auto"/>
              </w:rPr>
              <w:t>Senior Secured Loan — Term B Loan (2013)</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7.0%</w:t>
            </w:r>
          </w:p>
        </w:tc>
        <w:tc>
          <w:tcPr>
            <w:tcW w:w="3440" w:type="dxa"/>
            <w:vAlign w:val="bottom"/>
            <w:gridSpan w:val="3"/>
          </w:tcPr>
          <w:p>
            <w:pPr>
              <w:ind w:left="20"/>
              <w:spacing w:after="0"/>
              <w:rPr>
                <w:sz w:val="20"/>
                <w:szCs w:val="20"/>
                <w:color w:val="auto"/>
              </w:rPr>
            </w:pPr>
            <w:r>
              <w:rPr>
                <w:rFonts w:ascii="Arial" w:cs="Arial" w:eastAsia="Arial" w:hAnsi="Arial"/>
                <w:sz w:val="14"/>
                <w:szCs w:val="14"/>
                <w:color w:val="auto"/>
              </w:rPr>
              <w:t>Cash, Due 6/18</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727,273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727,273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724,581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-2761615</wp:posOffset>
            </wp:positionV>
            <wp:extent cx="7246620"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-2453005</wp:posOffset>
            </wp:positionV>
            <wp:extent cx="724662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-2144395</wp:posOffset>
            </wp:positionV>
            <wp:extent cx="724662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-1835785</wp:posOffset>
            </wp:positionV>
            <wp:extent cx="7246620" cy="21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-1526540</wp:posOffset>
            </wp:positionV>
            <wp:extent cx="7246620"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-1217930</wp:posOffset>
            </wp:positionV>
            <wp:extent cx="7246620"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-909320</wp:posOffset>
            </wp:positionV>
            <wp:extent cx="7246620"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-532130</wp:posOffset>
            </wp:positionV>
            <wp:extent cx="7246620"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-223520</wp:posOffset>
            </wp:positionV>
            <wp:extent cx="724662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-3173095</wp:posOffset>
            </wp:positionV>
            <wp:extent cx="7246620" cy="317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120"/>
            <w:col w:w="7760"/>
          </w:cols>
          <w:pgMar w:left="240" w:top="877" w:right="33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7" w:right="339" w:bottom="1440" w:gutter="0" w:footer="0" w:header="0"/>
          <w:type w:val="continuous"/>
        </w:sectPr>
      </w:pPr>
    </w:p>
    <w:bookmarkStart w:id="7" w:name="page8"/>
    <w:bookmarkEnd w:id="7"/>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25" w:lineRule="exact"/>
        <w:rPr>
          <w:sz w:val="20"/>
          <w:szCs w:val="20"/>
          <w:color w:val="auto"/>
        </w:rPr>
      </w:pPr>
    </w:p>
    <w:p>
      <w:pPr>
        <w:ind w:left="140" w:right="1600" w:hanging="132"/>
        <w:spacing w:after="0" w:line="183" w:lineRule="auto"/>
        <w:tabs>
          <w:tab w:leader="none" w:pos="334" w:val="left"/>
        </w:tabs>
        <w:numPr>
          <w:ilvl w:val="0"/>
          <w:numId w:val="2"/>
        </w:numPr>
        <w:rPr>
          <w:rFonts w:ascii="Arial" w:cs="Arial" w:eastAsia="Arial" w:hAnsi="Arial"/>
          <w:sz w:val="13"/>
          <w:szCs w:val="13"/>
          <w:color w:val="auto"/>
        </w:rPr>
      </w:pPr>
      <w:r>
        <w:rPr>
          <w:rFonts w:ascii="Arial" w:cs="Arial" w:eastAsia="Arial" w:hAnsi="Arial"/>
          <w:sz w:val="13"/>
          <w:szCs w:val="13"/>
          <w:color w:val="auto"/>
        </w:rPr>
        <w:t>Industries, LLC</w:t>
      </w:r>
      <w:r>
        <w:rPr>
          <w:rFonts w:ascii="Arial" w:cs="Arial" w:eastAsia="Arial" w:hAnsi="Arial"/>
          <w:sz w:val="20"/>
          <w:szCs w:val="20"/>
          <w:color w:val="auto"/>
          <w:vertAlign w:val="superscript"/>
        </w:rPr>
        <w:t>10, 12</w:t>
      </w:r>
      <w:r>
        <w:rPr>
          <w:rFonts w:ascii="Arial" w:cs="Arial" w:eastAsia="Arial" w:hAnsi="Arial"/>
          <w:sz w:val="13"/>
          <w:szCs w:val="13"/>
          <w:color w:val="auto"/>
        </w:rPr>
        <w:t xml:space="preserve"> </w:t>
      </w:r>
      <w:r>
        <w:rPr>
          <w:rFonts w:ascii="Arial" w:cs="Arial" w:eastAsia="Arial" w:hAnsi="Arial"/>
          <w:sz w:val="13"/>
          <w:szCs w:val="13"/>
          <w:i w:val="1"/>
          <w:iCs w:val="1"/>
          <w:color w:val="auto"/>
        </w:rPr>
        <w:t>Automobile</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Berry Plastics Corporation </w:t>
      </w:r>
      <w:r>
        <w:rPr>
          <w:rFonts w:ascii="Arial" w:cs="Arial" w:eastAsia="Arial" w:hAnsi="Arial"/>
          <w:sz w:val="23"/>
          <w:szCs w:val="23"/>
          <w:color w:val="auto"/>
          <w:vertAlign w:val="superscript"/>
        </w:rPr>
        <w:t>12</w:t>
      </w:r>
    </w:p>
    <w:p>
      <w:pPr>
        <w:ind w:left="140"/>
        <w:spacing w:after="0"/>
        <w:rPr>
          <w:sz w:val="20"/>
          <w:szCs w:val="20"/>
          <w:color w:val="auto"/>
        </w:rPr>
      </w:pPr>
      <w:r>
        <w:rPr>
          <w:rFonts w:ascii="Arial" w:cs="Arial" w:eastAsia="Arial" w:hAnsi="Arial"/>
          <w:sz w:val="14"/>
          <w:szCs w:val="14"/>
          <w:i w:val="1"/>
          <w:iCs w:val="1"/>
          <w:color w:val="auto"/>
        </w:rPr>
        <w:t>Containers, Packaging and Glass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Blue Coat Systems, Inc.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Electronics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Burger King Corporation</w:t>
      </w:r>
      <w:r>
        <w:rPr>
          <w:rFonts w:ascii="Arial" w:cs="Arial" w:eastAsia="Arial" w:hAnsi="Arial"/>
          <w:sz w:val="23"/>
          <w:szCs w:val="23"/>
          <w:color w:val="auto"/>
          <w:vertAlign w:val="superscript"/>
        </w:rPr>
        <w:t>12</w:t>
      </w:r>
    </w:p>
    <w:p>
      <w:pPr>
        <w:ind w:left="140"/>
        <w:spacing w:after="0"/>
        <w:rPr>
          <w:sz w:val="20"/>
          <w:szCs w:val="20"/>
          <w:color w:val="auto"/>
        </w:rPr>
      </w:pPr>
      <w:r>
        <w:rPr>
          <w:rFonts w:ascii="Arial" w:cs="Arial" w:eastAsia="Arial" w:hAnsi="Arial"/>
          <w:sz w:val="14"/>
          <w:szCs w:val="14"/>
          <w:i w:val="1"/>
          <w:iCs w:val="1"/>
          <w:color w:val="auto"/>
        </w:rPr>
        <w:t>Personal, Food and Miscellaneous Services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Caribe Media Inc. (fka Caribe Information</w:t>
      </w:r>
    </w:p>
    <w:p>
      <w:pPr>
        <w:ind w:left="140"/>
        <w:spacing w:after="0" w:line="187" w:lineRule="auto"/>
        <w:rPr>
          <w:sz w:val="20"/>
          <w:szCs w:val="20"/>
          <w:color w:val="auto"/>
        </w:rPr>
      </w:pPr>
      <w:r>
        <w:rPr>
          <w:rFonts w:ascii="Arial" w:cs="Arial" w:eastAsia="Arial" w:hAnsi="Arial"/>
          <w:sz w:val="13"/>
          <w:szCs w:val="13"/>
          <w:color w:val="auto"/>
        </w:rPr>
        <w:t>Investments</w:t>
      </w:r>
      <w:r>
        <w:rPr>
          <w:rFonts w:ascii="Arial" w:cs="Arial" w:eastAsia="Arial" w:hAnsi="Arial"/>
          <w:sz w:val="21"/>
          <w:szCs w:val="21"/>
          <w:color w:val="auto"/>
          <w:vertAlign w:val="superscript"/>
        </w:rPr>
        <w:t>10</w:t>
      </w:r>
      <w:r>
        <w:rPr>
          <w:rFonts w:ascii="Arial" w:cs="Arial" w:eastAsia="Arial" w:hAnsi="Arial"/>
          <w:sz w:val="13"/>
          <w:szCs w:val="13"/>
          <w:color w:val="auto"/>
        </w:rPr>
        <w:t xml:space="preserve"> Incorporated)</w:t>
      </w:r>
    </w:p>
    <w:p>
      <w:pPr>
        <w:ind w:left="140"/>
        <w:spacing w:after="0"/>
        <w:rPr>
          <w:sz w:val="20"/>
          <w:szCs w:val="20"/>
          <w:color w:val="auto"/>
        </w:rPr>
      </w:pPr>
      <w:r>
        <w:rPr>
          <w:rFonts w:ascii="Arial" w:cs="Arial" w:eastAsia="Arial" w:hAnsi="Arial"/>
          <w:sz w:val="14"/>
          <w:szCs w:val="14"/>
          <w:i w:val="1"/>
          <w:iCs w:val="1"/>
          <w:color w:val="auto"/>
        </w:rPr>
        <w:t>Printing and Publishing</w:t>
      </w:r>
    </w:p>
    <w:p>
      <w:pPr>
        <w:spacing w:after="0" w:line="124" w:lineRule="exact"/>
        <w:rPr>
          <w:sz w:val="20"/>
          <w:szCs w:val="20"/>
          <w:color w:val="auto"/>
        </w:rPr>
      </w:pPr>
    </w:p>
    <w:p>
      <w:pPr>
        <w:ind w:left="140" w:hanging="129"/>
        <w:spacing w:after="0" w:line="197" w:lineRule="auto"/>
        <w:rPr>
          <w:sz w:val="20"/>
          <w:szCs w:val="20"/>
          <w:color w:val="auto"/>
        </w:rPr>
      </w:pPr>
      <w:r>
        <w:rPr>
          <w:rFonts w:ascii="Arial" w:cs="Arial" w:eastAsia="Arial" w:hAnsi="Arial"/>
          <w:sz w:val="14"/>
          <w:szCs w:val="14"/>
          <w:color w:val="auto"/>
        </w:rPr>
        <w:t>Catalent Pharma Solutions, Inc. (f/k/a Cardinal Health 409</w:t>
      </w:r>
      <w:r>
        <w:rPr>
          <w:rFonts w:ascii="Arial" w:cs="Arial" w:eastAsia="Arial" w:hAnsi="Arial"/>
          <w:sz w:val="23"/>
          <w:szCs w:val="23"/>
          <w:color w:val="auto"/>
          <w:vertAlign w:val="superscript"/>
        </w:rPr>
        <w:t>10</w:t>
      </w:r>
      <w:r>
        <w:rPr>
          <w:rFonts w:ascii="Arial" w:cs="Arial" w:eastAsia="Arial" w:hAnsi="Arial"/>
          <w:sz w:val="14"/>
          <w:szCs w:val="14"/>
          <w:color w:val="auto"/>
        </w:rPr>
        <w:t>, Inc.)</w:t>
      </w:r>
    </w:p>
    <w:p>
      <w:pPr>
        <w:ind w:left="140"/>
        <w:spacing w:after="0"/>
        <w:rPr>
          <w:sz w:val="20"/>
          <w:szCs w:val="20"/>
          <w:color w:val="auto"/>
        </w:rPr>
      </w:pPr>
      <w:r>
        <w:rPr>
          <w:rFonts w:ascii="Arial" w:cs="Arial" w:eastAsia="Arial" w:hAnsi="Arial"/>
          <w:sz w:val="14"/>
          <w:szCs w:val="14"/>
          <w:i w:val="1"/>
          <w:iCs w:val="1"/>
          <w:color w:val="auto"/>
        </w:rPr>
        <w:t>Healthcare, Education and Childcare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Catalina Marketing Corporation</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Diversified/Conglomerate Service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Chrysler Group LLC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Automobile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Interest Rate¹ / Maturity</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Senior Secured Loan — Term Loan B</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6.5% Cash, Due 3/19</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2,962,500</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2,947,596</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2,962,500</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Term C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2.2% Cash, Due 4/15</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1,968,504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1,949,168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1,969,183</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New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4.5% Cash, Due 5/19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4,015,000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3,988,320</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Tranche B Term Loan (2012)</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3.8% Cash, Due 9/19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1,637,625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1,637,968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1,650,193</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560" w:type="dxa"/>
            <w:vAlign w:val="bottom"/>
            <w:gridSpan w:val="2"/>
          </w:tcPr>
          <w:p>
            <w:pPr>
              <w:spacing w:after="0"/>
              <w:rPr>
                <w:sz w:val="20"/>
                <w:szCs w:val="20"/>
                <w:color w:val="auto"/>
              </w:rPr>
            </w:pPr>
            <w:r>
              <w:rPr>
                <w:rFonts w:ascii="Arial" w:cs="Arial" w:eastAsia="Arial" w:hAnsi="Arial"/>
                <w:sz w:val="14"/>
                <w:szCs w:val="14"/>
                <w:color w:val="auto"/>
              </w:rPr>
              <w:t>10.0% Cash, Due 11/14</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511,876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511,876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509,623</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w w:val="98"/>
              </w:rPr>
              <w:t>Senior Secured Loan — Refinancing Dollar Term-2 (2017)</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560" w:type="dxa"/>
            <w:vAlign w:val="bottom"/>
            <w:gridSpan w:val="2"/>
          </w:tcPr>
          <w:p>
            <w:pPr>
              <w:spacing w:after="0"/>
              <w:rPr>
                <w:sz w:val="20"/>
                <w:szCs w:val="20"/>
                <w:color w:val="auto"/>
              </w:rPr>
            </w:pPr>
            <w:r>
              <w:rPr>
                <w:rFonts w:ascii="Arial" w:cs="Arial" w:eastAsia="Arial" w:hAnsi="Arial"/>
                <w:sz w:val="14"/>
                <w:szCs w:val="14"/>
                <w:color w:val="auto"/>
              </w:rPr>
              <w:t>4.3% Cash, Due 9/17</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3,994,987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3,992,500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3,992,590</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2017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5.7% Cash, Due 9/17</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1,704,212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1,679,331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1,716,994</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Term Loan B</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4.3% Cash, Due 5/17</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1,969,849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1,974,724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1,980,319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-2264410</wp:posOffset>
            </wp:positionV>
            <wp:extent cx="7246620" cy="214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-1955800</wp:posOffset>
            </wp:positionV>
            <wp:extent cx="7246620"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-1646555</wp:posOffset>
            </wp:positionV>
            <wp:extent cx="7246620" cy="214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-1337945</wp:posOffset>
            </wp:positionV>
            <wp:extent cx="724662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-935355</wp:posOffset>
            </wp:positionV>
            <wp:extent cx="7246620"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-532130</wp:posOffset>
            </wp:positionV>
            <wp:extent cx="7246620"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-223520</wp:posOffset>
            </wp:positionV>
            <wp:extent cx="7246620" cy="214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-2581910</wp:posOffset>
            </wp:positionV>
            <wp:extent cx="7246620"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3140" w:space="420"/>
            <w:col w:w="7860"/>
          </w:cols>
          <w:pgMar w:left="240" w:top="861"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4"/>
                <w:szCs w:val="14"/>
                <w:color w:val="auto"/>
              </w:rPr>
              <w:t>Clover Technologies Group, LLC (Clover</w:t>
            </w:r>
          </w:p>
        </w:tc>
        <w:tc>
          <w:tcPr>
            <w:tcW w:w="3640" w:type="dxa"/>
            <w:vAlign w:val="bottom"/>
            <w:shd w:val="clear" w:color="auto" w:fill="CCFFCC"/>
          </w:tcPr>
          <w:p>
            <w:pPr>
              <w:ind w:left="100"/>
              <w:spacing w:after="0"/>
              <w:rPr>
                <w:sz w:val="20"/>
                <w:szCs w:val="20"/>
                <w:color w:val="auto"/>
              </w:rPr>
            </w:pPr>
            <w:r>
              <w:rPr>
                <w:rFonts w:ascii="Arial" w:cs="Arial" w:eastAsia="Arial" w:hAnsi="Arial"/>
                <w:sz w:val="14"/>
                <w:szCs w:val="14"/>
                <w:color w:val="auto"/>
              </w:rPr>
              <w:t>Senior Secured Loan — Term Loan</w:t>
            </w:r>
          </w:p>
        </w:tc>
        <w:tc>
          <w:tcPr>
            <w:tcW w:w="1700" w:type="dxa"/>
            <w:vAlign w:val="bottom"/>
            <w:shd w:val="clear" w:color="auto" w:fill="CCFFCC"/>
          </w:tcPr>
          <w:p>
            <w:pPr>
              <w:spacing w:after="0"/>
              <w:rPr>
                <w:sz w:val="14"/>
                <w:szCs w:val="14"/>
                <w:color w:val="auto"/>
              </w:rPr>
            </w:pPr>
          </w:p>
        </w:tc>
        <w:tc>
          <w:tcPr>
            <w:tcW w:w="1500" w:type="dxa"/>
            <w:vAlign w:val="bottom"/>
            <w:shd w:val="clear" w:color="auto" w:fill="CCFFCC"/>
          </w:tcPr>
          <w:p>
            <w:pPr>
              <w:spacing w:after="0"/>
              <w:rPr>
                <w:sz w:val="14"/>
                <w:szCs w:val="14"/>
                <w:color w:val="auto"/>
              </w:rPr>
            </w:pPr>
          </w:p>
        </w:tc>
        <w:tc>
          <w:tcPr>
            <w:tcW w:w="1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shd w:val="clear" w:color="auto" w:fill="CCFFCC"/>
          </w:tcPr>
          <w:p>
            <w:pPr>
              <w:ind w:left="120"/>
              <w:spacing w:after="0" w:line="189" w:lineRule="exact"/>
              <w:rPr>
                <w:sz w:val="20"/>
                <w:szCs w:val="20"/>
                <w:color w:val="auto"/>
              </w:rPr>
            </w:pPr>
            <w:r>
              <w:rPr>
                <w:rFonts w:ascii="Arial" w:cs="Arial" w:eastAsia="Arial" w:hAnsi="Arial"/>
                <w:sz w:val="13"/>
                <w:szCs w:val="13"/>
                <w:color w:val="auto"/>
              </w:rPr>
              <w:t>Holdings Inc.)</w:t>
            </w:r>
            <w:r>
              <w:rPr>
                <w:rFonts w:ascii="Arial" w:cs="Arial" w:eastAsia="Arial" w:hAnsi="Arial"/>
                <w:sz w:val="21"/>
                <w:szCs w:val="21"/>
                <w:color w:val="auto"/>
                <w:vertAlign w:val="superscript"/>
              </w:rPr>
              <w:t>10, 12</w:t>
            </w:r>
          </w:p>
        </w:tc>
        <w:tc>
          <w:tcPr>
            <w:tcW w:w="3640" w:type="dxa"/>
            <w:vAlign w:val="bottom"/>
            <w:shd w:val="clear" w:color="auto" w:fill="CCFFCC"/>
          </w:tcPr>
          <w:p>
            <w:pPr>
              <w:ind w:left="100"/>
              <w:spacing w:after="0"/>
              <w:rPr>
                <w:sz w:val="20"/>
                <w:szCs w:val="20"/>
                <w:color w:val="auto"/>
              </w:rPr>
            </w:pPr>
            <w:r>
              <w:rPr>
                <w:rFonts w:ascii="Arial" w:cs="Arial" w:eastAsia="Arial" w:hAnsi="Arial"/>
                <w:sz w:val="14"/>
                <w:szCs w:val="14"/>
                <w:color w:val="auto"/>
              </w:rPr>
              <w:t>7.8% Cash, Due 5/18</w:t>
            </w:r>
          </w:p>
        </w:tc>
        <w:tc>
          <w:tcPr>
            <w:tcW w:w="1700" w:type="dxa"/>
            <w:vAlign w:val="bottom"/>
            <w:shd w:val="clear" w:color="auto" w:fill="CCFFCC"/>
          </w:tcPr>
          <w:p>
            <w:pPr>
              <w:spacing w:after="0"/>
              <w:rPr>
                <w:sz w:val="16"/>
                <w:szCs w:val="16"/>
                <w:color w:val="auto"/>
              </w:rPr>
            </w:pPr>
          </w:p>
        </w:tc>
        <w:tc>
          <w:tcPr>
            <w:tcW w:w="1500" w:type="dxa"/>
            <w:vAlign w:val="bottom"/>
            <w:shd w:val="clear" w:color="auto" w:fill="CCFFCC"/>
          </w:tcPr>
          <w:p>
            <w:pPr>
              <w:spacing w:after="0"/>
              <w:rPr>
                <w:sz w:val="16"/>
                <w:szCs w:val="16"/>
                <w:color w:val="auto"/>
              </w:rPr>
            </w:pPr>
          </w:p>
        </w:tc>
        <w:tc>
          <w:tcPr>
            <w:tcW w:w="1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FFCC"/>
          </w:tcPr>
          <w:p>
            <w:pPr>
              <w:ind w:left="120"/>
              <w:spacing w:after="0" w:line="149" w:lineRule="exact"/>
              <w:rPr>
                <w:sz w:val="20"/>
                <w:szCs w:val="20"/>
                <w:color w:val="auto"/>
              </w:rPr>
            </w:pPr>
            <w:r>
              <w:rPr>
                <w:rFonts w:ascii="Arial" w:cs="Arial" w:eastAsia="Arial" w:hAnsi="Arial"/>
                <w:sz w:val="14"/>
                <w:szCs w:val="14"/>
                <w:i w:val="1"/>
                <w:iCs w:val="1"/>
                <w:color w:val="auto"/>
              </w:rPr>
              <w:t>Personal and Non Durable Consumer Products (Mfg.</w:t>
            </w:r>
          </w:p>
        </w:tc>
        <w:tc>
          <w:tcPr>
            <w:tcW w:w="3640" w:type="dxa"/>
            <w:vAlign w:val="bottom"/>
            <w:shd w:val="clear" w:color="auto" w:fill="CCFFCC"/>
          </w:tcPr>
          <w:p>
            <w:pPr>
              <w:spacing w:after="0"/>
              <w:rPr>
                <w:sz w:val="12"/>
                <w:szCs w:val="12"/>
                <w:color w:val="auto"/>
              </w:rPr>
            </w:pPr>
          </w:p>
        </w:tc>
        <w:tc>
          <w:tcPr>
            <w:tcW w:w="1700" w:type="dxa"/>
            <w:vAlign w:val="bottom"/>
            <w:shd w:val="clear" w:color="auto" w:fill="CCFFCC"/>
          </w:tcPr>
          <w:p>
            <w:pPr>
              <w:spacing w:after="0"/>
              <w:rPr>
                <w:sz w:val="12"/>
                <w:szCs w:val="12"/>
                <w:color w:val="auto"/>
              </w:rPr>
            </w:pPr>
          </w:p>
        </w:tc>
        <w:tc>
          <w:tcPr>
            <w:tcW w:w="150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40" w:type="dxa"/>
            <w:vAlign w:val="bottom"/>
            <w:shd w:val="clear" w:color="auto" w:fill="CCFFCC"/>
          </w:tcPr>
          <w:p>
            <w:pPr>
              <w:ind w:left="120"/>
              <w:spacing w:after="0"/>
              <w:rPr>
                <w:sz w:val="20"/>
                <w:szCs w:val="20"/>
                <w:color w:val="auto"/>
              </w:rPr>
            </w:pPr>
            <w:r>
              <w:rPr>
                <w:rFonts w:ascii="Arial" w:cs="Arial" w:eastAsia="Arial" w:hAnsi="Arial"/>
                <w:sz w:val="14"/>
                <w:szCs w:val="14"/>
                <w:i w:val="1"/>
                <w:iCs w:val="1"/>
                <w:color w:val="auto"/>
              </w:rPr>
              <w:t>Only)</w:t>
            </w:r>
          </w:p>
        </w:tc>
        <w:tc>
          <w:tcPr>
            <w:tcW w:w="3640" w:type="dxa"/>
            <w:vAlign w:val="bottom"/>
            <w:shd w:val="clear" w:color="auto" w:fill="CCFFCC"/>
          </w:tcPr>
          <w:p>
            <w:pPr>
              <w:spacing w:after="0"/>
              <w:rPr>
                <w:sz w:val="14"/>
                <w:szCs w:val="14"/>
                <w:color w:val="auto"/>
              </w:rPr>
            </w:pPr>
          </w:p>
        </w:tc>
        <w:tc>
          <w:tcPr>
            <w:tcW w:w="1700" w:type="dxa"/>
            <w:vAlign w:val="bottom"/>
            <w:shd w:val="clear" w:color="auto" w:fill="CCFFCC"/>
          </w:tcPr>
          <w:p>
            <w:pPr>
              <w:jc w:val="right"/>
              <w:ind w:right="348"/>
              <w:spacing w:after="0"/>
              <w:rPr>
                <w:sz w:val="20"/>
                <w:szCs w:val="20"/>
                <w:color w:val="auto"/>
              </w:rPr>
            </w:pPr>
            <w:r>
              <w:rPr>
                <w:rFonts w:ascii="Arial" w:cs="Arial" w:eastAsia="Arial" w:hAnsi="Arial"/>
                <w:sz w:val="14"/>
                <w:szCs w:val="14"/>
                <w:color w:val="auto"/>
              </w:rPr>
              <w:t>2,961,343</w:t>
            </w:r>
          </w:p>
        </w:tc>
        <w:tc>
          <w:tcPr>
            <w:tcW w:w="150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3,002,884</w:t>
            </w: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2,961,342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4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7"/>
              </w:rPr>
              <w:t>CoActive Technologies LLC (fka CoActive Technologies,</w:t>
            </w:r>
          </w:p>
        </w:tc>
        <w:tc>
          <w:tcPr>
            <w:tcW w:w="3640" w:type="dxa"/>
            <w:vAlign w:val="bottom"/>
            <w:shd w:val="clear" w:color="auto" w:fill="CCFFCC"/>
          </w:tcPr>
          <w:p>
            <w:pPr>
              <w:ind w:left="100"/>
              <w:spacing w:after="0" w:line="130" w:lineRule="exact"/>
              <w:rPr>
                <w:sz w:val="20"/>
                <w:szCs w:val="20"/>
                <w:color w:val="auto"/>
              </w:rPr>
            </w:pPr>
            <w:r>
              <w:rPr>
                <w:rFonts w:ascii="Arial" w:cs="Arial" w:eastAsia="Arial" w:hAnsi="Arial"/>
                <w:sz w:val="14"/>
                <w:szCs w:val="14"/>
                <w:color w:val="auto"/>
              </w:rPr>
              <w:t>Junior Secured Loan — Term Loan (Second Lien)</w:t>
            </w:r>
          </w:p>
        </w:tc>
        <w:tc>
          <w:tcPr>
            <w:tcW w:w="1700" w:type="dxa"/>
            <w:vAlign w:val="bottom"/>
            <w:shd w:val="clear" w:color="auto" w:fill="CCFFCC"/>
          </w:tcPr>
          <w:p>
            <w:pPr>
              <w:spacing w:after="0"/>
              <w:rPr>
                <w:sz w:val="11"/>
                <w:szCs w:val="11"/>
                <w:color w:val="auto"/>
              </w:rPr>
            </w:pPr>
          </w:p>
        </w:tc>
        <w:tc>
          <w:tcPr>
            <w:tcW w:w="1500" w:type="dxa"/>
            <w:vAlign w:val="bottom"/>
            <w:shd w:val="clear" w:color="auto" w:fill="CCFFCC"/>
          </w:tcPr>
          <w:p>
            <w:pPr>
              <w:spacing w:after="0"/>
              <w:rPr>
                <w:sz w:val="11"/>
                <w:szCs w:val="11"/>
                <w:color w:val="auto"/>
              </w:rPr>
            </w:pPr>
          </w:p>
        </w:tc>
        <w:tc>
          <w:tcPr>
            <w:tcW w:w="1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shd w:val="clear" w:color="auto" w:fill="CCFFCC"/>
          </w:tcPr>
          <w:p>
            <w:pPr>
              <w:ind w:left="120"/>
              <w:spacing w:after="0" w:line="189" w:lineRule="exact"/>
              <w:rPr>
                <w:sz w:val="20"/>
                <w:szCs w:val="20"/>
                <w:color w:val="auto"/>
              </w:rPr>
            </w:pPr>
            <w:r>
              <w:rPr>
                <w:rFonts w:ascii="Arial" w:cs="Arial" w:eastAsia="Arial" w:hAnsi="Arial"/>
                <w:sz w:val="13"/>
                <w:szCs w:val="13"/>
                <w:color w:val="auto"/>
              </w:rPr>
              <w:t>Inc.)</w:t>
            </w:r>
            <w:r>
              <w:rPr>
                <w:rFonts w:ascii="Arial" w:cs="Arial" w:eastAsia="Arial" w:hAnsi="Arial"/>
                <w:sz w:val="21"/>
                <w:szCs w:val="21"/>
                <w:color w:val="auto"/>
                <w:vertAlign w:val="superscript"/>
              </w:rPr>
              <w:t>8, 10</w:t>
            </w:r>
          </w:p>
        </w:tc>
        <w:tc>
          <w:tcPr>
            <w:tcW w:w="3640" w:type="dxa"/>
            <w:vAlign w:val="bottom"/>
            <w:shd w:val="clear" w:color="auto" w:fill="CCFFCC"/>
          </w:tcPr>
          <w:p>
            <w:pPr>
              <w:ind w:left="100"/>
              <w:spacing w:after="0"/>
              <w:rPr>
                <w:sz w:val="20"/>
                <w:szCs w:val="20"/>
                <w:color w:val="auto"/>
              </w:rPr>
            </w:pPr>
            <w:r>
              <w:rPr>
                <w:rFonts w:ascii="Arial" w:cs="Arial" w:eastAsia="Arial" w:hAnsi="Arial"/>
                <w:sz w:val="14"/>
                <w:szCs w:val="14"/>
                <w:color w:val="auto"/>
              </w:rPr>
              <w:t>11.9% PIK, Due 1/15</w:t>
            </w:r>
          </w:p>
        </w:tc>
        <w:tc>
          <w:tcPr>
            <w:tcW w:w="1700" w:type="dxa"/>
            <w:vAlign w:val="bottom"/>
            <w:shd w:val="clear" w:color="auto" w:fill="CCFFCC"/>
          </w:tcPr>
          <w:p>
            <w:pPr>
              <w:spacing w:after="0"/>
              <w:rPr>
                <w:sz w:val="16"/>
                <w:szCs w:val="16"/>
                <w:color w:val="auto"/>
              </w:rPr>
            </w:pPr>
          </w:p>
        </w:tc>
        <w:tc>
          <w:tcPr>
            <w:tcW w:w="1500" w:type="dxa"/>
            <w:vAlign w:val="bottom"/>
            <w:shd w:val="clear" w:color="auto" w:fill="CCFFCC"/>
          </w:tcPr>
          <w:p>
            <w:pPr>
              <w:spacing w:after="0"/>
              <w:rPr>
                <w:sz w:val="16"/>
                <w:szCs w:val="16"/>
                <w:color w:val="auto"/>
              </w:rPr>
            </w:pPr>
          </w:p>
        </w:tc>
        <w:tc>
          <w:tcPr>
            <w:tcW w:w="1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FFCC"/>
          </w:tcPr>
          <w:p>
            <w:pPr>
              <w:ind w:left="120"/>
              <w:spacing w:after="0" w:line="149" w:lineRule="exact"/>
              <w:rPr>
                <w:sz w:val="20"/>
                <w:szCs w:val="20"/>
                <w:color w:val="auto"/>
              </w:rPr>
            </w:pPr>
            <w:r>
              <w:rPr>
                <w:rFonts w:ascii="Arial" w:cs="Arial" w:eastAsia="Arial" w:hAnsi="Arial"/>
                <w:sz w:val="14"/>
                <w:szCs w:val="14"/>
                <w:i w:val="1"/>
                <w:iCs w:val="1"/>
                <w:color w:val="auto"/>
              </w:rPr>
              <w:t>Machinery (Non-Agriculture, Non-Construction, Non-</w:t>
            </w:r>
          </w:p>
        </w:tc>
        <w:tc>
          <w:tcPr>
            <w:tcW w:w="3640" w:type="dxa"/>
            <w:vAlign w:val="bottom"/>
            <w:shd w:val="clear" w:color="auto" w:fill="CCFFCC"/>
          </w:tcPr>
          <w:p>
            <w:pPr>
              <w:spacing w:after="0"/>
              <w:rPr>
                <w:sz w:val="12"/>
                <w:szCs w:val="12"/>
                <w:color w:val="auto"/>
              </w:rPr>
            </w:pPr>
          </w:p>
        </w:tc>
        <w:tc>
          <w:tcPr>
            <w:tcW w:w="1700" w:type="dxa"/>
            <w:vAlign w:val="bottom"/>
            <w:shd w:val="clear" w:color="auto" w:fill="CCFFCC"/>
          </w:tcPr>
          <w:p>
            <w:pPr>
              <w:spacing w:after="0"/>
              <w:rPr>
                <w:sz w:val="12"/>
                <w:szCs w:val="12"/>
                <w:color w:val="auto"/>
              </w:rPr>
            </w:pPr>
          </w:p>
        </w:tc>
        <w:tc>
          <w:tcPr>
            <w:tcW w:w="150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40" w:type="dxa"/>
            <w:vAlign w:val="bottom"/>
            <w:shd w:val="clear" w:color="auto" w:fill="CCFFCC"/>
          </w:tcPr>
          <w:p>
            <w:pPr>
              <w:ind w:left="120"/>
              <w:spacing w:after="0"/>
              <w:rPr>
                <w:sz w:val="20"/>
                <w:szCs w:val="20"/>
                <w:color w:val="auto"/>
              </w:rPr>
            </w:pPr>
            <w:r>
              <w:rPr>
                <w:rFonts w:ascii="Arial" w:cs="Arial" w:eastAsia="Arial" w:hAnsi="Arial"/>
                <w:sz w:val="14"/>
                <w:szCs w:val="14"/>
                <w:i w:val="1"/>
                <w:iCs w:val="1"/>
                <w:color w:val="auto"/>
              </w:rPr>
              <w:t>Electronic)</w:t>
            </w:r>
          </w:p>
        </w:tc>
        <w:tc>
          <w:tcPr>
            <w:tcW w:w="3640" w:type="dxa"/>
            <w:vAlign w:val="bottom"/>
            <w:shd w:val="clear" w:color="auto" w:fill="CCFFCC"/>
          </w:tcPr>
          <w:p>
            <w:pPr>
              <w:spacing w:after="0"/>
              <w:rPr>
                <w:sz w:val="14"/>
                <w:szCs w:val="14"/>
                <w:color w:val="auto"/>
              </w:rPr>
            </w:pPr>
          </w:p>
        </w:tc>
        <w:tc>
          <w:tcPr>
            <w:tcW w:w="1700" w:type="dxa"/>
            <w:vAlign w:val="bottom"/>
            <w:shd w:val="clear" w:color="auto" w:fill="CCFFCC"/>
          </w:tcPr>
          <w:p>
            <w:pPr>
              <w:jc w:val="right"/>
              <w:ind w:right="348"/>
              <w:spacing w:after="0"/>
              <w:rPr>
                <w:sz w:val="20"/>
                <w:szCs w:val="20"/>
                <w:color w:val="auto"/>
              </w:rPr>
            </w:pPr>
            <w:r>
              <w:rPr>
                <w:rFonts w:ascii="Arial" w:cs="Arial" w:eastAsia="Arial" w:hAnsi="Arial"/>
                <w:sz w:val="14"/>
                <w:szCs w:val="14"/>
                <w:color w:val="auto"/>
              </w:rPr>
              <w:t>2,063,007</w:t>
            </w:r>
          </w:p>
        </w:tc>
        <w:tc>
          <w:tcPr>
            <w:tcW w:w="150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1,987,358</w:t>
            </w: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1,355,188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440" w:type="dxa"/>
            <w:vAlign w:val="bottom"/>
            <w:shd w:val="clear" w:color="auto" w:fill="CCFFCC"/>
          </w:tcPr>
          <w:p>
            <w:pPr>
              <w:spacing w:after="0" w:line="162" w:lineRule="exact"/>
              <w:rPr>
                <w:sz w:val="20"/>
                <w:szCs w:val="20"/>
                <w:color w:val="auto"/>
              </w:rPr>
            </w:pPr>
            <w:r>
              <w:rPr>
                <w:rFonts w:ascii="Arial" w:cs="Arial" w:eastAsia="Arial" w:hAnsi="Arial"/>
                <w:sz w:val="12"/>
                <w:szCs w:val="12"/>
                <w:color w:val="auto"/>
              </w:rPr>
              <w:t>Del Monte Foods Company</w:t>
            </w:r>
            <w:r>
              <w:rPr>
                <w:rFonts w:ascii="Arial" w:cs="Arial" w:eastAsia="Arial" w:hAnsi="Arial"/>
                <w:sz w:val="18"/>
                <w:szCs w:val="18"/>
                <w:color w:val="auto"/>
                <w:vertAlign w:val="superscript"/>
              </w:rPr>
              <w:t>10, 12</w:t>
            </w:r>
          </w:p>
        </w:tc>
        <w:tc>
          <w:tcPr>
            <w:tcW w:w="3640" w:type="dxa"/>
            <w:vAlign w:val="bottom"/>
            <w:shd w:val="clear" w:color="auto" w:fill="CCFFCC"/>
          </w:tcPr>
          <w:p>
            <w:pPr>
              <w:ind w:left="100"/>
              <w:spacing w:after="0"/>
              <w:rPr>
                <w:sz w:val="20"/>
                <w:szCs w:val="20"/>
                <w:color w:val="auto"/>
              </w:rPr>
            </w:pPr>
            <w:r>
              <w:rPr>
                <w:rFonts w:ascii="Arial" w:cs="Arial" w:eastAsia="Arial" w:hAnsi="Arial"/>
                <w:sz w:val="14"/>
                <w:szCs w:val="14"/>
                <w:color w:val="auto"/>
              </w:rPr>
              <w:t>Senior Secured Loan — Initial Term Loan</w:t>
            </w:r>
          </w:p>
        </w:tc>
        <w:tc>
          <w:tcPr>
            <w:tcW w:w="1700" w:type="dxa"/>
            <w:vAlign w:val="bottom"/>
            <w:shd w:val="clear" w:color="auto" w:fill="CCFFCC"/>
          </w:tcPr>
          <w:p>
            <w:pPr>
              <w:spacing w:after="0"/>
              <w:rPr>
                <w:sz w:val="14"/>
                <w:szCs w:val="14"/>
                <w:color w:val="auto"/>
              </w:rPr>
            </w:pPr>
          </w:p>
        </w:tc>
        <w:tc>
          <w:tcPr>
            <w:tcW w:w="1500" w:type="dxa"/>
            <w:vAlign w:val="bottom"/>
            <w:shd w:val="clear" w:color="auto" w:fill="CCFFCC"/>
          </w:tcPr>
          <w:p>
            <w:pPr>
              <w:spacing w:after="0"/>
              <w:rPr>
                <w:sz w:val="14"/>
                <w:szCs w:val="14"/>
                <w:color w:val="auto"/>
              </w:rPr>
            </w:pPr>
          </w:p>
        </w:tc>
        <w:tc>
          <w:tcPr>
            <w:tcW w:w="1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shd w:val="clear" w:color="auto" w:fill="CCFFCC"/>
          </w:tcPr>
          <w:p>
            <w:pPr>
              <w:ind w:left="120"/>
              <w:spacing w:after="0"/>
              <w:rPr>
                <w:sz w:val="20"/>
                <w:szCs w:val="20"/>
                <w:color w:val="auto"/>
              </w:rPr>
            </w:pPr>
            <w:r>
              <w:rPr>
                <w:rFonts w:ascii="Arial" w:cs="Arial" w:eastAsia="Arial" w:hAnsi="Arial"/>
                <w:sz w:val="14"/>
                <w:szCs w:val="14"/>
                <w:i w:val="1"/>
                <w:iCs w:val="1"/>
                <w:color w:val="auto"/>
              </w:rPr>
              <w:t>Beverage, Food and Tobacco</w:t>
            </w:r>
          </w:p>
        </w:tc>
        <w:tc>
          <w:tcPr>
            <w:tcW w:w="3640" w:type="dxa"/>
            <w:vAlign w:val="bottom"/>
            <w:shd w:val="clear" w:color="auto" w:fill="CCFFCC"/>
          </w:tcPr>
          <w:p>
            <w:pPr>
              <w:ind w:left="100"/>
              <w:spacing w:after="0"/>
              <w:rPr>
                <w:sz w:val="20"/>
                <w:szCs w:val="20"/>
                <w:color w:val="auto"/>
              </w:rPr>
            </w:pPr>
            <w:r>
              <w:rPr>
                <w:rFonts w:ascii="Arial" w:cs="Arial" w:eastAsia="Arial" w:hAnsi="Arial"/>
                <w:sz w:val="14"/>
                <w:szCs w:val="14"/>
                <w:color w:val="auto"/>
              </w:rPr>
              <w:t>4.0% Cash, Due 3/18</w:t>
            </w:r>
          </w:p>
        </w:tc>
        <w:tc>
          <w:tcPr>
            <w:tcW w:w="1700" w:type="dxa"/>
            <w:vAlign w:val="bottom"/>
            <w:shd w:val="clear" w:color="auto" w:fill="CCFFCC"/>
          </w:tcPr>
          <w:p>
            <w:pPr>
              <w:jc w:val="right"/>
              <w:ind w:right="348"/>
              <w:spacing w:after="0"/>
              <w:rPr>
                <w:sz w:val="20"/>
                <w:szCs w:val="20"/>
                <w:color w:val="auto"/>
              </w:rPr>
            </w:pPr>
            <w:r>
              <w:rPr>
                <w:rFonts w:ascii="Arial" w:cs="Arial" w:eastAsia="Arial" w:hAnsi="Arial"/>
                <w:sz w:val="14"/>
                <w:szCs w:val="14"/>
                <w:color w:val="auto"/>
              </w:rPr>
              <w:t>2,789,388</w:t>
            </w:r>
          </w:p>
        </w:tc>
        <w:tc>
          <w:tcPr>
            <w:tcW w:w="150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2,777,759</w:t>
            </w: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2,784,744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440" w:type="dxa"/>
            <w:vAlign w:val="bottom"/>
            <w:shd w:val="clear" w:color="auto" w:fill="CCFFCC"/>
          </w:tcPr>
          <w:p>
            <w:pPr>
              <w:spacing w:after="0" w:line="162" w:lineRule="exact"/>
              <w:rPr>
                <w:sz w:val="20"/>
                <w:szCs w:val="20"/>
                <w:color w:val="auto"/>
              </w:rPr>
            </w:pPr>
            <w:r>
              <w:rPr>
                <w:rFonts w:ascii="Arial" w:cs="Arial" w:eastAsia="Arial" w:hAnsi="Arial"/>
                <w:sz w:val="12"/>
                <w:szCs w:val="12"/>
                <w:color w:val="auto"/>
              </w:rPr>
              <w:t>eInstruction Corporation</w:t>
            </w:r>
            <w:r>
              <w:rPr>
                <w:rFonts w:ascii="Arial" w:cs="Arial" w:eastAsia="Arial" w:hAnsi="Arial"/>
                <w:sz w:val="18"/>
                <w:szCs w:val="18"/>
                <w:color w:val="auto"/>
                <w:vertAlign w:val="superscript"/>
              </w:rPr>
              <w:t>8,10</w:t>
            </w:r>
          </w:p>
        </w:tc>
        <w:tc>
          <w:tcPr>
            <w:tcW w:w="3640" w:type="dxa"/>
            <w:vAlign w:val="bottom"/>
            <w:shd w:val="clear" w:color="auto" w:fill="CCFFCC"/>
          </w:tcPr>
          <w:p>
            <w:pPr>
              <w:ind w:left="100"/>
              <w:spacing w:after="0"/>
              <w:rPr>
                <w:sz w:val="20"/>
                <w:szCs w:val="20"/>
                <w:color w:val="auto"/>
              </w:rPr>
            </w:pPr>
            <w:r>
              <w:rPr>
                <w:rFonts w:ascii="Arial" w:cs="Arial" w:eastAsia="Arial" w:hAnsi="Arial"/>
                <w:sz w:val="14"/>
                <w:szCs w:val="14"/>
                <w:color w:val="auto"/>
              </w:rPr>
              <w:t>Junior Secured Loan — Term Loan (Second Lien)</w:t>
            </w:r>
          </w:p>
        </w:tc>
        <w:tc>
          <w:tcPr>
            <w:tcW w:w="1700" w:type="dxa"/>
            <w:vAlign w:val="bottom"/>
            <w:shd w:val="clear" w:color="auto" w:fill="CCFFCC"/>
          </w:tcPr>
          <w:p>
            <w:pPr>
              <w:spacing w:after="0"/>
              <w:rPr>
                <w:sz w:val="14"/>
                <w:szCs w:val="14"/>
                <w:color w:val="auto"/>
              </w:rPr>
            </w:pPr>
          </w:p>
        </w:tc>
        <w:tc>
          <w:tcPr>
            <w:tcW w:w="1500" w:type="dxa"/>
            <w:vAlign w:val="bottom"/>
            <w:shd w:val="clear" w:color="auto" w:fill="CCFFCC"/>
          </w:tcPr>
          <w:p>
            <w:pPr>
              <w:spacing w:after="0"/>
              <w:rPr>
                <w:sz w:val="14"/>
                <w:szCs w:val="14"/>
                <w:color w:val="auto"/>
              </w:rPr>
            </w:pPr>
          </w:p>
        </w:tc>
        <w:tc>
          <w:tcPr>
            <w:tcW w:w="1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shd w:val="clear" w:color="auto" w:fill="CCFFCC"/>
          </w:tcPr>
          <w:p>
            <w:pPr>
              <w:ind w:left="120"/>
              <w:spacing w:after="0"/>
              <w:rPr>
                <w:sz w:val="20"/>
                <w:szCs w:val="20"/>
                <w:color w:val="auto"/>
              </w:rPr>
            </w:pPr>
            <w:r>
              <w:rPr>
                <w:rFonts w:ascii="Arial" w:cs="Arial" w:eastAsia="Arial" w:hAnsi="Arial"/>
                <w:sz w:val="14"/>
                <w:szCs w:val="14"/>
                <w:i w:val="1"/>
                <w:iCs w:val="1"/>
                <w:color w:val="auto"/>
              </w:rPr>
              <w:t>Healthcare, Education and Childcare</w:t>
            </w:r>
          </w:p>
        </w:tc>
        <w:tc>
          <w:tcPr>
            <w:tcW w:w="3640" w:type="dxa"/>
            <w:vAlign w:val="bottom"/>
            <w:shd w:val="clear" w:color="auto" w:fill="CCFFCC"/>
          </w:tcPr>
          <w:p>
            <w:pPr>
              <w:ind w:left="100"/>
              <w:spacing w:after="0"/>
              <w:rPr>
                <w:sz w:val="20"/>
                <w:szCs w:val="20"/>
                <w:color w:val="auto"/>
              </w:rPr>
            </w:pPr>
            <w:r>
              <w:rPr>
                <w:rFonts w:ascii="Arial" w:cs="Arial" w:eastAsia="Arial" w:hAnsi="Arial"/>
                <w:sz w:val="14"/>
                <w:szCs w:val="14"/>
                <w:color w:val="auto"/>
              </w:rPr>
              <w:t>11.5% Cash, Due 7/14</w:t>
            </w:r>
          </w:p>
        </w:tc>
        <w:tc>
          <w:tcPr>
            <w:tcW w:w="1700" w:type="dxa"/>
            <w:vAlign w:val="bottom"/>
            <w:shd w:val="clear" w:color="auto" w:fill="CCFFCC"/>
          </w:tcPr>
          <w:p>
            <w:pPr>
              <w:jc w:val="right"/>
              <w:ind w:right="348"/>
              <w:spacing w:after="0"/>
              <w:rPr>
                <w:sz w:val="20"/>
                <w:szCs w:val="20"/>
                <w:color w:val="auto"/>
              </w:rPr>
            </w:pPr>
            <w:r>
              <w:rPr>
                <w:rFonts w:ascii="Arial" w:cs="Arial" w:eastAsia="Arial" w:hAnsi="Arial"/>
                <w:sz w:val="14"/>
                <w:szCs w:val="14"/>
                <w:color w:val="auto"/>
              </w:rPr>
              <w:t>10,000,000</w:t>
            </w:r>
          </w:p>
        </w:tc>
        <w:tc>
          <w:tcPr>
            <w:tcW w:w="150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10,000,000</w:t>
            </w: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type w:val="continuous"/>
        </w:sectPr>
      </w:pPr>
    </w:p>
    <w:bookmarkStart w:id="8" w:name="page9"/>
    <w:bookmarkEnd w:id="8"/>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ELO Touch Solutions, Inc.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Electronics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Fender Musical Instruments Corporation</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Hotels, Motels, Inns, and Gaming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First American Payment Systems, L.P. </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Finance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First Data Corporation</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Finance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Flexera Software LLC (fka Flexera Software, Inc.)</w:t>
      </w:r>
      <w:r>
        <w:rPr>
          <w:rFonts w:ascii="Arial" w:cs="Arial" w:eastAsia="Arial" w:hAnsi="Arial"/>
          <w:sz w:val="20"/>
          <w:szCs w:val="20"/>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Electronics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Fram Group Holdings Inc./Prestone Holdings Inc.</w:t>
      </w:r>
      <w:r>
        <w:rPr>
          <w:rFonts w:ascii="Arial" w:cs="Arial" w:eastAsia="Arial" w:hAnsi="Arial"/>
          <w:sz w:val="21"/>
          <w:szCs w:val="21"/>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Automobile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Freescale Semiconductor, Inc.</w:t>
      </w:r>
    </w:p>
    <w:p>
      <w:pPr>
        <w:ind w:left="140"/>
        <w:spacing w:after="0"/>
        <w:rPr>
          <w:sz w:val="20"/>
          <w:szCs w:val="20"/>
          <w:color w:val="auto"/>
        </w:rPr>
      </w:pPr>
      <w:r>
        <w:rPr>
          <w:rFonts w:ascii="Arial" w:cs="Arial" w:eastAsia="Arial" w:hAnsi="Arial"/>
          <w:sz w:val="14"/>
          <w:szCs w:val="14"/>
          <w:i w:val="1"/>
          <w:iCs w:val="1"/>
          <w:color w:val="auto"/>
        </w:rPr>
        <w:t>Electronics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Getty Images, Inc.</w:t>
      </w:r>
      <w:r>
        <w:rPr>
          <w:rFonts w:ascii="Arial" w:cs="Arial" w:eastAsia="Arial" w:hAnsi="Arial"/>
          <w:sz w:val="23"/>
          <w:szCs w:val="23"/>
          <w:color w:val="auto"/>
          <w:vertAlign w:val="superscript"/>
        </w:rPr>
        <w:t>10, 12</w:t>
      </w:r>
    </w:p>
    <w:p>
      <w:pPr>
        <w:ind w:left="180"/>
        <w:spacing w:after="0"/>
        <w:rPr>
          <w:sz w:val="20"/>
          <w:szCs w:val="20"/>
          <w:color w:val="auto"/>
        </w:rPr>
      </w:pPr>
      <w:r>
        <w:rPr>
          <w:rFonts w:ascii="Arial" w:cs="Arial" w:eastAsia="Arial" w:hAnsi="Arial"/>
          <w:sz w:val="14"/>
          <w:szCs w:val="14"/>
          <w:i w:val="1"/>
          <w:iCs w:val="1"/>
          <w:color w:val="auto"/>
        </w:rPr>
        <w:t>Printing and Publishing</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8, 10</w:t>
      </w:r>
    </w:p>
    <w:p>
      <w:pPr>
        <w:ind w:left="140"/>
        <w:spacing w:after="0"/>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4</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8, 10</w:t>
      </w:r>
    </w:p>
    <w:p>
      <w:pPr>
        <w:ind w:left="140"/>
        <w:spacing w:after="0"/>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4</w:t>
      </w:r>
    </w:p>
    <w:p>
      <w:pPr>
        <w:spacing w:after="0" w:line="237" w:lineRule="auto"/>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8, 10</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4</w:t>
      </w:r>
    </w:p>
    <w:p>
      <w:pPr>
        <w:spacing w:after="0" w:line="230" w:lineRule="auto"/>
        <w:rPr>
          <w:sz w:val="20"/>
          <w:szCs w:val="20"/>
          <w:color w:val="auto"/>
        </w:rPr>
      </w:pPr>
      <w:r>
        <w:rPr>
          <w:rFonts w:ascii="Arial" w:cs="Arial" w:eastAsia="Arial" w:hAnsi="Arial"/>
          <w:sz w:val="14"/>
          <w:szCs w:val="14"/>
          <w:color w:val="auto"/>
        </w:rPr>
        <w:t>Global Tel*Link Corporation</w:t>
      </w:r>
      <w:r>
        <w:rPr>
          <w:rFonts w:ascii="Arial" w:cs="Arial" w:eastAsia="Arial" w:hAnsi="Arial"/>
          <w:sz w:val="23"/>
          <w:szCs w:val="23"/>
          <w:color w:val="auto"/>
          <w:vertAlign w:val="superscript"/>
        </w:rPr>
        <w:t>10</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Telecommunications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220" w:type="dxa"/>
            <w:vAlign w:val="bottom"/>
          </w:tcPr>
          <w:p>
            <w:pPr>
              <w:spacing w:after="0"/>
              <w:rPr>
                <w:sz w:val="14"/>
                <w:szCs w:val="14"/>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Senior Secured Loan — Term Loan (First Lien)</w:t>
            </w: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8.0%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6/18</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1,980,000</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1,917,333</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1,881,000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Initial Loan</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5.8%</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4/19</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2,701,865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2,713,392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2,711,416</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Junior Secured Loan — Term Loan (Second Lien)</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3"/>
          </w:tcPr>
          <w:p>
            <w:pPr>
              <w:spacing w:after="0"/>
              <w:rPr>
                <w:sz w:val="20"/>
                <w:szCs w:val="20"/>
                <w:color w:val="auto"/>
              </w:rPr>
            </w:pPr>
            <w:r>
              <w:rPr>
                <w:rFonts w:ascii="Arial" w:cs="Arial" w:eastAsia="Arial" w:hAnsi="Arial"/>
                <w:sz w:val="14"/>
                <w:szCs w:val="14"/>
                <w:color w:val="auto"/>
              </w:rPr>
              <w:t>10.8% Cash, Due 4/19</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2,946,512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3,001,200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2018 Dollar Term Loan</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4.2%</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3/18</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2,000,000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1,827,483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1,954,720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5.0%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3/19</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2,992,500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3,001,228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3,005,667</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 (First Lien)</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6.5%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7/17</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966,900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975,151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960,258</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Subordinated Bond — 10.125% - 12/2016</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3"/>
          </w:tcPr>
          <w:p>
            <w:pPr>
              <w:spacing w:after="0"/>
              <w:rPr>
                <w:sz w:val="20"/>
                <w:szCs w:val="20"/>
                <w:color w:val="auto"/>
              </w:rPr>
            </w:pPr>
            <w:r>
              <w:rPr>
                <w:rFonts w:ascii="Arial" w:cs="Arial" w:eastAsia="Arial" w:hAnsi="Arial"/>
                <w:sz w:val="14"/>
                <w:szCs w:val="14"/>
                <w:color w:val="auto"/>
              </w:rPr>
              <w:t>10.1% Cash, Due 12/16</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1,036,000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1,037,899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1,064,490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Initial Term Loan</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4.8%</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10/19</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3,730,003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3,724,741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3,694,251</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First Lien Tranche A Credit-</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Linked Deposit</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7.8%</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6/11</w:t>
            </w:r>
          </w:p>
        </w:tc>
        <w:tc>
          <w:tcPr>
            <w:tcW w:w="2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1,257,143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1,224,101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50,286</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First Lien Tranche B Term Loan</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560" w:type="dxa"/>
            <w:vAlign w:val="bottom"/>
            <w:gridSpan w:val="3"/>
          </w:tcPr>
          <w:p>
            <w:pPr>
              <w:spacing w:after="0"/>
              <w:rPr>
                <w:sz w:val="20"/>
                <w:szCs w:val="20"/>
                <w:color w:val="auto"/>
              </w:rPr>
            </w:pPr>
            <w:r>
              <w:rPr>
                <w:rFonts w:ascii="Arial" w:cs="Arial" w:eastAsia="Arial" w:hAnsi="Arial"/>
                <w:sz w:val="14"/>
                <w:szCs w:val="14"/>
                <w:color w:val="auto"/>
              </w:rPr>
              <w:t>11.8% Cash, Due 6/11</w:t>
            </w:r>
          </w:p>
        </w:tc>
        <w:tc>
          <w:tcPr>
            <w:tcW w:w="220" w:type="dxa"/>
            <w:vAlign w:val="bottom"/>
          </w:tcPr>
          <w:p>
            <w:pPr>
              <w:spacing w:after="0"/>
              <w:rPr>
                <w:sz w:val="15"/>
                <w:szCs w:val="15"/>
                <w:color w:val="auto"/>
              </w:rPr>
            </w:pP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2,694,857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2,624,028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107,794</w:t>
            </w: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Junior Secured Loan — Loan (Second Lien)</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7.8%</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6/12</w:t>
            </w:r>
          </w:p>
        </w:tc>
        <w:tc>
          <w:tcPr>
            <w:tcW w:w="220" w:type="dxa"/>
            <w:vAlign w:val="bottom"/>
          </w:tcPr>
          <w:p>
            <w:pPr>
              <w:spacing w:after="0"/>
              <w:rPr>
                <w:sz w:val="15"/>
                <w:szCs w:val="15"/>
                <w:color w:val="auto"/>
              </w:rPr>
            </w:pP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2,715,997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30,015</w:t>
            </w: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Junior Secured Loan — Term Loan (Second Lien)</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9.0%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11/20</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3,920,000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3,933,320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-3430905</wp:posOffset>
            </wp:positionV>
            <wp:extent cx="7246620"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-3121660</wp:posOffset>
            </wp:positionV>
            <wp:extent cx="7246620" cy="214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-2813050</wp:posOffset>
            </wp:positionV>
            <wp:extent cx="7246620"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-2504440</wp:posOffset>
            </wp:positionV>
            <wp:extent cx="7246620" cy="214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-2195830</wp:posOffset>
            </wp:positionV>
            <wp:extent cx="7246620"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-1887220</wp:posOffset>
            </wp:positionV>
            <wp:extent cx="7246620" cy="2146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-1577975</wp:posOffset>
            </wp:positionV>
            <wp:extent cx="7246620"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-1269365</wp:posOffset>
            </wp:positionV>
            <wp:extent cx="7246620" cy="283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-892175</wp:posOffset>
            </wp:positionV>
            <wp:extent cx="7246620"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-557530</wp:posOffset>
            </wp:positionV>
            <wp:extent cx="7246620"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-223520</wp:posOffset>
            </wp:positionV>
            <wp:extent cx="7246620"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-3747770</wp:posOffset>
            </wp:positionV>
            <wp:extent cx="7246620" cy="222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8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240" w:space="320"/>
            <w:col w:w="7760"/>
          </w:cols>
          <w:pgMar w:left="240" w:top="861" w:right="339" w:bottom="1440" w:gutter="0" w:footer="0" w:header="0"/>
        </w:sectPr>
      </w:pPr>
    </w:p>
    <w:bookmarkStart w:id="9" w:name="page10"/>
    <w:bookmarkEnd w:id="9"/>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Grande Communications Networks LLC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Grupo HIMA San Pablo,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Healthcare, Education and Childcare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Grupo HIMA San Pablo, Inc. </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Healthcare, Education and Childcare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Gymboree Corporation., The</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Retail Stores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Hargray Acquisition Co.,/DPC Acquisition LLC/HCP</w:t>
      </w:r>
    </w:p>
    <w:p>
      <w:pPr>
        <w:spacing w:after="0" w:line="7" w:lineRule="exact"/>
        <w:rPr>
          <w:sz w:val="20"/>
          <w:szCs w:val="20"/>
          <w:color w:val="auto"/>
        </w:rPr>
      </w:pPr>
    </w:p>
    <w:p>
      <w:pPr>
        <w:ind w:left="140" w:right="1420"/>
        <w:spacing w:after="0" w:line="215" w:lineRule="auto"/>
        <w:rPr>
          <w:sz w:val="20"/>
          <w:szCs w:val="20"/>
          <w:color w:val="auto"/>
        </w:rPr>
      </w:pPr>
      <w:r>
        <w:rPr>
          <w:rFonts w:ascii="Arial" w:cs="Arial" w:eastAsia="Arial" w:hAnsi="Arial"/>
          <w:sz w:val="13"/>
          <w:szCs w:val="13"/>
          <w:color w:val="auto"/>
        </w:rPr>
        <w:t>Acquisition LLC,</w:t>
      </w:r>
      <w:r>
        <w:rPr>
          <w:rFonts w:ascii="Arial" w:cs="Arial" w:eastAsia="Arial" w:hAnsi="Arial"/>
          <w:sz w:val="21"/>
          <w:szCs w:val="21"/>
          <w:color w:val="auto"/>
          <w:vertAlign w:val="superscript"/>
        </w:rPr>
        <w:t>10, 12</w:t>
      </w:r>
      <w:r>
        <w:rPr>
          <w:rFonts w:ascii="Arial" w:cs="Arial" w:eastAsia="Arial" w:hAnsi="Arial"/>
          <w:sz w:val="13"/>
          <w:szCs w:val="13"/>
          <w:color w:val="auto"/>
        </w:rPr>
        <w:t xml:space="preserve"> </w:t>
      </w:r>
      <w:r>
        <w:rPr>
          <w:rFonts w:ascii="Arial" w:cs="Arial" w:eastAsia="Arial" w:hAnsi="Arial"/>
          <w:sz w:val="13"/>
          <w:szCs w:val="13"/>
          <w:i w:val="1"/>
          <w:iCs w:val="1"/>
          <w:color w:val="auto"/>
        </w:rPr>
        <w:t>Broadcasting and Entertainment</w:t>
      </w:r>
    </w:p>
    <w:p>
      <w:pPr>
        <w:spacing w:after="0" w:line="116" w:lineRule="exact"/>
        <w:rPr>
          <w:sz w:val="20"/>
          <w:szCs w:val="20"/>
          <w:color w:val="auto"/>
        </w:rPr>
      </w:pPr>
    </w:p>
    <w:p>
      <w:pPr>
        <w:ind w:left="140" w:right="340" w:hanging="129"/>
        <w:spacing w:after="0" w:line="197" w:lineRule="auto"/>
        <w:rPr>
          <w:sz w:val="20"/>
          <w:szCs w:val="20"/>
          <w:color w:val="auto"/>
        </w:rPr>
      </w:pPr>
      <w:r>
        <w:rPr>
          <w:rFonts w:ascii="Arial" w:cs="Arial" w:eastAsia="Arial" w:hAnsi="Arial"/>
          <w:sz w:val="14"/>
          <w:szCs w:val="14"/>
          <w:color w:val="auto"/>
        </w:rPr>
        <w:t>Harland Clarke Holdings Corp. (fka Clarke American Corp.)</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Printing and Publishing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Hunter Defense Technologies,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Aerospace and Defense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Iasis Healthcare LLC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Healthcare, Education and Childcare</w:t>
      </w:r>
    </w:p>
    <w:p>
      <w:pPr>
        <w:spacing w:after="0" w:line="134" w:lineRule="exact"/>
        <w:rPr>
          <w:sz w:val="20"/>
          <w:szCs w:val="20"/>
          <w:color w:val="auto"/>
        </w:rPr>
      </w:pPr>
    </w:p>
    <w:p>
      <w:pPr>
        <w:ind w:left="140" w:right="720" w:hanging="129"/>
        <w:spacing w:after="0" w:line="221" w:lineRule="auto"/>
        <w:rPr>
          <w:sz w:val="20"/>
          <w:szCs w:val="20"/>
          <w:color w:val="auto"/>
        </w:rPr>
      </w:pPr>
      <w:r>
        <w:rPr>
          <w:rFonts w:ascii="Arial" w:cs="Arial" w:eastAsia="Arial" w:hAnsi="Arial"/>
          <w:sz w:val="13"/>
          <w:szCs w:val="13"/>
          <w:color w:val="auto"/>
        </w:rPr>
        <w:t>International Architectural Products, Inc.</w:t>
      </w:r>
      <w:r>
        <w:rPr>
          <w:rFonts w:ascii="Arial" w:cs="Arial" w:eastAsia="Arial" w:hAnsi="Arial"/>
          <w:sz w:val="21"/>
          <w:szCs w:val="21"/>
          <w:color w:val="auto"/>
          <w:vertAlign w:val="superscript"/>
        </w:rPr>
        <w:t>8, 10</w:t>
      </w:r>
      <w:r>
        <w:rPr>
          <w:rFonts w:ascii="Arial" w:cs="Arial" w:eastAsia="Arial" w:hAnsi="Arial"/>
          <w:sz w:val="13"/>
          <w:szCs w:val="13"/>
          <w:color w:val="auto"/>
        </w:rPr>
        <w:t xml:space="preserve"> </w:t>
      </w:r>
      <w:r>
        <w:rPr>
          <w:rFonts w:ascii="Arial" w:cs="Arial" w:eastAsia="Arial" w:hAnsi="Arial"/>
          <w:sz w:val="13"/>
          <w:szCs w:val="13"/>
          <w:i w:val="1"/>
          <w:iCs w:val="1"/>
          <w:color w:val="auto"/>
        </w:rPr>
        <w:t>Mining, Steel, Iron and Non-Precious Metals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Jones Stephens Corp.</w:t>
      </w:r>
      <w:r>
        <w:rPr>
          <w:rFonts w:ascii="Arial" w:cs="Arial" w:eastAsia="Arial" w:hAnsi="Arial"/>
          <w:sz w:val="23"/>
          <w:szCs w:val="23"/>
          <w:color w:val="auto"/>
          <w:vertAlign w:val="superscript"/>
        </w:rPr>
        <w:t>10</w:t>
      </w:r>
    </w:p>
    <w:p>
      <w:pPr>
        <w:ind w:left="140"/>
        <w:spacing w:after="0" w:line="237" w:lineRule="auto"/>
        <w:rPr>
          <w:sz w:val="20"/>
          <w:szCs w:val="20"/>
          <w:color w:val="auto"/>
        </w:rPr>
      </w:pPr>
      <w:r>
        <w:rPr>
          <w:rFonts w:ascii="Arial" w:cs="Arial" w:eastAsia="Arial" w:hAnsi="Arial"/>
          <w:sz w:val="14"/>
          <w:szCs w:val="14"/>
          <w:i w:val="1"/>
          <w:iCs w:val="1"/>
          <w:color w:val="auto"/>
        </w:rPr>
        <w:t>Home and Office Furnishings, Housewares, and Durable Consumer Products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Jones Stephens Corp.</w:t>
      </w:r>
      <w:r>
        <w:rPr>
          <w:rFonts w:ascii="Arial" w:cs="Arial" w:eastAsia="Arial" w:hAnsi="Arial"/>
          <w:sz w:val="23"/>
          <w:szCs w:val="23"/>
          <w:color w:val="auto"/>
          <w:vertAlign w:val="superscript"/>
        </w:rPr>
        <w:t>10, 12</w:t>
      </w:r>
    </w:p>
    <w:p>
      <w:pPr>
        <w:ind w:left="140"/>
        <w:spacing w:after="0" w:line="237" w:lineRule="auto"/>
        <w:rPr>
          <w:sz w:val="20"/>
          <w:szCs w:val="20"/>
          <w:color w:val="auto"/>
        </w:rPr>
      </w:pPr>
      <w:r>
        <w:rPr>
          <w:rFonts w:ascii="Arial" w:cs="Arial" w:eastAsia="Arial" w:hAnsi="Arial"/>
          <w:sz w:val="14"/>
          <w:szCs w:val="14"/>
          <w:i w:val="1"/>
          <w:iCs w:val="1"/>
          <w:color w:val="auto"/>
        </w:rPr>
        <w:t>Home and Office Furnishings, Housewares, and Durable Consumer Products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Key Safety Systems, Inc.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Automobile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Interest Rate¹ / Maturity</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Senior Secured Loan — Initial Term Loan</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4.5% Cash, Due 5/20</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4,000,000</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4,004,949</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3,987,500</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Term B Loan (First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8.5% Cash, Due 1/18</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2,992,500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2,937,569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3,052,350</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Junior Secured Loan — Term Loan (Second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13.8% Cash, Due 7/18</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5,000,000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4,768,694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5,200,000</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5.0% Cash, Due 2/18</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1,421,105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1,364,947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1,372,695</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560" w:type="dxa"/>
            <w:vAlign w:val="bottom"/>
            <w:gridSpan w:val="2"/>
          </w:tcPr>
          <w:p>
            <w:pPr>
              <w:spacing w:after="0"/>
              <w:rPr>
                <w:sz w:val="20"/>
                <w:szCs w:val="20"/>
                <w:color w:val="auto"/>
              </w:rPr>
            </w:pPr>
            <w:r>
              <w:rPr>
                <w:rFonts w:ascii="Arial" w:cs="Arial" w:eastAsia="Arial" w:hAnsi="Arial"/>
                <w:sz w:val="14"/>
                <w:szCs w:val="14"/>
                <w:color w:val="auto"/>
              </w:rPr>
              <w:t>4.8% Cash, Due 6/19</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2,970,000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2,970,000</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Tranche B-3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560" w:type="dxa"/>
            <w:vAlign w:val="bottom"/>
            <w:gridSpan w:val="2"/>
          </w:tcPr>
          <w:p>
            <w:pPr>
              <w:spacing w:after="0"/>
              <w:rPr>
                <w:sz w:val="20"/>
                <w:szCs w:val="20"/>
                <w:color w:val="auto"/>
              </w:rPr>
            </w:pPr>
            <w:r>
              <w:rPr>
                <w:rFonts w:ascii="Arial" w:cs="Arial" w:eastAsia="Arial" w:hAnsi="Arial"/>
                <w:sz w:val="14"/>
                <w:szCs w:val="14"/>
                <w:color w:val="auto"/>
              </w:rPr>
              <w:t>7.0% Cash, Due 5/18</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3,500,000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3,465,767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3,374,385</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Junior Secured Loan — Term Loan (Second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7.0% Cash, Due 2/15</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4,074,074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4,038,681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3,829,630</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Unsecured Bond — 8.375% - 05/2019</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8.4% Cash, Due 5/19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2,884,958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3,067,500</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12.0% Cash, 3.3% PIK, Due 5/15</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255,127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228,563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560" w:type="dxa"/>
            <w:vAlign w:val="bottom"/>
            <w:gridSpan w:val="2"/>
          </w:tcPr>
          <w:p>
            <w:pPr>
              <w:spacing w:after="0"/>
              <w:rPr>
                <w:sz w:val="20"/>
                <w:szCs w:val="20"/>
                <w:color w:val="auto"/>
              </w:rPr>
            </w:pPr>
            <w:r>
              <w:rPr>
                <w:rFonts w:ascii="Arial" w:cs="Arial" w:eastAsia="Arial" w:hAnsi="Arial"/>
                <w:sz w:val="14"/>
                <w:szCs w:val="14"/>
                <w:color w:val="auto"/>
              </w:rPr>
              <w:t>7.0% Cash, Due 9/15</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1,234,775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1,234,775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1,234,775</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560" w:type="dxa"/>
            <w:vAlign w:val="bottom"/>
            <w:gridSpan w:val="2"/>
          </w:tcPr>
          <w:p>
            <w:pPr>
              <w:spacing w:after="0"/>
              <w:rPr>
                <w:sz w:val="20"/>
                <w:szCs w:val="20"/>
                <w:color w:val="auto"/>
              </w:rPr>
            </w:pPr>
            <w:r>
              <w:rPr>
                <w:rFonts w:ascii="Arial" w:cs="Arial" w:eastAsia="Arial" w:hAnsi="Arial"/>
                <w:sz w:val="14"/>
                <w:szCs w:val="14"/>
                <w:color w:val="auto"/>
              </w:rPr>
              <w:t>7.0% Cash, Due 9/15</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2,975,207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2,975,207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2,975,207</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4.8% Cash, Due 5/18</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2,692,152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2,678,691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2,708,978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-3688080</wp:posOffset>
            </wp:positionV>
            <wp:extent cx="7246620" cy="214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-3379470</wp:posOffset>
            </wp:positionV>
            <wp:extent cx="7246620" cy="214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-3070225</wp:posOffset>
            </wp:positionV>
            <wp:extent cx="7246620" cy="214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-2761615</wp:posOffset>
            </wp:positionV>
            <wp:extent cx="7246620"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-2358390</wp:posOffset>
            </wp:positionV>
            <wp:extent cx="7246620" cy="308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-1955800</wp:posOffset>
            </wp:positionV>
            <wp:extent cx="7246620" cy="2146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-1646555</wp:posOffset>
            </wp:positionV>
            <wp:extent cx="7246620" cy="2146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-1337945</wp:posOffset>
            </wp:positionV>
            <wp:extent cx="7246620" cy="2146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-1029335</wp:posOffset>
            </wp:positionV>
            <wp:extent cx="7246620"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-626110</wp:posOffset>
            </wp:positionV>
            <wp:extent cx="7246620" cy="308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-223520</wp:posOffset>
            </wp:positionV>
            <wp:extent cx="7246620" cy="2146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-4004945</wp:posOffset>
            </wp:positionV>
            <wp:extent cx="7246620"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120"/>
            <w:col w:w="7760"/>
          </w:cols>
          <w:pgMar w:left="240" w:top="861" w:right="339" w:bottom="1440" w:gutter="0" w:footer="0" w:header="0"/>
        </w:sect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61" w:right="339" w:bottom="1440" w:gutter="0" w:footer="0" w:header="0"/>
          <w:type w:val="continuous"/>
        </w:sectPr>
      </w:pPr>
    </w:p>
    <w:bookmarkStart w:id="10" w:name="page11"/>
    <w:bookmarkEnd w:id="10"/>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94" w:lineRule="auto"/>
        <w:rPr>
          <w:sz w:val="20"/>
          <w:szCs w:val="20"/>
          <w:color w:val="auto"/>
        </w:rPr>
      </w:pPr>
      <w:r>
        <w:rPr>
          <w:rFonts w:ascii="Arial" w:cs="Arial" w:eastAsia="Arial" w:hAnsi="Arial"/>
          <w:sz w:val="14"/>
          <w:szCs w:val="14"/>
          <w:color w:val="auto"/>
        </w:rPr>
        <w:t>LBREP/L-Suncal Master I LLC</w:t>
      </w:r>
      <w:r>
        <w:rPr>
          <w:rFonts w:ascii="Arial" w:cs="Arial" w:eastAsia="Arial" w:hAnsi="Arial"/>
          <w:sz w:val="23"/>
          <w:szCs w:val="23"/>
          <w:color w:val="auto"/>
          <w:vertAlign w:val="superscript"/>
        </w:rPr>
        <w:t>8, 10</w:t>
      </w:r>
    </w:p>
    <w:p>
      <w:pPr>
        <w:ind w:left="180"/>
        <w:spacing w:after="0"/>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4</w:t>
      </w:r>
    </w:p>
    <w:p>
      <w:pPr>
        <w:spacing w:after="0" w:line="230" w:lineRule="auto"/>
        <w:rPr>
          <w:sz w:val="20"/>
          <w:szCs w:val="20"/>
          <w:color w:val="auto"/>
        </w:rPr>
      </w:pPr>
      <w:r>
        <w:rPr>
          <w:rFonts w:ascii="Arial" w:cs="Arial" w:eastAsia="Arial" w:hAnsi="Arial"/>
          <w:sz w:val="14"/>
          <w:szCs w:val="14"/>
          <w:color w:val="auto"/>
        </w:rPr>
        <w:t>LTS Buyer LLC (Sidera Networks, Inc.)</w:t>
      </w:r>
      <w:r>
        <w:rPr>
          <w:rFonts w:ascii="Arial" w:cs="Arial" w:eastAsia="Arial" w:hAnsi="Arial"/>
          <w:sz w:val="23"/>
          <w:szCs w:val="23"/>
          <w:color w:val="auto"/>
          <w:vertAlign w:val="superscript"/>
        </w:rPr>
        <w:t>10</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MB Aerospace ACP Holdings III Corp.</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Aerospace and Defense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Michael Foods Group, Inc. (f/k/a M-Foods</w:t>
      </w:r>
    </w:p>
    <w:p>
      <w:pPr>
        <w:ind w:left="140"/>
        <w:spacing w:after="0" w:line="187" w:lineRule="auto"/>
        <w:rPr>
          <w:sz w:val="20"/>
          <w:szCs w:val="20"/>
          <w:color w:val="auto"/>
        </w:rPr>
      </w:pPr>
      <w:r>
        <w:rPr>
          <w:rFonts w:ascii="Arial" w:cs="Arial" w:eastAsia="Arial" w:hAnsi="Arial"/>
          <w:sz w:val="13"/>
          <w:szCs w:val="13"/>
          <w:color w:val="auto"/>
        </w:rPr>
        <w:t>Holdings, Inc.)</w:t>
      </w:r>
      <w:r>
        <w:rPr>
          <w:rFonts w:ascii="Arial" w:cs="Arial" w:eastAsia="Arial" w:hAnsi="Arial"/>
          <w:sz w:val="21"/>
          <w:szCs w:val="21"/>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Mill US Acquisition</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Mill US Acquisition</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Neiman Marcus Group Inc., The</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Retail Stores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Ozburn-Hessey Holding Company LLC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Cargo Transport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Pegasus Solutions,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3"/>
          <w:szCs w:val="13"/>
          <w:i w:val="1"/>
          <w:iCs w:val="1"/>
          <w:color w:val="auto"/>
        </w:rPr>
        <w:t>Leisure, Amusement, Motion Pictures, Entertainment</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Perseus Holding Corp.</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3"/>
          <w:szCs w:val="13"/>
          <w:i w:val="1"/>
          <w:iCs w:val="1"/>
          <w:color w:val="auto"/>
        </w:rPr>
        <w:t>Leisure, Amusement, Motion Pictures, Entertainment</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PetCo Animal Supplies, Inc.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Retail Stores</w:t>
      </w:r>
    </w:p>
    <w:p>
      <w:pPr>
        <w:spacing w:after="0" w:line="134" w:lineRule="exact"/>
        <w:rPr>
          <w:sz w:val="20"/>
          <w:szCs w:val="20"/>
          <w:color w:val="auto"/>
        </w:rPr>
      </w:pPr>
    </w:p>
    <w:p>
      <w:pPr>
        <w:jc w:val="right"/>
        <w:ind w:right="1360"/>
        <w:spacing w:after="0" w:line="248" w:lineRule="auto"/>
        <w:rPr>
          <w:sz w:val="20"/>
          <w:szCs w:val="20"/>
          <w:color w:val="auto"/>
        </w:rPr>
      </w:pPr>
      <w:r>
        <w:rPr>
          <w:rFonts w:ascii="Arial" w:cs="Arial" w:eastAsia="Arial" w:hAnsi="Arial"/>
          <w:sz w:val="12"/>
          <w:szCs w:val="12"/>
          <w:color w:val="auto"/>
        </w:rPr>
        <w:t xml:space="preserve">Pinnacle Foods Finance LLC </w:t>
      </w:r>
      <w:r>
        <w:rPr>
          <w:rFonts w:ascii="Arial" w:cs="Arial" w:eastAsia="Arial" w:hAnsi="Arial"/>
          <w:sz w:val="19"/>
          <w:szCs w:val="19"/>
          <w:color w:val="auto"/>
          <w:vertAlign w:val="superscript"/>
        </w:rPr>
        <w:t>12</w:t>
      </w:r>
      <w:r>
        <w:rPr>
          <w:rFonts w:ascii="Arial" w:cs="Arial" w:eastAsia="Arial" w:hAnsi="Arial"/>
          <w:sz w:val="12"/>
          <w:szCs w:val="12"/>
          <w:color w:val="auto"/>
        </w:rPr>
        <w:t xml:space="preserve"> </w:t>
      </w:r>
      <w:r>
        <w:rPr>
          <w:rFonts w:ascii="Arial" w:cs="Arial" w:eastAsia="Arial" w:hAnsi="Arial"/>
          <w:sz w:val="12"/>
          <w:szCs w:val="12"/>
          <w:i w:val="1"/>
          <w:iCs w:val="1"/>
          <w:color w:val="auto"/>
        </w:rPr>
        <w:t>Beverage, Food and Tobacco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Senior Secured Loan — Term Loan (First Lien)</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7.5%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1/10</w:t>
            </w:r>
          </w:p>
        </w:tc>
        <w:tc>
          <w:tcPr>
            <w:tcW w:w="200" w:type="dxa"/>
            <w:vAlign w:val="bottom"/>
            <w:vMerge w:val="restart"/>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3,345,759</w:t>
            </w:r>
          </w:p>
        </w:tc>
        <w:tc>
          <w:tcPr>
            <w:tcW w:w="3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3,345,759</w:t>
            </w: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303,460</w:t>
            </w: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B Loan (First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4/20</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3,993,750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3,992,400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6.0%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 Due 5/19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3,960,480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4,017,520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B Facility</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4.3%</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2/18</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1,801,784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1,808,862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1,814,919</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Junior Secured Loan — Term Loan (Second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8.5%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5/20</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3,020,000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2,985,000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 (First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4.8%</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5/20</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3,666,667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3,665,000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3,641,477</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5/18</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1,991,986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1,996,770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6.8%</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5/19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3,565,914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3,550,969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3,551,437</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w w:val="96"/>
              </w:rPr>
              <w:t>Senior Subordinated Bond — Senior Subordinated Second</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Lien PIK Notes</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60" w:type="dxa"/>
            <w:vAlign w:val="bottom"/>
            <w:gridSpan w:val="3"/>
          </w:tcPr>
          <w:p>
            <w:pPr>
              <w:spacing w:after="0"/>
              <w:rPr>
                <w:sz w:val="20"/>
                <w:szCs w:val="20"/>
                <w:color w:val="auto"/>
              </w:rPr>
            </w:pPr>
            <w:r>
              <w:rPr>
                <w:rFonts w:ascii="Arial" w:cs="Arial" w:eastAsia="Arial" w:hAnsi="Arial"/>
                <w:sz w:val="14"/>
                <w:szCs w:val="14"/>
                <w:color w:val="auto"/>
              </w:rPr>
              <w:t>13.0% PIK, Due 4/14</w:t>
            </w:r>
          </w:p>
        </w:tc>
        <w:tc>
          <w:tcPr>
            <w:tcW w:w="2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1,800,922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1,800,922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953,408</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Preferred Stock — Preferred Stock</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3"/>
          </w:tcPr>
          <w:p>
            <w:pPr>
              <w:spacing w:after="0"/>
              <w:rPr>
                <w:sz w:val="20"/>
                <w:szCs w:val="20"/>
                <w:color w:val="auto"/>
              </w:rPr>
            </w:pPr>
            <w:r>
              <w:rPr>
                <w:rFonts w:ascii="Arial" w:cs="Arial" w:eastAsia="Arial" w:hAnsi="Arial"/>
                <w:sz w:val="14"/>
                <w:szCs w:val="14"/>
                <w:color w:val="auto"/>
              </w:rPr>
              <w:t>14.0% Cash</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New Loans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11/17</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1,989,796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1,994,574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1,992,293</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New Term Loan G</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3.3%</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4/20</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2,992,500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2,985,046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2,979,034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-3473450</wp:posOffset>
            </wp:positionV>
            <wp:extent cx="7246620" cy="2146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-3164840</wp:posOffset>
            </wp:positionV>
            <wp:extent cx="7246620" cy="2146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-2856230</wp:posOffset>
            </wp:positionV>
            <wp:extent cx="7246620" cy="308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-2453005</wp:posOffset>
            </wp:positionV>
            <wp:extent cx="7246620" cy="2146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-2144395</wp:posOffset>
            </wp:positionV>
            <wp:extent cx="7246620" cy="214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-1835785</wp:posOffset>
            </wp:positionV>
            <wp:extent cx="7246620" cy="2146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-1526540</wp:posOffset>
            </wp:positionV>
            <wp:extent cx="7246620" cy="2146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-1217930</wp:posOffset>
            </wp:positionV>
            <wp:extent cx="7246620" cy="2832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-840740</wp:posOffset>
            </wp:positionV>
            <wp:extent cx="7246620" cy="214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-532130</wp:posOffset>
            </wp:positionV>
            <wp:extent cx="7246620" cy="2146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-223520</wp:posOffset>
            </wp:positionV>
            <wp:extent cx="7246620" cy="2146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-3816350</wp:posOffset>
            </wp:positionV>
            <wp:extent cx="7246620" cy="2489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38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200" w:space="360"/>
            <w:col w:w="7760"/>
          </w:cols>
          <w:pgMar w:left="240" w:top="86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11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560" w:type="dxa"/>
            <w:vAlign w:val="bottom"/>
            <w:gridSpan w:val="3"/>
            <w:vMerge w:val="continue"/>
          </w:tcPr>
          <w:p>
            <w:pPr>
              <w:spacing w:after="0"/>
              <w:rPr>
                <w:sz w:val="14"/>
                <w:szCs w:val="14"/>
                <w:color w:val="auto"/>
              </w:rPr>
            </w:pPr>
          </w:p>
        </w:tc>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20" w:type="dxa"/>
            <w:vAlign w:val="bottom"/>
            <w:tcBorders>
              <w:top w:val="single" w:sz="8" w:color="auto"/>
            </w:tcBorders>
            <w:shd w:val="clear" w:color="auto" w:fill="CCFFCC"/>
          </w:tcPr>
          <w:p>
            <w:pPr>
              <w:spacing w:after="0" w:line="156" w:lineRule="exact"/>
              <w:rPr>
                <w:sz w:val="20"/>
                <w:szCs w:val="20"/>
                <w:color w:val="auto"/>
              </w:rPr>
            </w:pPr>
            <w:r>
              <w:rPr>
                <w:rFonts w:ascii="Arial" w:cs="Arial" w:eastAsia="Arial" w:hAnsi="Arial"/>
                <w:sz w:val="12"/>
                <w:szCs w:val="12"/>
                <w:color w:val="auto"/>
              </w:rPr>
              <w:t>SGF Produce Holding Corp.(Frozsun, Inc.)</w:t>
            </w:r>
            <w:r>
              <w:rPr>
                <w:rFonts w:ascii="Arial" w:cs="Arial" w:eastAsia="Arial" w:hAnsi="Arial"/>
                <w:sz w:val="18"/>
                <w:szCs w:val="18"/>
                <w:color w:val="auto"/>
                <w:vertAlign w:val="superscript"/>
              </w:rPr>
              <w:t>10</w:t>
            </w:r>
          </w:p>
        </w:tc>
        <w:tc>
          <w:tcPr>
            <w:tcW w:w="120" w:type="dxa"/>
            <w:vAlign w:val="bottom"/>
            <w:tcBorders>
              <w:top w:val="single" w:sz="8" w:color="CCFFCC"/>
            </w:tcBorders>
            <w:shd w:val="clear" w:color="auto" w:fill="CCFFCC"/>
          </w:tcPr>
          <w:p>
            <w:pPr>
              <w:spacing w:after="0"/>
              <w:rPr>
                <w:sz w:val="13"/>
                <w:szCs w:val="13"/>
                <w:color w:val="auto"/>
              </w:rPr>
            </w:pPr>
          </w:p>
        </w:tc>
        <w:tc>
          <w:tcPr>
            <w:tcW w:w="3440" w:type="dxa"/>
            <w:vAlign w:val="bottom"/>
            <w:tcBorders>
              <w:top w:val="single" w:sz="8" w:color="auto"/>
            </w:tcBorders>
            <w:gridSpan w:val="2"/>
            <w:shd w:val="clear" w:color="auto" w:fill="CCFFCC"/>
          </w:tcPr>
          <w:p>
            <w:pPr>
              <w:spacing w:after="0" w:line="155" w:lineRule="exact"/>
              <w:rPr>
                <w:sz w:val="20"/>
                <w:szCs w:val="20"/>
                <w:color w:val="auto"/>
              </w:rPr>
            </w:pPr>
            <w:r>
              <w:rPr>
                <w:rFonts w:ascii="Arial" w:cs="Arial" w:eastAsia="Arial" w:hAnsi="Arial"/>
                <w:sz w:val="14"/>
                <w:szCs w:val="14"/>
                <w:color w:val="auto"/>
              </w:rPr>
              <w:t>Senior Secured Loan — Term Loan</w:t>
            </w:r>
          </w:p>
        </w:tc>
        <w:tc>
          <w:tcPr>
            <w:tcW w:w="120" w:type="dxa"/>
            <w:vAlign w:val="bottom"/>
            <w:tcBorders>
              <w:top w:val="single" w:sz="8" w:color="CCFFCC"/>
            </w:tcBorders>
            <w:shd w:val="clear" w:color="auto" w:fill="CCFFCC"/>
          </w:tcPr>
          <w:p>
            <w:pPr>
              <w:spacing w:after="0"/>
              <w:rPr>
                <w:sz w:val="13"/>
                <w:szCs w:val="13"/>
                <w:color w:val="auto"/>
              </w:rPr>
            </w:pPr>
          </w:p>
        </w:tc>
        <w:tc>
          <w:tcPr>
            <w:tcW w:w="200" w:type="dxa"/>
            <w:vAlign w:val="bottom"/>
            <w:tcBorders>
              <w:top w:val="single" w:sz="8" w:color="auto"/>
            </w:tcBorders>
            <w:shd w:val="clear" w:color="auto" w:fill="CCFFCC"/>
          </w:tcPr>
          <w:p>
            <w:pPr>
              <w:spacing w:after="0"/>
              <w:rPr>
                <w:sz w:val="13"/>
                <w:szCs w:val="13"/>
                <w:color w:val="auto"/>
              </w:rPr>
            </w:pPr>
          </w:p>
        </w:tc>
        <w:tc>
          <w:tcPr>
            <w:tcW w:w="1040" w:type="dxa"/>
            <w:vAlign w:val="bottom"/>
            <w:tcBorders>
              <w:top w:val="single" w:sz="8" w:color="auto"/>
            </w:tcBorders>
            <w:shd w:val="clear" w:color="auto" w:fill="CCFFCC"/>
          </w:tcPr>
          <w:p>
            <w:pPr>
              <w:spacing w:after="0"/>
              <w:rPr>
                <w:sz w:val="13"/>
                <w:szCs w:val="13"/>
                <w:color w:val="auto"/>
              </w:rPr>
            </w:pPr>
          </w:p>
        </w:tc>
        <w:tc>
          <w:tcPr>
            <w:tcW w:w="120" w:type="dxa"/>
            <w:vAlign w:val="bottom"/>
            <w:tcBorders>
              <w:top w:val="single" w:sz="8" w:color="CCFFCC"/>
            </w:tcBorders>
            <w:shd w:val="clear" w:color="auto" w:fill="CCFFCC"/>
          </w:tcPr>
          <w:p>
            <w:pPr>
              <w:spacing w:after="0"/>
              <w:rPr>
                <w:sz w:val="13"/>
                <w:szCs w:val="13"/>
                <w:color w:val="auto"/>
              </w:rPr>
            </w:pPr>
          </w:p>
        </w:tc>
        <w:tc>
          <w:tcPr>
            <w:tcW w:w="100" w:type="dxa"/>
            <w:vAlign w:val="bottom"/>
            <w:tcBorders>
              <w:top w:val="single" w:sz="8" w:color="CCFFCC"/>
            </w:tcBorders>
            <w:vMerge w:val="restart"/>
            <w:shd w:val="clear" w:color="auto" w:fill="CCFFCC"/>
          </w:tcPr>
          <w:p>
            <w:pPr>
              <w:spacing w:after="0"/>
              <w:rPr>
                <w:sz w:val="13"/>
                <w:szCs w:val="13"/>
                <w:color w:val="auto"/>
              </w:rPr>
            </w:pPr>
          </w:p>
        </w:tc>
        <w:tc>
          <w:tcPr>
            <w:tcW w:w="300" w:type="dxa"/>
            <w:vAlign w:val="bottom"/>
            <w:tcBorders>
              <w:top w:val="single" w:sz="8" w:color="auto"/>
            </w:tcBorders>
            <w:vMerge w:val="restart"/>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260" w:type="dxa"/>
            <w:vAlign w:val="bottom"/>
            <w:tcBorders>
              <w:top w:val="single" w:sz="8" w:color="auto"/>
            </w:tcBorders>
            <w:shd w:val="clear" w:color="auto" w:fill="CCFFCC"/>
          </w:tcPr>
          <w:p>
            <w:pPr>
              <w:spacing w:after="0"/>
              <w:rPr>
                <w:sz w:val="13"/>
                <w:szCs w:val="13"/>
                <w:color w:val="auto"/>
              </w:rPr>
            </w:pPr>
          </w:p>
        </w:tc>
        <w:tc>
          <w:tcPr>
            <w:tcW w:w="1000" w:type="dxa"/>
            <w:vAlign w:val="bottom"/>
            <w:tcBorders>
              <w:top w:val="single" w:sz="8" w:color="auto"/>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Beverage, Food and Tobacco</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6.8%</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3/19</w:t>
            </w:r>
          </w:p>
        </w:tc>
        <w:tc>
          <w:tcPr>
            <w:tcW w:w="200" w:type="dxa"/>
            <w:vAlign w:val="bottom"/>
            <w:shd w:val="clear" w:color="auto" w:fill="CCFFCC"/>
          </w:tcPr>
          <w:p>
            <w:pPr>
              <w:jc w:val="right"/>
              <w:ind w:right="8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2,224,569</w:t>
            </w:r>
          </w:p>
        </w:tc>
        <w:tc>
          <w:tcPr>
            <w:tcW w:w="100" w:type="dxa"/>
            <w:vAlign w:val="bottom"/>
            <w:vMerge w:val="continue"/>
            <w:shd w:val="clear" w:color="auto" w:fill="CCFFCC"/>
          </w:tcPr>
          <w:p>
            <w:pPr>
              <w:spacing w:after="0"/>
              <w:rPr>
                <w:sz w:val="15"/>
                <w:szCs w:val="15"/>
                <w:color w:val="auto"/>
              </w:rPr>
            </w:pPr>
          </w:p>
        </w:tc>
        <w:tc>
          <w:tcPr>
            <w:tcW w:w="300" w:type="dxa"/>
            <w:vAlign w:val="bottom"/>
            <w:vMerge w:val="continue"/>
            <w:shd w:val="clear" w:color="auto" w:fill="CCFFCC"/>
          </w:tcPr>
          <w:p>
            <w:pPr>
              <w:spacing w:after="0"/>
              <w:rPr>
                <w:sz w:val="15"/>
                <w:szCs w:val="15"/>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2,203,021</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2,224,569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SGF Produce Holding Corp.(Frozsun, Inc.)</w:t>
            </w:r>
            <w:r>
              <w:rPr>
                <w:rFonts w:ascii="Arial" w:cs="Arial" w:eastAsia="Arial" w:hAnsi="Arial"/>
                <w:sz w:val="18"/>
                <w:szCs w:val="18"/>
                <w:color w:val="auto"/>
                <w:vertAlign w:val="superscript"/>
              </w:rPr>
              <w:t>10, 12</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30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4"/>
                <w:szCs w:val="14"/>
                <w:i w:val="1"/>
                <w:iCs w:val="1"/>
                <w:color w:val="auto"/>
              </w:rPr>
              <w:t>Beverage, Food and Tobacco</w:t>
            </w:r>
          </w:p>
        </w:tc>
        <w:tc>
          <w:tcPr>
            <w:tcW w:w="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w w:val="93"/>
              </w:rPr>
              <w:t>6.8%</w:t>
            </w:r>
          </w:p>
        </w:tc>
        <w:tc>
          <w:tcPr>
            <w:tcW w:w="324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4"/>
                <w:szCs w:val="14"/>
                <w:color w:val="auto"/>
              </w:rPr>
              <w:t>Cash, Due 3/19</w:t>
            </w:r>
          </w:p>
        </w:tc>
        <w:tc>
          <w:tcPr>
            <w:tcW w:w="200" w:type="dxa"/>
            <w:vAlign w:val="bottom"/>
            <w:tcBorders>
              <w:bottom w:val="single" w:sz="8" w:color="CCFFCC"/>
            </w:tcBorders>
            <w:shd w:val="clear" w:color="auto" w:fill="CCFFCC"/>
          </w:tcPr>
          <w:p>
            <w:pPr>
              <w:spacing w:after="0"/>
              <w:rPr>
                <w:sz w:val="17"/>
                <w:szCs w:val="17"/>
                <w:color w:val="auto"/>
              </w:rPr>
            </w:pPr>
          </w:p>
        </w:tc>
        <w:tc>
          <w:tcPr>
            <w:tcW w:w="11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3,492,781</w:t>
            </w:r>
          </w:p>
        </w:tc>
        <w:tc>
          <w:tcPr>
            <w:tcW w:w="100" w:type="dxa"/>
            <w:vAlign w:val="bottom"/>
            <w:tcBorders>
              <w:bottom w:val="single" w:sz="8" w:color="CCFFCC"/>
            </w:tcBorders>
            <w:shd w:val="clear" w:color="auto" w:fill="CCFFCC"/>
          </w:tcPr>
          <w:p>
            <w:pPr>
              <w:spacing w:after="0"/>
              <w:rPr>
                <w:sz w:val="17"/>
                <w:szCs w:val="17"/>
                <w:color w:val="auto"/>
              </w:rPr>
            </w:pPr>
          </w:p>
        </w:tc>
        <w:tc>
          <w:tcPr>
            <w:tcW w:w="300" w:type="dxa"/>
            <w:vAlign w:val="bottom"/>
            <w:tcBorders>
              <w:bottom w:val="single" w:sz="8" w:color="CCFFCC"/>
            </w:tcBorders>
            <w:shd w:val="clear" w:color="auto" w:fill="CCFFCC"/>
          </w:tcPr>
          <w:p>
            <w:pPr>
              <w:spacing w:after="0"/>
              <w:rPr>
                <w:sz w:val="17"/>
                <w:szCs w:val="17"/>
                <w:color w:val="auto"/>
              </w:rPr>
            </w:pPr>
          </w:p>
        </w:tc>
        <w:tc>
          <w:tcPr>
            <w:tcW w:w="10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3,458,692</w:t>
            </w:r>
          </w:p>
        </w:tc>
        <w:tc>
          <w:tcPr>
            <w:tcW w:w="100" w:type="dxa"/>
            <w:vAlign w:val="bottom"/>
            <w:tcBorders>
              <w:bottom w:val="single" w:sz="8" w:color="CCFFCC"/>
            </w:tcBorders>
            <w:shd w:val="clear" w:color="auto" w:fill="CCFFCC"/>
          </w:tcPr>
          <w:p>
            <w:pPr>
              <w:spacing w:after="0"/>
              <w:rPr>
                <w:sz w:val="17"/>
                <w:szCs w:val="17"/>
                <w:color w:val="auto"/>
              </w:rPr>
            </w:pPr>
          </w:p>
        </w:tc>
        <w:tc>
          <w:tcPr>
            <w:tcW w:w="260" w:type="dxa"/>
            <w:vAlign w:val="bottom"/>
            <w:tcBorders>
              <w:bottom w:val="single" w:sz="8" w:color="CCFFCC"/>
            </w:tcBorders>
            <w:shd w:val="clear" w:color="auto" w:fill="CCFFCC"/>
          </w:tcPr>
          <w:p>
            <w:pPr>
              <w:spacing w:after="0"/>
              <w:rPr>
                <w:sz w:val="17"/>
                <w:szCs w:val="17"/>
                <w:color w:val="auto"/>
              </w:rPr>
            </w:pPr>
          </w:p>
        </w:tc>
        <w:tc>
          <w:tcPr>
            <w:tcW w:w="11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3,492,781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Spin Holdco Inc.</w:t>
            </w:r>
            <w:r>
              <w:rPr>
                <w:rFonts w:ascii="Arial" w:cs="Arial" w:eastAsia="Arial" w:hAnsi="Arial"/>
                <w:sz w:val="18"/>
                <w:szCs w:val="18"/>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Initial Term Loan (First Lien)</w:t>
            </w:r>
          </w:p>
        </w:tc>
        <w:tc>
          <w:tcPr>
            <w:tcW w:w="20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30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40" w:type="dxa"/>
            <w:vAlign w:val="bottom"/>
            <w:gridSpan w:val="2"/>
            <w:shd w:val="clear" w:color="auto" w:fill="CCFFCC"/>
          </w:tcPr>
          <w:p>
            <w:pPr>
              <w:ind w:left="180"/>
              <w:spacing w:after="0"/>
              <w:rPr>
                <w:sz w:val="20"/>
                <w:szCs w:val="20"/>
                <w:color w:val="auto"/>
              </w:rPr>
            </w:pPr>
            <w:r>
              <w:rPr>
                <w:rFonts w:ascii="Arial" w:cs="Arial" w:eastAsia="Arial" w:hAnsi="Arial"/>
                <w:sz w:val="14"/>
                <w:szCs w:val="14"/>
                <w:i w:val="1"/>
                <w:iCs w:val="1"/>
                <w:color w:val="auto"/>
              </w:rPr>
              <w:t>Home and Office Furnishings, Housewares, and</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4.3%</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11/19</w:t>
            </w:r>
          </w:p>
        </w:tc>
        <w:tc>
          <w:tcPr>
            <w:tcW w:w="20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Durable Consumer Products</w:t>
            </w:r>
          </w:p>
        </w:tc>
        <w:tc>
          <w:tcPr>
            <w:tcW w:w="320" w:type="dxa"/>
            <w:vAlign w:val="bottom"/>
            <w:shd w:val="clear" w:color="auto" w:fill="CCFFCC"/>
          </w:tcPr>
          <w:p>
            <w:pPr>
              <w:spacing w:after="0"/>
              <w:rPr>
                <w:sz w:val="14"/>
                <w:szCs w:val="14"/>
                <w:color w:val="auto"/>
              </w:rPr>
            </w:pPr>
          </w:p>
        </w:tc>
        <w:tc>
          <w:tcPr>
            <w:tcW w:w="3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1,250,000</w:t>
            </w:r>
          </w:p>
        </w:tc>
        <w:tc>
          <w:tcPr>
            <w:tcW w:w="100" w:type="dxa"/>
            <w:vAlign w:val="bottom"/>
            <w:shd w:val="clear" w:color="auto" w:fill="CCFFCC"/>
          </w:tcPr>
          <w:p>
            <w:pPr>
              <w:spacing w:after="0"/>
              <w:rPr>
                <w:sz w:val="14"/>
                <w:szCs w:val="14"/>
                <w:color w:val="auto"/>
              </w:rPr>
            </w:pPr>
          </w:p>
        </w:tc>
        <w:tc>
          <w:tcPr>
            <w:tcW w:w="30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1,248,438</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1,248,438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Spin Holdco Inc.</w:t>
            </w:r>
            <w:r>
              <w:rPr>
                <w:rFonts w:ascii="Arial" w:cs="Arial" w:eastAsia="Arial" w:hAnsi="Arial"/>
                <w:sz w:val="18"/>
                <w:szCs w:val="18"/>
                <w:color w:val="auto"/>
                <w:vertAlign w:val="superscript"/>
              </w:rPr>
              <w:t>10, 12</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Initial Term Loan (First Lien)</w:t>
            </w:r>
          </w:p>
        </w:tc>
        <w:tc>
          <w:tcPr>
            <w:tcW w:w="20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30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540" w:type="dxa"/>
            <w:vAlign w:val="bottom"/>
            <w:gridSpan w:val="2"/>
            <w:shd w:val="clear" w:color="auto" w:fill="CCFFCC"/>
          </w:tcPr>
          <w:p>
            <w:pPr>
              <w:ind w:left="120"/>
              <w:spacing w:after="0" w:line="157" w:lineRule="exact"/>
              <w:rPr>
                <w:sz w:val="20"/>
                <w:szCs w:val="20"/>
                <w:color w:val="auto"/>
              </w:rPr>
            </w:pPr>
            <w:r>
              <w:rPr>
                <w:rFonts w:ascii="Arial" w:cs="Arial" w:eastAsia="Arial" w:hAnsi="Arial"/>
                <w:sz w:val="14"/>
                <w:szCs w:val="14"/>
                <w:i w:val="1"/>
                <w:iCs w:val="1"/>
                <w:color w:val="auto"/>
                <w:w w:val="96"/>
              </w:rPr>
              <w:t>Home and Office Furnishings, Housewares, and Durable</w:t>
            </w:r>
          </w:p>
        </w:tc>
        <w:tc>
          <w:tcPr>
            <w:tcW w:w="320" w:type="dxa"/>
            <w:vAlign w:val="bottom"/>
            <w:shd w:val="clear" w:color="auto" w:fill="CCFFCC"/>
          </w:tcPr>
          <w:p>
            <w:pPr>
              <w:spacing w:after="0" w:line="157" w:lineRule="exact"/>
              <w:rPr>
                <w:sz w:val="20"/>
                <w:szCs w:val="20"/>
                <w:color w:val="auto"/>
              </w:rPr>
            </w:pPr>
            <w:r>
              <w:rPr>
                <w:rFonts w:ascii="Arial" w:cs="Arial" w:eastAsia="Arial" w:hAnsi="Arial"/>
                <w:sz w:val="14"/>
                <w:szCs w:val="14"/>
                <w:color w:val="auto"/>
                <w:w w:val="93"/>
              </w:rPr>
              <w:t>4.3%</w:t>
            </w:r>
          </w:p>
        </w:tc>
        <w:tc>
          <w:tcPr>
            <w:tcW w:w="3240" w:type="dxa"/>
            <w:vAlign w:val="bottom"/>
            <w:gridSpan w:val="2"/>
            <w:shd w:val="clear" w:color="auto" w:fill="CCFFCC"/>
          </w:tcPr>
          <w:p>
            <w:pPr>
              <w:ind w:left="20"/>
              <w:spacing w:after="0" w:line="157" w:lineRule="exact"/>
              <w:rPr>
                <w:sz w:val="20"/>
                <w:szCs w:val="20"/>
                <w:color w:val="auto"/>
              </w:rPr>
            </w:pPr>
            <w:r>
              <w:rPr>
                <w:rFonts w:ascii="Arial" w:cs="Arial" w:eastAsia="Arial" w:hAnsi="Arial"/>
                <w:sz w:val="14"/>
                <w:szCs w:val="14"/>
                <w:color w:val="auto"/>
              </w:rPr>
              <w:t>Cash, Due 11/19</w:t>
            </w:r>
          </w:p>
        </w:tc>
        <w:tc>
          <w:tcPr>
            <w:tcW w:w="200" w:type="dxa"/>
            <w:vAlign w:val="bottom"/>
            <w:shd w:val="clear" w:color="auto" w:fill="CCFFCC"/>
          </w:tcPr>
          <w:p>
            <w:pPr>
              <w:spacing w:after="0"/>
              <w:rPr>
                <w:sz w:val="13"/>
                <w:szCs w:val="13"/>
                <w:color w:val="auto"/>
              </w:rPr>
            </w:pPr>
          </w:p>
        </w:tc>
        <w:tc>
          <w:tcPr>
            <w:tcW w:w="104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300" w:type="dxa"/>
            <w:vAlign w:val="bottom"/>
            <w:shd w:val="clear" w:color="auto" w:fill="CCFFCC"/>
          </w:tcPr>
          <w:p>
            <w:pPr>
              <w:spacing w:after="0"/>
              <w:rPr>
                <w:sz w:val="13"/>
                <w:szCs w:val="13"/>
                <w:color w:val="auto"/>
              </w:rPr>
            </w:pPr>
          </w:p>
        </w:tc>
        <w:tc>
          <w:tcPr>
            <w:tcW w:w="9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100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Consumer Products</w:t>
            </w:r>
          </w:p>
        </w:tc>
        <w:tc>
          <w:tcPr>
            <w:tcW w:w="320" w:type="dxa"/>
            <w:vAlign w:val="bottom"/>
            <w:shd w:val="clear" w:color="auto" w:fill="CCFFCC"/>
          </w:tcPr>
          <w:p>
            <w:pPr>
              <w:spacing w:after="0"/>
              <w:rPr>
                <w:sz w:val="14"/>
                <w:szCs w:val="14"/>
                <w:color w:val="auto"/>
              </w:rPr>
            </w:pPr>
          </w:p>
        </w:tc>
        <w:tc>
          <w:tcPr>
            <w:tcW w:w="3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2,750,000</w:t>
            </w:r>
          </w:p>
        </w:tc>
        <w:tc>
          <w:tcPr>
            <w:tcW w:w="100" w:type="dxa"/>
            <w:vAlign w:val="bottom"/>
            <w:shd w:val="clear" w:color="auto" w:fill="CCFFCC"/>
          </w:tcPr>
          <w:p>
            <w:pPr>
              <w:spacing w:after="0"/>
              <w:rPr>
                <w:sz w:val="14"/>
                <w:szCs w:val="14"/>
                <w:color w:val="auto"/>
              </w:rPr>
            </w:pPr>
          </w:p>
        </w:tc>
        <w:tc>
          <w:tcPr>
            <w:tcW w:w="30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2,749,063</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2,746,563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Stafford Logistics, Inc.(dba Custom Ecology, Inc.)</w:t>
            </w:r>
            <w:r>
              <w:rPr>
                <w:rFonts w:ascii="Arial" w:cs="Arial" w:eastAsia="Arial" w:hAnsi="Arial"/>
                <w:sz w:val="18"/>
                <w:szCs w:val="18"/>
                <w:color w:val="auto"/>
                <w:vertAlign w:val="superscript"/>
              </w:rPr>
              <w:t>10, 12</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30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Ecological</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6.8%</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6/19</w:t>
            </w:r>
          </w:p>
        </w:tc>
        <w:tc>
          <w:tcPr>
            <w:tcW w:w="200" w:type="dxa"/>
            <w:vAlign w:val="bottom"/>
            <w:shd w:val="clear" w:color="auto" w:fill="CCFFCC"/>
          </w:tcPr>
          <w:p>
            <w:pPr>
              <w:spacing w:after="0"/>
              <w:rPr>
                <w:sz w:val="15"/>
                <w:szCs w:val="15"/>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3,000,000</w:t>
            </w:r>
          </w:p>
        </w:tc>
        <w:tc>
          <w:tcPr>
            <w:tcW w:w="100" w:type="dxa"/>
            <w:vAlign w:val="bottom"/>
            <w:shd w:val="clear" w:color="auto" w:fill="CCFFCC"/>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2,970,000</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2,970,000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54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Sun Products Corporation, The (fka Huish</w:t>
            </w:r>
          </w:p>
        </w:tc>
        <w:tc>
          <w:tcPr>
            <w:tcW w:w="3560" w:type="dxa"/>
            <w:vAlign w:val="bottom"/>
            <w:gridSpan w:val="3"/>
            <w:shd w:val="clear" w:color="auto" w:fill="CCFFCC"/>
          </w:tcPr>
          <w:p>
            <w:pPr>
              <w:spacing w:after="0" w:line="130" w:lineRule="exact"/>
              <w:rPr>
                <w:sz w:val="20"/>
                <w:szCs w:val="20"/>
                <w:color w:val="auto"/>
              </w:rPr>
            </w:pPr>
            <w:r>
              <w:rPr>
                <w:rFonts w:ascii="Arial" w:cs="Arial" w:eastAsia="Arial" w:hAnsi="Arial"/>
                <w:sz w:val="14"/>
                <w:szCs w:val="14"/>
                <w:color w:val="auto"/>
              </w:rPr>
              <w:t>Senior Secured Loan — Tranche B Term Loan</w:t>
            </w:r>
          </w:p>
        </w:tc>
        <w:tc>
          <w:tcPr>
            <w:tcW w:w="20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0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gridSpan w:val="2"/>
            <w:shd w:val="clear" w:color="auto" w:fill="CCFFCC"/>
          </w:tcPr>
          <w:p>
            <w:pPr>
              <w:ind w:left="120"/>
              <w:spacing w:after="0" w:line="189" w:lineRule="exact"/>
              <w:rPr>
                <w:sz w:val="20"/>
                <w:szCs w:val="20"/>
                <w:color w:val="auto"/>
              </w:rPr>
            </w:pPr>
            <w:r>
              <w:rPr>
                <w:rFonts w:ascii="Arial" w:cs="Arial" w:eastAsia="Arial" w:hAnsi="Arial"/>
                <w:sz w:val="13"/>
                <w:szCs w:val="13"/>
                <w:color w:val="auto"/>
              </w:rPr>
              <w:t>Detergents Inc.)</w:t>
            </w:r>
            <w:r>
              <w:rPr>
                <w:rFonts w:ascii="Arial" w:cs="Arial" w:eastAsia="Arial" w:hAnsi="Arial"/>
                <w:sz w:val="21"/>
                <w:szCs w:val="21"/>
                <w:color w:val="auto"/>
                <w:vertAlign w:val="superscript"/>
              </w:rPr>
              <w:t>10, 12</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5.5%</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3/20</w:t>
            </w:r>
          </w:p>
        </w:tc>
        <w:tc>
          <w:tcPr>
            <w:tcW w:w="20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30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i w:val="1"/>
                <w:iCs w:val="1"/>
                <w:color w:val="auto"/>
              </w:rPr>
              <w:t>Personal and Non Durable Consumer Products (Mfg.</w:t>
            </w:r>
          </w:p>
        </w:tc>
        <w:tc>
          <w:tcPr>
            <w:tcW w:w="320" w:type="dxa"/>
            <w:vAlign w:val="bottom"/>
            <w:shd w:val="clear" w:color="auto" w:fill="CCFFCC"/>
          </w:tcPr>
          <w:p>
            <w:pPr>
              <w:spacing w:after="0"/>
              <w:rPr>
                <w:sz w:val="12"/>
                <w:szCs w:val="12"/>
                <w:color w:val="auto"/>
              </w:rPr>
            </w:pPr>
          </w:p>
        </w:tc>
        <w:tc>
          <w:tcPr>
            <w:tcW w:w="3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Only)</w:t>
            </w:r>
          </w:p>
        </w:tc>
        <w:tc>
          <w:tcPr>
            <w:tcW w:w="320" w:type="dxa"/>
            <w:vAlign w:val="bottom"/>
            <w:shd w:val="clear" w:color="auto" w:fill="CCFFCC"/>
          </w:tcPr>
          <w:p>
            <w:pPr>
              <w:spacing w:after="0"/>
              <w:rPr>
                <w:sz w:val="14"/>
                <w:szCs w:val="14"/>
                <w:color w:val="auto"/>
              </w:rPr>
            </w:pPr>
          </w:p>
        </w:tc>
        <w:tc>
          <w:tcPr>
            <w:tcW w:w="3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3,990,000</w:t>
            </w:r>
          </w:p>
        </w:tc>
        <w:tc>
          <w:tcPr>
            <w:tcW w:w="100" w:type="dxa"/>
            <w:vAlign w:val="bottom"/>
            <w:shd w:val="clear" w:color="auto" w:fill="CCFFCC"/>
          </w:tcPr>
          <w:p>
            <w:pPr>
              <w:spacing w:after="0"/>
              <w:rPr>
                <w:sz w:val="14"/>
                <w:szCs w:val="14"/>
                <w:color w:val="auto"/>
              </w:rPr>
            </w:pPr>
          </w:p>
        </w:tc>
        <w:tc>
          <w:tcPr>
            <w:tcW w:w="30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3,960,075</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3,960,075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TriZetto Group, Inc. (TZ Merger Sub, Inc.)</w:t>
            </w:r>
            <w:r>
              <w:rPr>
                <w:rFonts w:ascii="Arial" w:cs="Arial" w:eastAsia="Arial" w:hAnsi="Arial"/>
                <w:sz w:val="18"/>
                <w:szCs w:val="18"/>
                <w:color w:val="auto"/>
                <w:vertAlign w:val="superscript"/>
              </w:rPr>
              <w:t>10, 12</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30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4"/>
                <w:szCs w:val="14"/>
                <w:i w:val="1"/>
                <w:iCs w:val="1"/>
                <w:color w:val="auto"/>
              </w:rPr>
              <w:t>Electronics</w:t>
            </w:r>
          </w:p>
        </w:tc>
        <w:tc>
          <w:tcPr>
            <w:tcW w:w="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w w:val="93"/>
              </w:rPr>
              <w:t>4.8%</w:t>
            </w:r>
          </w:p>
        </w:tc>
        <w:tc>
          <w:tcPr>
            <w:tcW w:w="324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4"/>
                <w:szCs w:val="14"/>
                <w:color w:val="auto"/>
              </w:rPr>
              <w:t>Cash, Due 5/18</w:t>
            </w:r>
          </w:p>
        </w:tc>
        <w:tc>
          <w:tcPr>
            <w:tcW w:w="200" w:type="dxa"/>
            <w:vAlign w:val="bottom"/>
            <w:tcBorders>
              <w:bottom w:val="single" w:sz="8" w:color="CCFFCC"/>
            </w:tcBorders>
            <w:shd w:val="clear" w:color="auto" w:fill="CCFFCC"/>
          </w:tcPr>
          <w:p>
            <w:pPr>
              <w:spacing w:after="0"/>
              <w:rPr>
                <w:sz w:val="17"/>
                <w:szCs w:val="17"/>
                <w:color w:val="auto"/>
              </w:rPr>
            </w:pPr>
          </w:p>
        </w:tc>
        <w:tc>
          <w:tcPr>
            <w:tcW w:w="11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3,695,459</w:t>
            </w:r>
          </w:p>
        </w:tc>
        <w:tc>
          <w:tcPr>
            <w:tcW w:w="100" w:type="dxa"/>
            <w:vAlign w:val="bottom"/>
            <w:tcBorders>
              <w:bottom w:val="single" w:sz="8" w:color="CCFFCC"/>
            </w:tcBorders>
            <w:shd w:val="clear" w:color="auto" w:fill="CCFFCC"/>
          </w:tcPr>
          <w:p>
            <w:pPr>
              <w:spacing w:after="0"/>
              <w:rPr>
                <w:sz w:val="17"/>
                <w:szCs w:val="17"/>
                <w:color w:val="auto"/>
              </w:rPr>
            </w:pPr>
          </w:p>
        </w:tc>
        <w:tc>
          <w:tcPr>
            <w:tcW w:w="300" w:type="dxa"/>
            <w:vAlign w:val="bottom"/>
            <w:tcBorders>
              <w:bottom w:val="single" w:sz="8" w:color="CCFFCC"/>
            </w:tcBorders>
            <w:shd w:val="clear" w:color="auto" w:fill="CCFFCC"/>
          </w:tcPr>
          <w:p>
            <w:pPr>
              <w:spacing w:after="0"/>
              <w:rPr>
                <w:sz w:val="17"/>
                <w:szCs w:val="17"/>
                <w:color w:val="auto"/>
              </w:rPr>
            </w:pPr>
          </w:p>
        </w:tc>
        <w:tc>
          <w:tcPr>
            <w:tcW w:w="10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3,700,920</w:t>
            </w:r>
          </w:p>
        </w:tc>
        <w:tc>
          <w:tcPr>
            <w:tcW w:w="100" w:type="dxa"/>
            <w:vAlign w:val="bottom"/>
            <w:tcBorders>
              <w:bottom w:val="single" w:sz="8" w:color="CCFFCC"/>
            </w:tcBorders>
            <w:shd w:val="clear" w:color="auto" w:fill="CCFFCC"/>
          </w:tcPr>
          <w:p>
            <w:pPr>
              <w:spacing w:after="0"/>
              <w:rPr>
                <w:sz w:val="17"/>
                <w:szCs w:val="17"/>
                <w:color w:val="auto"/>
              </w:rPr>
            </w:pPr>
          </w:p>
        </w:tc>
        <w:tc>
          <w:tcPr>
            <w:tcW w:w="260" w:type="dxa"/>
            <w:vAlign w:val="bottom"/>
            <w:tcBorders>
              <w:bottom w:val="single" w:sz="8" w:color="CCFFCC"/>
            </w:tcBorders>
            <w:shd w:val="clear" w:color="auto" w:fill="CCFFCC"/>
          </w:tcPr>
          <w:p>
            <w:pPr>
              <w:spacing w:after="0"/>
              <w:rPr>
                <w:sz w:val="17"/>
                <w:szCs w:val="17"/>
                <w:color w:val="auto"/>
              </w:rPr>
            </w:pPr>
          </w:p>
        </w:tc>
        <w:tc>
          <w:tcPr>
            <w:tcW w:w="11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3,688,530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3540" w:type="dxa"/>
            <w:vAlign w:val="bottom"/>
            <w:gridSpan w:val="2"/>
            <w:shd w:val="clear" w:color="auto" w:fill="CCFFCC"/>
          </w:tcPr>
          <w:p>
            <w:pPr>
              <w:spacing w:after="0" w:line="142" w:lineRule="exact"/>
              <w:rPr>
                <w:sz w:val="20"/>
                <w:szCs w:val="20"/>
                <w:color w:val="auto"/>
              </w:rPr>
            </w:pPr>
            <w:r>
              <w:rPr>
                <w:rFonts w:ascii="Arial" w:cs="Arial" w:eastAsia="Arial" w:hAnsi="Arial"/>
                <w:sz w:val="11"/>
                <w:szCs w:val="11"/>
                <w:color w:val="auto"/>
              </w:rPr>
              <w:t>TRSO I, Inc.</w:t>
            </w:r>
            <w:r>
              <w:rPr>
                <w:rFonts w:ascii="Arial" w:cs="Arial" w:eastAsia="Arial" w:hAnsi="Arial"/>
                <w:sz w:val="16"/>
                <w:szCs w:val="16"/>
                <w:color w:val="auto"/>
                <w:vertAlign w:val="superscript"/>
              </w:rPr>
              <w:t>10</w:t>
            </w:r>
          </w:p>
        </w:tc>
        <w:tc>
          <w:tcPr>
            <w:tcW w:w="3560" w:type="dxa"/>
            <w:vAlign w:val="bottom"/>
            <w:gridSpan w:val="3"/>
            <w:shd w:val="clear" w:color="auto" w:fill="CCFFCC"/>
          </w:tcPr>
          <w:p>
            <w:pPr>
              <w:spacing w:after="0" w:line="142" w:lineRule="exact"/>
              <w:rPr>
                <w:sz w:val="20"/>
                <w:szCs w:val="20"/>
                <w:color w:val="auto"/>
              </w:rPr>
            </w:pPr>
            <w:r>
              <w:rPr>
                <w:rFonts w:ascii="Arial" w:cs="Arial" w:eastAsia="Arial" w:hAnsi="Arial"/>
                <w:sz w:val="14"/>
                <w:szCs w:val="14"/>
                <w:color w:val="auto"/>
              </w:rPr>
              <w:t>Junior Secured Loan — Term Loan (Second Lien)</w:t>
            </w:r>
          </w:p>
        </w:tc>
        <w:tc>
          <w:tcPr>
            <w:tcW w:w="20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Oil and Gas</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11.0% Cash, Due 12/17</w:t>
            </w:r>
          </w:p>
        </w:tc>
        <w:tc>
          <w:tcPr>
            <w:tcW w:w="200" w:type="dxa"/>
            <w:vAlign w:val="bottom"/>
            <w:shd w:val="clear" w:color="auto" w:fill="CCFFCC"/>
          </w:tcPr>
          <w:p>
            <w:pPr>
              <w:spacing w:after="0"/>
              <w:rPr>
                <w:sz w:val="17"/>
                <w:szCs w:val="17"/>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10,400,000</w:t>
            </w:r>
          </w:p>
        </w:tc>
        <w:tc>
          <w:tcPr>
            <w:tcW w:w="10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10,213,564</w:t>
            </w: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10,400,000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TUI University, LLC</w:t>
            </w:r>
            <w:r>
              <w:rPr>
                <w:rFonts w:ascii="Arial" w:cs="Arial" w:eastAsia="Arial" w:hAnsi="Arial"/>
                <w:sz w:val="18"/>
                <w:szCs w:val="18"/>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 (First Lien)</w:t>
            </w:r>
          </w:p>
        </w:tc>
        <w:tc>
          <w:tcPr>
            <w:tcW w:w="20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30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Healthcare, Education and Childcare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7.3%</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10/14</w:t>
            </w:r>
          </w:p>
        </w:tc>
        <w:tc>
          <w:tcPr>
            <w:tcW w:w="200" w:type="dxa"/>
            <w:vAlign w:val="bottom"/>
            <w:shd w:val="clear" w:color="auto" w:fill="CCFFCC"/>
          </w:tcPr>
          <w:p>
            <w:pPr>
              <w:spacing w:after="0"/>
              <w:rPr>
                <w:sz w:val="15"/>
                <w:szCs w:val="15"/>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1,885,017</w:t>
            </w:r>
          </w:p>
        </w:tc>
        <w:tc>
          <w:tcPr>
            <w:tcW w:w="100" w:type="dxa"/>
            <w:vAlign w:val="bottom"/>
            <w:shd w:val="clear" w:color="auto" w:fill="CCFFCC"/>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1,866,953</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1,772,105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TWCC Holding Corp.</w:t>
            </w:r>
            <w:r>
              <w:rPr>
                <w:rFonts w:ascii="Arial" w:cs="Arial" w:eastAsia="Arial" w:hAnsi="Arial"/>
                <w:sz w:val="18"/>
                <w:szCs w:val="18"/>
                <w:color w:val="auto"/>
                <w:vertAlign w:val="superscript"/>
              </w:rPr>
              <w:t>10</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Junior Secured Loan — Term Loan (Second Lien)</w:t>
            </w:r>
          </w:p>
        </w:tc>
        <w:tc>
          <w:tcPr>
            <w:tcW w:w="20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30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Broadcasting and Entertainment</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7.0%</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12/20</w:t>
            </w:r>
          </w:p>
        </w:tc>
        <w:tc>
          <w:tcPr>
            <w:tcW w:w="200" w:type="dxa"/>
            <w:vAlign w:val="bottom"/>
            <w:shd w:val="clear" w:color="auto" w:fill="CCFFCC"/>
          </w:tcPr>
          <w:p>
            <w:pPr>
              <w:spacing w:after="0"/>
              <w:rPr>
                <w:sz w:val="15"/>
                <w:szCs w:val="15"/>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FFCC"/>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1,005,007</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1,010,000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TWCC Holding Corp.</w:t>
            </w:r>
            <w:r>
              <w:rPr>
                <w:rFonts w:ascii="Arial" w:cs="Arial" w:eastAsia="Arial" w:hAnsi="Arial"/>
                <w:sz w:val="18"/>
                <w:szCs w:val="18"/>
                <w:color w:val="auto"/>
                <w:vertAlign w:val="superscript"/>
              </w:rPr>
              <w:t>10, 12</w:t>
            </w:r>
          </w:p>
        </w:tc>
        <w:tc>
          <w:tcPr>
            <w:tcW w:w="35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30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Broadcasting and Entertainment</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3.5%</w:t>
            </w:r>
          </w:p>
        </w:tc>
        <w:tc>
          <w:tcPr>
            <w:tcW w:w="32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2/17</w:t>
            </w:r>
          </w:p>
        </w:tc>
        <w:tc>
          <w:tcPr>
            <w:tcW w:w="200" w:type="dxa"/>
            <w:vAlign w:val="bottom"/>
            <w:shd w:val="clear" w:color="auto" w:fill="CCFFCC"/>
          </w:tcPr>
          <w:p>
            <w:pPr>
              <w:spacing w:after="0"/>
              <w:rPr>
                <w:sz w:val="15"/>
                <w:szCs w:val="15"/>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1,966,350</w:t>
            </w:r>
          </w:p>
        </w:tc>
        <w:tc>
          <w:tcPr>
            <w:tcW w:w="100" w:type="dxa"/>
            <w:vAlign w:val="bottom"/>
            <w:shd w:val="clear" w:color="auto" w:fill="CCFFCC"/>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1,984,912</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1,973,016</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1" w:right="239" w:bottom="1440" w:gutter="0" w:footer="0" w:header="0"/>
        </w:sectPr>
      </w:pPr>
    </w:p>
    <w:bookmarkStart w:id="12" w:name="page13"/>
    <w:bookmarkEnd w:id="12"/>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Univar Inc.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Chemicals, Plastics and Rubber</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US Foods, Inc. (aka U.S. Foodservice, Inc.)</w:t>
      </w:r>
      <w:r>
        <w:rPr>
          <w:rFonts w:ascii="Arial" w:cs="Arial" w:eastAsia="Arial" w:hAnsi="Arial"/>
          <w:sz w:val="23"/>
          <w:szCs w:val="23"/>
          <w:color w:val="auto"/>
          <w:vertAlign w:val="superscript"/>
        </w:rPr>
        <w:t>10</w:t>
      </w:r>
    </w:p>
    <w:p>
      <w:pPr>
        <w:ind w:left="200"/>
        <w:spacing w:after="0"/>
        <w:rPr>
          <w:sz w:val="20"/>
          <w:szCs w:val="20"/>
          <w:color w:val="auto"/>
        </w:rPr>
      </w:pPr>
      <w:r>
        <w:rPr>
          <w:rFonts w:ascii="Arial" w:cs="Arial" w:eastAsia="Arial" w:hAnsi="Arial"/>
          <w:sz w:val="14"/>
          <w:szCs w:val="14"/>
          <w:i w:val="1"/>
          <w:iCs w:val="1"/>
          <w:color w:val="auto"/>
        </w:rPr>
        <w:t>Personal, Food and Miscellaneous Services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Vertafore, Inc.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Electronics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Vestcom International, Inc. (fka Vector Investment</w:t>
      </w:r>
    </w:p>
    <w:p>
      <w:pPr>
        <w:ind w:left="140"/>
        <w:spacing w:after="0" w:line="187" w:lineRule="auto"/>
        <w:rPr>
          <w:sz w:val="20"/>
          <w:szCs w:val="20"/>
          <w:color w:val="auto"/>
        </w:rPr>
      </w:pPr>
      <w:r>
        <w:rPr>
          <w:rFonts w:ascii="Arial" w:cs="Arial" w:eastAsia="Arial" w:hAnsi="Arial"/>
          <w:sz w:val="13"/>
          <w:szCs w:val="13"/>
          <w:color w:val="auto"/>
        </w:rPr>
        <w:t>Holdings, Inc.)</w:t>
      </w:r>
      <w:r>
        <w:rPr>
          <w:rFonts w:ascii="Arial" w:cs="Arial" w:eastAsia="Arial" w:hAnsi="Arial"/>
          <w:sz w:val="21"/>
          <w:szCs w:val="21"/>
          <w:color w:val="auto"/>
          <w:vertAlign w:val="superscript"/>
        </w:rPr>
        <w:t>10, 12</w:t>
      </w:r>
    </w:p>
    <w:p>
      <w:pPr>
        <w:ind w:left="180"/>
        <w:spacing w:after="0"/>
        <w:rPr>
          <w:sz w:val="20"/>
          <w:szCs w:val="20"/>
          <w:color w:val="auto"/>
        </w:rPr>
      </w:pPr>
      <w:r>
        <w:rPr>
          <w:rFonts w:ascii="Arial" w:cs="Arial" w:eastAsia="Arial" w:hAnsi="Arial"/>
          <w:sz w:val="14"/>
          <w:szCs w:val="14"/>
          <w:i w:val="1"/>
          <w:iCs w:val="1"/>
          <w:color w:val="auto"/>
        </w:rPr>
        <w:t>Printing and Publishing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Wholesome Sweeteners, Inc.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WireCo WorldGroup Inc.</w:t>
      </w:r>
      <w:r>
        <w:rPr>
          <w:rFonts w:ascii="Arial" w:cs="Arial" w:eastAsia="Arial" w:hAnsi="Arial"/>
          <w:sz w:val="23"/>
          <w:szCs w:val="23"/>
          <w:color w:val="auto"/>
          <w:vertAlign w:val="superscript"/>
        </w:rPr>
        <w:t>10</w:t>
      </w:r>
    </w:p>
    <w:p>
      <w:pPr>
        <w:ind w:left="140" w:firstLine="36"/>
        <w:spacing w:after="0" w:line="237" w:lineRule="auto"/>
        <w:rPr>
          <w:sz w:val="20"/>
          <w:szCs w:val="20"/>
          <w:color w:val="auto"/>
        </w:rPr>
      </w:pPr>
      <w:r>
        <w:rPr>
          <w:rFonts w:ascii="Arial" w:cs="Arial" w:eastAsia="Arial" w:hAnsi="Arial"/>
          <w:sz w:val="14"/>
          <w:szCs w:val="14"/>
          <w:i w:val="1"/>
          <w:iCs w:val="1"/>
          <w:color w:val="auto"/>
        </w:rPr>
        <w:t>Machinery (Non-Agriculture, Non-Construction, Non-Electronic)</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WireCo WorldGroup Inc.</w:t>
      </w:r>
      <w:r>
        <w:rPr>
          <w:rFonts w:ascii="Arial" w:cs="Arial" w:eastAsia="Arial" w:hAnsi="Arial"/>
          <w:sz w:val="23"/>
          <w:szCs w:val="23"/>
          <w:color w:val="auto"/>
          <w:vertAlign w:val="superscript"/>
        </w:rPr>
        <w:t>10, 12</w:t>
      </w:r>
    </w:p>
    <w:p>
      <w:pPr>
        <w:ind w:left="140" w:firstLine="36"/>
        <w:spacing w:after="0" w:line="237" w:lineRule="auto"/>
        <w:rPr>
          <w:sz w:val="20"/>
          <w:szCs w:val="20"/>
          <w:color w:val="auto"/>
        </w:rPr>
      </w:pPr>
      <w:r>
        <w:rPr>
          <w:rFonts w:ascii="Arial" w:cs="Arial" w:eastAsia="Arial" w:hAnsi="Arial"/>
          <w:sz w:val="14"/>
          <w:szCs w:val="14"/>
          <w:i w:val="1"/>
          <w:iCs w:val="1"/>
          <w:color w:val="auto"/>
        </w:rPr>
        <w:t>Machinery (Non-Agriculture, Non-Construction, Non-Electronic)</w:t>
      </w:r>
    </w:p>
    <w:p>
      <w:pPr>
        <w:spacing w:after="0" w:line="139" w:lineRule="exact"/>
        <w:rPr>
          <w:sz w:val="20"/>
          <w:szCs w:val="20"/>
          <w:color w:val="auto"/>
        </w:rPr>
      </w:pPr>
    </w:p>
    <w:p>
      <w:pPr>
        <w:ind w:left="260" w:right="800" w:hanging="129"/>
        <w:spacing w:after="0" w:line="297" w:lineRule="auto"/>
        <w:rPr>
          <w:sz w:val="20"/>
          <w:szCs w:val="20"/>
          <w:color w:val="auto"/>
        </w:rPr>
      </w:pPr>
      <w:r>
        <w:rPr>
          <w:rFonts w:ascii="Arial" w:cs="Arial" w:eastAsia="Arial" w:hAnsi="Arial"/>
          <w:sz w:val="13"/>
          <w:szCs w:val="13"/>
          <w:b w:val="1"/>
          <w:bCs w:val="1"/>
          <w:color w:val="auto"/>
        </w:rPr>
        <w:t>Total Investment in Debt Securities (70%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Interest Rate¹ / Maturity</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Senior Secured Loan — Term B Loan</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5.0% Cash, Due 6/17</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2,939,724</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2,939,892</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2,875,624</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Incremental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560" w:type="dxa"/>
            <w:vAlign w:val="bottom"/>
            <w:gridSpan w:val="2"/>
          </w:tcPr>
          <w:p>
            <w:pPr>
              <w:spacing w:after="0"/>
              <w:rPr>
                <w:sz w:val="20"/>
                <w:szCs w:val="20"/>
                <w:color w:val="auto"/>
              </w:rPr>
            </w:pPr>
            <w:r>
              <w:rPr>
                <w:rFonts w:ascii="Arial" w:cs="Arial" w:eastAsia="Arial" w:hAnsi="Arial"/>
                <w:sz w:val="14"/>
                <w:szCs w:val="14"/>
                <w:color w:val="auto"/>
              </w:rPr>
              <w:t>4.5% Cash, Due 3/19</w:t>
            </w:r>
          </w:p>
        </w:tc>
        <w:tc>
          <w:tcPr>
            <w:tcW w:w="200" w:type="dxa"/>
            <w:vAlign w:val="bottom"/>
          </w:tcPr>
          <w:p>
            <w:pPr>
              <w:spacing w:after="0"/>
              <w:rPr>
                <w:sz w:val="15"/>
                <w:szCs w:val="15"/>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2,985,000</w:t>
            </w: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2,975,250</w:t>
            </w:r>
          </w:p>
        </w:tc>
        <w:tc>
          <w:tcPr>
            <w:tcW w:w="0" w:type="dxa"/>
            <w:vAlign w:val="bottom"/>
          </w:tcPr>
          <w:p>
            <w:pPr>
              <w:spacing w:after="0"/>
              <w:rPr>
                <w:sz w:val="1"/>
                <w:szCs w:val="1"/>
                <w:color w:val="auto"/>
              </w:rPr>
            </w:pPr>
          </w:p>
        </w:tc>
      </w:tr>
      <w:tr>
        <w:trPr>
          <w:trHeight w:val="81"/>
        </w:trPr>
        <w:tc>
          <w:tcPr>
            <w:tcW w:w="3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Term Loan (2013)</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4.3% Cash, Due 10/19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1,231,141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1,228,949</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1,236,374</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560" w:type="dxa"/>
            <w:vAlign w:val="bottom"/>
            <w:gridSpan w:val="2"/>
          </w:tcPr>
          <w:p>
            <w:pPr>
              <w:spacing w:after="0"/>
              <w:rPr>
                <w:sz w:val="20"/>
                <w:szCs w:val="20"/>
                <w:color w:val="auto"/>
              </w:rPr>
            </w:pPr>
            <w:r>
              <w:rPr>
                <w:rFonts w:ascii="Arial" w:cs="Arial" w:eastAsia="Arial" w:hAnsi="Arial"/>
                <w:sz w:val="14"/>
                <w:szCs w:val="14"/>
                <w:color w:val="auto"/>
              </w:rPr>
              <w:t>8.0% Cash, Due 12/18</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2,992,500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2,935,923</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2,993,697</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w w:val="98"/>
              </w:rPr>
              <w:t>Junior Secured Loan — Subordinated Note (Second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14.0% Cash, 2.0% PIK, , Due 10/17</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6,648,596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6,610,305</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6,648,596</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Unsecured Bond —</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560" w:type="dxa"/>
            <w:vAlign w:val="bottom"/>
            <w:gridSpan w:val="2"/>
          </w:tcPr>
          <w:p>
            <w:pPr>
              <w:spacing w:after="0"/>
              <w:rPr>
                <w:sz w:val="20"/>
                <w:szCs w:val="20"/>
                <w:color w:val="auto"/>
              </w:rPr>
            </w:pPr>
            <w:r>
              <w:rPr>
                <w:rFonts w:ascii="Arial" w:cs="Arial" w:eastAsia="Arial" w:hAnsi="Arial"/>
                <w:sz w:val="14"/>
                <w:szCs w:val="14"/>
                <w:color w:val="auto"/>
              </w:rPr>
              <w:t>11.8% Cash, Due 5/17</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5,000,000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4,837,744</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5,141,500</w:t>
            </w:r>
          </w:p>
        </w:tc>
        <w:tc>
          <w:tcPr>
            <w:tcW w:w="0" w:type="dxa"/>
            <w:vAlign w:val="bottom"/>
          </w:tcPr>
          <w:p>
            <w:pPr>
              <w:spacing w:after="0"/>
              <w:rPr>
                <w:sz w:val="1"/>
                <w:szCs w:val="1"/>
                <w:color w:val="auto"/>
              </w:rPr>
            </w:pPr>
          </w:p>
        </w:tc>
      </w:tr>
      <w:tr>
        <w:trPr>
          <w:trHeight w:val="297"/>
        </w:trPr>
        <w:tc>
          <w:tcPr>
            <w:tcW w:w="3560" w:type="dxa"/>
            <w:vAlign w:val="bottom"/>
            <w:gridSpan w:val="2"/>
          </w:tcPr>
          <w:p>
            <w:pPr>
              <w:spacing w:after="0"/>
              <w:rPr>
                <w:sz w:val="20"/>
                <w:szCs w:val="20"/>
                <w:color w:val="auto"/>
              </w:rPr>
            </w:pPr>
            <w:r>
              <w:rPr>
                <w:rFonts w:ascii="Arial" w:cs="Arial" w:eastAsia="Arial" w:hAnsi="Arial"/>
                <w:sz w:val="14"/>
                <w:szCs w:val="14"/>
                <w:color w:val="auto"/>
              </w:rPr>
              <w:t>Senior Unsecured Bond — 11.8% Cash, Due 5/17</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3,090,000</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3,084,900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213,580,873</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211,661,173</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190,732,894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-2383155</wp:posOffset>
            </wp:positionV>
            <wp:extent cx="7246620" cy="2400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-2049145</wp:posOffset>
            </wp:positionV>
            <wp:extent cx="7246620" cy="2146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-1740535</wp:posOffset>
            </wp:positionV>
            <wp:extent cx="7246620" cy="308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-1337310</wp:posOffset>
            </wp:positionV>
            <wp:extent cx="7246620" cy="2146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-1028700</wp:posOffset>
            </wp:positionV>
            <wp:extent cx="7246620" cy="308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-625475</wp:posOffset>
            </wp:positionV>
            <wp:extent cx="7246620" cy="3175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-205105</wp:posOffset>
            </wp:positionV>
            <wp:extent cx="7246620" cy="1974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-2700655</wp:posOffset>
            </wp:positionV>
            <wp:extent cx="7246620" cy="222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98"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300" w:space="260"/>
            <w:col w:w="7760"/>
          </w:cols>
          <w:pgMar w:left="240" w:top="86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Equity Securities Portfolio</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2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920" w:type="dxa"/>
            <w:vAlign w:val="bottom"/>
            <w:gridSpan w:val="3"/>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Interest/Shares</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80" w:type="dxa"/>
            <w:vAlign w:val="bottom"/>
            <w:tcBorders>
              <w:top w:val="single" w:sz="8" w:color="auto"/>
            </w:tcBorders>
            <w:shd w:val="clear" w:color="auto" w:fill="CCFFCC"/>
          </w:tcPr>
          <w:p>
            <w:pPr>
              <w:spacing w:after="0" w:line="164"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8"/>
                <w:szCs w:val="18"/>
                <w:color w:val="auto"/>
                <w:vertAlign w:val="superscript"/>
              </w:rPr>
              <w:t>6, 10</w:t>
            </w:r>
          </w:p>
        </w:tc>
        <w:tc>
          <w:tcPr>
            <w:tcW w:w="120" w:type="dxa"/>
            <w:vAlign w:val="bottom"/>
            <w:tcBorders>
              <w:top w:val="single" w:sz="8" w:color="CCFFCC"/>
            </w:tcBorders>
            <w:shd w:val="clear" w:color="auto" w:fill="CCFFCC"/>
          </w:tcPr>
          <w:p>
            <w:pPr>
              <w:spacing w:after="0"/>
              <w:rPr>
                <w:sz w:val="14"/>
                <w:szCs w:val="14"/>
                <w:color w:val="auto"/>
              </w:rPr>
            </w:pPr>
          </w:p>
        </w:tc>
        <w:tc>
          <w:tcPr>
            <w:tcW w:w="20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4"/>
                <w:szCs w:val="14"/>
                <w:color w:val="auto"/>
              </w:rPr>
              <w:t>Partnership Interests</w:t>
            </w:r>
          </w:p>
        </w:tc>
        <w:tc>
          <w:tcPr>
            <w:tcW w:w="120" w:type="dxa"/>
            <w:vAlign w:val="bottom"/>
            <w:tcBorders>
              <w:top w:val="single" w:sz="8" w:color="CCFFCC"/>
            </w:tcBorders>
            <w:shd w:val="clear" w:color="auto" w:fill="CCFFCC"/>
          </w:tcPr>
          <w:p>
            <w:pPr>
              <w:spacing w:after="0"/>
              <w:rPr>
                <w:sz w:val="14"/>
                <w:szCs w:val="14"/>
                <w:color w:val="auto"/>
              </w:rPr>
            </w:pPr>
          </w:p>
        </w:tc>
        <w:tc>
          <w:tcPr>
            <w:tcW w:w="126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60" w:type="dxa"/>
            <w:vAlign w:val="bottom"/>
            <w:tcBorders>
              <w:top w:val="single" w:sz="8" w:color="CCFFCC"/>
            </w:tcBorders>
            <w:shd w:val="clear" w:color="auto" w:fill="CCFFCC"/>
          </w:tcPr>
          <w:p>
            <w:pPr>
              <w:spacing w:after="0"/>
              <w:rPr>
                <w:sz w:val="14"/>
                <w:szCs w:val="14"/>
                <w:color w:val="auto"/>
              </w:rPr>
            </w:pPr>
          </w:p>
        </w:tc>
        <w:tc>
          <w:tcPr>
            <w:tcW w:w="260" w:type="dxa"/>
            <w:vAlign w:val="bottom"/>
            <w:tcBorders>
              <w:top w:val="single" w:sz="8" w:color="auto"/>
            </w:tcBorders>
            <w:shd w:val="clear" w:color="auto" w:fill="CCFFCC"/>
          </w:tcPr>
          <w:p>
            <w:pPr>
              <w:spacing w:after="0"/>
              <w:rPr>
                <w:sz w:val="14"/>
                <w:szCs w:val="14"/>
                <w:color w:val="auto"/>
              </w:rPr>
            </w:pPr>
          </w:p>
        </w:tc>
        <w:tc>
          <w:tcPr>
            <w:tcW w:w="98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260" w:type="dxa"/>
            <w:vAlign w:val="bottom"/>
            <w:tcBorders>
              <w:top w:val="single" w:sz="8" w:color="auto"/>
            </w:tcBorders>
            <w:shd w:val="clear" w:color="auto" w:fill="CCFFCC"/>
          </w:tcPr>
          <w:p>
            <w:pPr>
              <w:spacing w:after="0"/>
              <w:rPr>
                <w:sz w:val="14"/>
                <w:szCs w:val="14"/>
                <w:color w:val="auto"/>
              </w:rPr>
            </w:pPr>
          </w:p>
        </w:tc>
        <w:tc>
          <w:tcPr>
            <w:tcW w:w="100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Aerospace and Defense</w:t>
            </w:r>
          </w:p>
        </w:tc>
        <w:tc>
          <w:tcPr>
            <w:tcW w:w="20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1.2%</w:t>
            </w:r>
          </w:p>
        </w:tc>
        <w:tc>
          <w:tcPr>
            <w:tcW w:w="3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1,000,000</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9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9"/>
                <w:szCs w:val="19"/>
                <w:color w:val="auto"/>
                <w:vertAlign w:val="superscript"/>
              </w:rPr>
              <w:t>6, 10</w:t>
            </w:r>
          </w:p>
        </w:tc>
        <w:tc>
          <w:tcPr>
            <w:tcW w:w="2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Series A Preferred Interests</w:t>
            </w:r>
          </w:p>
        </w:tc>
        <w:tc>
          <w:tcPr>
            <w:tcW w:w="12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Aerospace and Defense</w:t>
            </w:r>
          </w:p>
        </w:tc>
        <w:tc>
          <w:tcPr>
            <w:tcW w:w="20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1.2%</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250,961</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70,341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9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6, 10</w:t>
            </w:r>
          </w:p>
        </w:tc>
        <w:tc>
          <w:tcPr>
            <w:tcW w:w="2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Class A Warrants</w:t>
            </w:r>
          </w:p>
        </w:tc>
        <w:tc>
          <w:tcPr>
            <w:tcW w:w="12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Diversified/Conglomerate Service</w:t>
            </w:r>
          </w:p>
        </w:tc>
        <w:tc>
          <w:tcPr>
            <w:tcW w:w="20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1.7%</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9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6, 10</w:t>
            </w:r>
          </w:p>
        </w:tc>
        <w:tc>
          <w:tcPr>
            <w:tcW w:w="2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Class B Warrants</w:t>
            </w:r>
          </w:p>
        </w:tc>
        <w:tc>
          <w:tcPr>
            <w:tcW w:w="12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Diversified/Conglomerate Service</w:t>
            </w:r>
          </w:p>
        </w:tc>
        <w:tc>
          <w:tcPr>
            <w:tcW w:w="20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1.7%</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9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6, 10</w:t>
            </w:r>
          </w:p>
        </w:tc>
        <w:tc>
          <w:tcPr>
            <w:tcW w:w="2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Class C Warrants</w:t>
            </w:r>
          </w:p>
        </w:tc>
        <w:tc>
          <w:tcPr>
            <w:tcW w:w="12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Diversified/Conglomerate Service</w:t>
            </w:r>
          </w:p>
        </w:tc>
        <w:tc>
          <w:tcPr>
            <w:tcW w:w="20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1.7%</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9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6, 10</w:t>
            </w:r>
          </w:p>
        </w:tc>
        <w:tc>
          <w:tcPr>
            <w:tcW w:w="2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2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Diversified/Conglomerate Service</w:t>
            </w:r>
          </w:p>
        </w:tc>
        <w:tc>
          <w:tcPr>
            <w:tcW w:w="20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0.8%</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314,325</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314,325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9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Caribe Media Inc. (fka Caribe Information Investments Incorporated)</w:t>
            </w:r>
            <w:r>
              <w:rPr>
                <w:rFonts w:ascii="Arial" w:cs="Arial" w:eastAsia="Arial" w:hAnsi="Arial"/>
                <w:sz w:val="19"/>
                <w:szCs w:val="19"/>
                <w:color w:val="auto"/>
                <w:vertAlign w:val="superscript"/>
              </w:rPr>
              <w:t>6, 10</w:t>
            </w:r>
          </w:p>
        </w:tc>
        <w:tc>
          <w:tcPr>
            <w:tcW w:w="2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2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Printing and Publishing</w:t>
            </w:r>
          </w:p>
        </w:tc>
        <w:tc>
          <w:tcPr>
            <w:tcW w:w="20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1.3%</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359,765</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612,842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900" w:type="dxa"/>
            <w:vAlign w:val="bottom"/>
            <w:gridSpan w:val="2"/>
            <w:shd w:val="clear" w:color="auto" w:fill="CCFFCC"/>
          </w:tcPr>
          <w:p>
            <w:pPr>
              <w:spacing w:after="0" w:line="181" w:lineRule="exact"/>
              <w:rPr>
                <w:sz w:val="20"/>
                <w:szCs w:val="20"/>
                <w:color w:val="auto"/>
              </w:rPr>
            </w:pPr>
            <w:r>
              <w:rPr>
                <w:rFonts w:ascii="Arial" w:cs="Arial" w:eastAsia="Arial" w:hAnsi="Arial"/>
                <w:sz w:val="13"/>
                <w:szCs w:val="13"/>
                <w:color w:val="auto"/>
              </w:rPr>
              <w:t>Coastal Concrete Holding II, LLC</w:t>
            </w:r>
            <w:r>
              <w:rPr>
                <w:rFonts w:ascii="Arial" w:cs="Arial" w:eastAsia="Arial" w:hAnsi="Arial"/>
                <w:sz w:val="20"/>
                <w:szCs w:val="20"/>
                <w:color w:val="auto"/>
                <w:vertAlign w:val="superscript"/>
              </w:rPr>
              <w:t>6, 10</w:t>
            </w:r>
          </w:p>
        </w:tc>
        <w:tc>
          <w:tcPr>
            <w:tcW w:w="2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Class A Units</w:t>
            </w:r>
          </w:p>
        </w:tc>
        <w:tc>
          <w:tcPr>
            <w:tcW w:w="126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gridSpan w:val="2"/>
            <w:shd w:val="clear" w:color="auto" w:fill="CCFFCC"/>
          </w:tcPr>
          <w:p>
            <w:pPr>
              <w:ind w:left="160"/>
              <w:spacing w:after="0" w:line="198" w:lineRule="exact"/>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2"/>
                <w:szCs w:val="22"/>
                <w:color w:val="auto"/>
                <w:vertAlign w:val="superscript"/>
              </w:rPr>
              <w:t>4</w:t>
            </w:r>
          </w:p>
        </w:tc>
        <w:tc>
          <w:tcPr>
            <w:tcW w:w="20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10.8%</w:t>
            </w:r>
          </w:p>
        </w:tc>
        <w:tc>
          <w:tcPr>
            <w:tcW w:w="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8,625,626</w:t>
            </w: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9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eInstruction Acquisition, LLC</w:t>
            </w:r>
            <w:r>
              <w:rPr>
                <w:rFonts w:ascii="Arial" w:cs="Arial" w:eastAsia="Arial" w:hAnsi="Arial"/>
                <w:sz w:val="19"/>
                <w:szCs w:val="19"/>
                <w:color w:val="auto"/>
                <w:vertAlign w:val="superscript"/>
              </w:rPr>
              <w:t>6, 10</w:t>
            </w:r>
          </w:p>
        </w:tc>
        <w:tc>
          <w:tcPr>
            <w:tcW w:w="2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Membership Units</w:t>
            </w:r>
          </w:p>
        </w:tc>
        <w:tc>
          <w:tcPr>
            <w:tcW w:w="12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Healthcare, Education and Childcare</w:t>
            </w:r>
          </w:p>
        </w:tc>
        <w:tc>
          <w:tcPr>
            <w:tcW w:w="20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1.1%</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1,079,617</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9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FP WRCA Coinvestment Fund VII, Ltd.</w:t>
            </w:r>
            <w:r>
              <w:rPr>
                <w:rFonts w:ascii="Arial" w:cs="Arial" w:eastAsia="Arial" w:hAnsi="Arial"/>
                <w:sz w:val="19"/>
                <w:szCs w:val="19"/>
                <w:color w:val="auto"/>
                <w:vertAlign w:val="superscript"/>
              </w:rPr>
              <w:t>3, 6</w:t>
            </w:r>
          </w:p>
        </w:tc>
        <w:tc>
          <w:tcPr>
            <w:tcW w:w="2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Class A Shares</w:t>
            </w:r>
          </w:p>
        </w:tc>
        <w:tc>
          <w:tcPr>
            <w:tcW w:w="12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Machinery (Non-Agriculture, Non-Construction, Non-Electronic)</w:t>
            </w:r>
          </w:p>
        </w:tc>
        <w:tc>
          <w:tcPr>
            <w:tcW w:w="20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1,500</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1,500,000</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1,839,049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9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International Architectural Products, Inc.</w:t>
            </w:r>
            <w:r>
              <w:rPr>
                <w:rFonts w:ascii="Arial" w:cs="Arial" w:eastAsia="Arial" w:hAnsi="Arial"/>
                <w:sz w:val="19"/>
                <w:szCs w:val="19"/>
                <w:color w:val="auto"/>
                <w:vertAlign w:val="superscript"/>
              </w:rPr>
              <w:t>6, 10</w:t>
            </w:r>
          </w:p>
        </w:tc>
        <w:tc>
          <w:tcPr>
            <w:tcW w:w="2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2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Mining, Steel, Iron and Non-Precious Metals</w:t>
            </w:r>
          </w:p>
        </w:tc>
        <w:tc>
          <w:tcPr>
            <w:tcW w:w="20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2.5%</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292,851</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260" w:type="dxa"/>
            <w:vAlign w:val="bottom"/>
          </w:tcPr>
          <w:p>
            <w:pPr>
              <w:spacing w:after="0"/>
              <w:rPr>
                <w:sz w:val="14"/>
                <w:szCs w:val="1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12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Interest/Shares</w:t>
            </w: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100" w:type="dxa"/>
            <w:vAlign w:val="bottom"/>
            <w:tcBorders>
              <w:top w:val="single" w:sz="8" w:color="auto"/>
            </w:tcBorders>
            <w:gridSpan w:val="2"/>
            <w:shd w:val="clear" w:color="auto" w:fill="CCFFCC"/>
          </w:tcPr>
          <w:p>
            <w:pPr>
              <w:spacing w:after="0" w:line="164" w:lineRule="exact"/>
              <w:rPr>
                <w:sz w:val="20"/>
                <w:szCs w:val="20"/>
                <w:color w:val="auto"/>
              </w:rPr>
            </w:pPr>
            <w:r>
              <w:rPr>
                <w:rFonts w:ascii="Arial" w:cs="Arial" w:eastAsia="Arial" w:hAnsi="Arial"/>
                <w:sz w:val="12"/>
                <w:szCs w:val="12"/>
                <w:color w:val="auto"/>
              </w:rPr>
              <w:t>Perseus Holding Corp.</w:t>
            </w:r>
            <w:r>
              <w:rPr>
                <w:rFonts w:ascii="Arial" w:cs="Arial" w:eastAsia="Arial" w:hAnsi="Arial"/>
                <w:sz w:val="18"/>
                <w:szCs w:val="18"/>
                <w:color w:val="auto"/>
                <w:vertAlign w:val="superscript"/>
              </w:rPr>
              <w:t>6, 10</w:t>
            </w:r>
          </w:p>
        </w:tc>
        <w:tc>
          <w:tcPr>
            <w:tcW w:w="68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20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4"/>
                <w:szCs w:val="14"/>
                <w:color w:val="auto"/>
              </w:rPr>
              <w:t>Common Stock</w:t>
            </w:r>
          </w:p>
        </w:tc>
        <w:tc>
          <w:tcPr>
            <w:tcW w:w="120" w:type="dxa"/>
            <w:vAlign w:val="bottom"/>
            <w:tcBorders>
              <w:top w:val="single" w:sz="8" w:color="CCFFCC"/>
            </w:tcBorders>
            <w:shd w:val="clear" w:color="auto" w:fill="CCFFCC"/>
          </w:tcPr>
          <w:p>
            <w:pPr>
              <w:spacing w:after="0"/>
              <w:rPr>
                <w:sz w:val="14"/>
                <w:szCs w:val="14"/>
                <w:color w:val="auto"/>
              </w:rPr>
            </w:pPr>
          </w:p>
        </w:tc>
        <w:tc>
          <w:tcPr>
            <w:tcW w:w="1260" w:type="dxa"/>
            <w:vAlign w:val="bottom"/>
            <w:tcBorders>
              <w:top w:val="single" w:sz="8" w:color="auto"/>
            </w:tcBorders>
            <w:shd w:val="clear" w:color="auto" w:fill="CCFFCC"/>
          </w:tcPr>
          <w:p>
            <w:pPr>
              <w:spacing w:after="0"/>
              <w:rPr>
                <w:sz w:val="14"/>
                <w:szCs w:val="14"/>
                <w:color w:val="auto"/>
              </w:rPr>
            </w:pPr>
          </w:p>
        </w:tc>
        <w:tc>
          <w:tcPr>
            <w:tcW w:w="240" w:type="dxa"/>
            <w:vAlign w:val="bottom"/>
            <w:tcBorders>
              <w:top w:val="single" w:sz="8" w:color="CCFFCC"/>
              <w:right w:val="single" w:sz="8" w:color="CCFFCC"/>
            </w:tcBorders>
            <w:shd w:val="clear" w:color="auto" w:fill="CCFFCC"/>
          </w:tcPr>
          <w:p>
            <w:pPr>
              <w:spacing w:after="0"/>
              <w:rPr>
                <w:sz w:val="14"/>
                <w:szCs w:val="14"/>
                <w:color w:val="auto"/>
              </w:rPr>
            </w:pPr>
          </w:p>
        </w:tc>
        <w:tc>
          <w:tcPr>
            <w:tcW w:w="260" w:type="dxa"/>
            <w:vAlign w:val="bottom"/>
            <w:tcBorders>
              <w:top w:val="single" w:sz="8" w:color="auto"/>
            </w:tcBorders>
            <w:shd w:val="clear" w:color="auto" w:fill="CCFFCC"/>
          </w:tcPr>
          <w:p>
            <w:pPr>
              <w:spacing w:after="0"/>
              <w:rPr>
                <w:sz w:val="14"/>
                <w:szCs w:val="14"/>
                <w:color w:val="auto"/>
              </w:rPr>
            </w:pPr>
          </w:p>
        </w:tc>
        <w:tc>
          <w:tcPr>
            <w:tcW w:w="980" w:type="dxa"/>
            <w:vAlign w:val="bottom"/>
            <w:tcBorders>
              <w:top w:val="single" w:sz="8" w:color="auto"/>
            </w:tcBorders>
            <w:shd w:val="clear" w:color="auto" w:fill="CCFFCC"/>
          </w:tcPr>
          <w:p>
            <w:pPr>
              <w:spacing w:after="0"/>
              <w:rPr>
                <w:sz w:val="14"/>
                <w:szCs w:val="14"/>
                <w:color w:val="auto"/>
              </w:rPr>
            </w:pPr>
          </w:p>
        </w:tc>
        <w:tc>
          <w:tcPr>
            <w:tcW w:w="200" w:type="dxa"/>
            <w:vAlign w:val="bottom"/>
            <w:tcBorders>
              <w:top w:val="single" w:sz="8" w:color="CCFFCC"/>
            </w:tcBorders>
            <w:shd w:val="clear" w:color="auto" w:fill="CCFFCC"/>
          </w:tcPr>
          <w:p>
            <w:pPr>
              <w:spacing w:after="0"/>
              <w:rPr>
                <w:sz w:val="14"/>
                <w:szCs w:val="14"/>
                <w:color w:val="auto"/>
              </w:rPr>
            </w:pPr>
          </w:p>
        </w:tc>
        <w:tc>
          <w:tcPr>
            <w:tcW w:w="260" w:type="dxa"/>
            <w:vAlign w:val="bottom"/>
            <w:tcBorders>
              <w:top w:val="single" w:sz="8" w:color="auto"/>
            </w:tcBorders>
            <w:shd w:val="clear" w:color="auto" w:fill="CCFFCC"/>
          </w:tcPr>
          <w:p>
            <w:pPr>
              <w:spacing w:after="0"/>
              <w:rPr>
                <w:sz w:val="14"/>
                <w:szCs w:val="14"/>
                <w:color w:val="auto"/>
              </w:rPr>
            </w:pPr>
          </w:p>
        </w:tc>
        <w:tc>
          <w:tcPr>
            <w:tcW w:w="100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Leisure, Amusement, Motion Pictures, Entertainment</w:t>
            </w:r>
          </w:p>
        </w:tc>
        <w:tc>
          <w:tcPr>
            <w:tcW w:w="6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0.2%</w:t>
            </w:r>
          </w:p>
        </w:tc>
        <w:tc>
          <w:tcPr>
            <w:tcW w:w="260" w:type="dxa"/>
            <w:vAlign w:val="bottom"/>
            <w:shd w:val="clear" w:color="auto" w:fill="CCFFCC"/>
          </w:tcPr>
          <w:p>
            <w:pPr>
              <w:jc w:val="right"/>
              <w:ind w:right="14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400,000</w:t>
            </w:r>
          </w:p>
        </w:tc>
        <w:tc>
          <w:tcPr>
            <w:tcW w:w="26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Plumbing Holdings Corporation</w:t>
            </w:r>
            <w:r>
              <w:rPr>
                <w:rFonts w:ascii="Arial" w:cs="Arial" w:eastAsia="Arial" w:hAnsi="Arial"/>
                <w:sz w:val="19"/>
                <w:szCs w:val="19"/>
                <w:color w:val="auto"/>
                <w:vertAlign w:val="superscript"/>
              </w:rPr>
              <w:t>6, 10</w:t>
            </w:r>
          </w:p>
        </w:tc>
        <w:tc>
          <w:tcPr>
            <w:tcW w:w="6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Preferred Stock</w:t>
            </w:r>
          </w:p>
        </w:tc>
        <w:tc>
          <w:tcPr>
            <w:tcW w:w="126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00" w:type="dxa"/>
            <w:vAlign w:val="bottom"/>
            <w:gridSpan w:val="6"/>
            <w:shd w:val="clear" w:color="auto" w:fill="CCFFCC"/>
          </w:tcPr>
          <w:p>
            <w:pPr>
              <w:ind w:left="160"/>
              <w:spacing w:after="0"/>
              <w:rPr>
                <w:sz w:val="20"/>
                <w:szCs w:val="20"/>
                <w:color w:val="auto"/>
              </w:rPr>
            </w:pPr>
            <w:r>
              <w:rPr>
                <w:rFonts w:ascii="Arial" w:cs="Arial" w:eastAsia="Arial" w:hAnsi="Arial"/>
                <w:sz w:val="14"/>
                <w:szCs w:val="14"/>
                <w:i w:val="1"/>
                <w:iCs w:val="1"/>
                <w:color w:val="auto"/>
              </w:rPr>
              <w:t>Home and Office Furnishings, Housewares, and Durable Consumer Products</w:t>
            </w: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4.6%</w:t>
            </w:r>
          </w:p>
        </w:tc>
        <w:tc>
          <w:tcPr>
            <w:tcW w:w="26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801,475</w:t>
            </w: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902,209</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Plumbing Holdings Corporation</w:t>
            </w:r>
            <w:r>
              <w:rPr>
                <w:rFonts w:ascii="Arial" w:cs="Arial" w:eastAsia="Arial" w:hAnsi="Arial"/>
                <w:sz w:val="19"/>
                <w:szCs w:val="19"/>
                <w:color w:val="auto"/>
                <w:vertAlign w:val="superscript"/>
              </w:rPr>
              <w:t>6, 10</w:t>
            </w:r>
          </w:p>
        </w:tc>
        <w:tc>
          <w:tcPr>
            <w:tcW w:w="6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26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00" w:type="dxa"/>
            <w:vAlign w:val="bottom"/>
            <w:gridSpan w:val="6"/>
            <w:shd w:val="clear" w:color="auto" w:fill="CCFFCC"/>
          </w:tcPr>
          <w:p>
            <w:pPr>
              <w:ind w:left="160"/>
              <w:spacing w:after="0"/>
              <w:rPr>
                <w:sz w:val="20"/>
                <w:szCs w:val="20"/>
                <w:color w:val="auto"/>
              </w:rPr>
            </w:pPr>
            <w:r>
              <w:rPr>
                <w:rFonts w:ascii="Arial" w:cs="Arial" w:eastAsia="Arial" w:hAnsi="Arial"/>
                <w:sz w:val="14"/>
                <w:szCs w:val="14"/>
                <w:i w:val="1"/>
                <w:iCs w:val="1"/>
                <w:color w:val="auto"/>
              </w:rPr>
              <w:t>Home and Office Furnishings, Housewares, and Durable Consumer Products</w:t>
            </w: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7.8%</w:t>
            </w:r>
          </w:p>
        </w:tc>
        <w:tc>
          <w:tcPr>
            <w:tcW w:w="26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688,152</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Plumbing Holdings Corporation</w:t>
            </w:r>
            <w:r>
              <w:rPr>
                <w:rFonts w:ascii="Arial" w:cs="Arial" w:eastAsia="Arial" w:hAnsi="Arial"/>
                <w:sz w:val="19"/>
                <w:szCs w:val="19"/>
                <w:color w:val="auto"/>
                <w:vertAlign w:val="superscript"/>
              </w:rPr>
              <w:t>6, 10</w:t>
            </w:r>
          </w:p>
        </w:tc>
        <w:tc>
          <w:tcPr>
            <w:tcW w:w="6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Preferred Stock</w:t>
            </w:r>
          </w:p>
        </w:tc>
        <w:tc>
          <w:tcPr>
            <w:tcW w:w="126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00" w:type="dxa"/>
            <w:vAlign w:val="bottom"/>
            <w:gridSpan w:val="6"/>
            <w:shd w:val="clear" w:color="auto" w:fill="CCFFCC"/>
          </w:tcPr>
          <w:p>
            <w:pPr>
              <w:ind w:left="160"/>
              <w:spacing w:after="0"/>
              <w:rPr>
                <w:sz w:val="20"/>
                <w:szCs w:val="20"/>
                <w:color w:val="auto"/>
              </w:rPr>
            </w:pPr>
            <w:r>
              <w:rPr>
                <w:rFonts w:ascii="Arial" w:cs="Arial" w:eastAsia="Arial" w:hAnsi="Arial"/>
                <w:sz w:val="14"/>
                <w:szCs w:val="14"/>
                <w:i w:val="1"/>
                <w:iCs w:val="1"/>
                <w:color w:val="auto"/>
              </w:rPr>
              <w:t>Home and Office Furnishings, Housewares, and Durable Consumer Products</w:t>
            </w: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15.5%</w:t>
            </w:r>
          </w:p>
        </w:tc>
        <w:tc>
          <w:tcPr>
            <w:tcW w:w="26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2,716,618</w:t>
            </w: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3,063,295</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TRSO II, Inc.</w:t>
            </w:r>
            <w:r>
              <w:rPr>
                <w:rFonts w:ascii="Arial" w:cs="Arial" w:eastAsia="Arial" w:hAnsi="Arial"/>
                <w:sz w:val="19"/>
                <w:szCs w:val="19"/>
                <w:color w:val="auto"/>
                <w:vertAlign w:val="superscript"/>
              </w:rPr>
              <w:t>6, 10</w:t>
            </w:r>
          </w:p>
        </w:tc>
        <w:tc>
          <w:tcPr>
            <w:tcW w:w="6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26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Oil and Gas</w:t>
            </w:r>
          </w:p>
        </w:tc>
        <w:tc>
          <w:tcPr>
            <w:tcW w:w="6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20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5.4%</w:t>
            </w:r>
          </w:p>
        </w:tc>
        <w:tc>
          <w:tcPr>
            <w:tcW w:w="26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1,500,000</w:t>
            </w:r>
          </w:p>
        </w:tc>
        <w:tc>
          <w:tcPr>
            <w:tcW w:w="260" w:type="dxa"/>
            <w:vAlign w:val="bottom"/>
            <w:shd w:val="clear" w:color="auto" w:fill="CCFFCC"/>
          </w:tcPr>
          <w:p>
            <w:pPr>
              <w:spacing w:after="0"/>
              <w:rPr>
                <w:sz w:val="15"/>
                <w:szCs w:val="15"/>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1,990,094</w:t>
            </w: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100" w:type="dxa"/>
            <w:vAlign w:val="bottom"/>
            <w:gridSpan w:val="2"/>
            <w:shd w:val="clear" w:color="auto" w:fill="CCFFCC"/>
          </w:tcPr>
          <w:p>
            <w:pPr>
              <w:spacing w:after="0" w:line="126" w:lineRule="exact"/>
              <w:rPr>
                <w:sz w:val="20"/>
                <w:szCs w:val="20"/>
                <w:color w:val="auto"/>
              </w:rPr>
            </w:pPr>
            <w:r>
              <w:rPr>
                <w:rFonts w:ascii="Arial" w:cs="Arial" w:eastAsia="Arial" w:hAnsi="Arial"/>
                <w:sz w:val="14"/>
                <w:szCs w:val="14"/>
                <w:b w:val="1"/>
                <w:bCs w:val="1"/>
                <w:color w:val="auto"/>
              </w:rPr>
              <w:t>Total Investment in Equity Securities</w:t>
            </w: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0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240" w:type="dxa"/>
            <w:vAlign w:val="bottom"/>
            <w:tcBorders>
              <w:right w:val="single" w:sz="8" w:color="CCFFCC"/>
            </w:tcBorders>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9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10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00" w:type="dxa"/>
            <w:vAlign w:val="bottom"/>
            <w:gridSpan w:val="2"/>
            <w:shd w:val="clear" w:color="auto" w:fill="CCFFCC"/>
          </w:tcPr>
          <w:p>
            <w:pPr>
              <w:ind w:left="180"/>
              <w:spacing w:after="0"/>
              <w:rPr>
                <w:sz w:val="20"/>
                <w:szCs w:val="20"/>
                <w:color w:val="auto"/>
              </w:rPr>
            </w:pPr>
            <w:r>
              <w:rPr>
                <w:rFonts w:ascii="Arial" w:cs="Arial" w:eastAsia="Arial" w:hAnsi="Arial"/>
                <w:sz w:val="14"/>
                <w:szCs w:val="14"/>
                <w:b w:val="1"/>
                <w:bCs w:val="1"/>
                <w:color w:val="auto"/>
              </w:rPr>
              <w:t>(3% of net asset value at fair value)</w:t>
            </w:r>
          </w:p>
        </w:tc>
        <w:tc>
          <w:tcPr>
            <w:tcW w:w="6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20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260" w:type="dxa"/>
            <w:vAlign w:val="bottom"/>
            <w:shd w:val="clear" w:color="auto" w:fill="CCFFCC"/>
          </w:tcPr>
          <w:p>
            <w:pPr>
              <w:spacing w:after="0"/>
              <w:rPr>
                <w:sz w:val="16"/>
                <w:szCs w:val="16"/>
                <w:color w:val="auto"/>
              </w:rPr>
            </w:pPr>
          </w:p>
        </w:tc>
        <w:tc>
          <w:tcPr>
            <w:tcW w:w="240" w:type="dxa"/>
            <w:vAlign w:val="bottom"/>
            <w:tcBorders>
              <w:right w:val="single" w:sz="8" w:color="CCFFCC"/>
            </w:tcBorders>
            <w:shd w:val="clear" w:color="auto" w:fill="CCFFCC"/>
          </w:tcPr>
          <w:p>
            <w:pPr>
              <w:spacing w:after="0"/>
              <w:rPr>
                <w:sz w:val="16"/>
                <w:szCs w:val="16"/>
                <w:color w:val="auto"/>
              </w:rPr>
            </w:pPr>
          </w:p>
        </w:tc>
        <w:tc>
          <w:tcPr>
            <w:tcW w:w="260" w:type="dxa"/>
            <w:vAlign w:val="bottom"/>
            <w:shd w:val="clear" w:color="auto" w:fill="CCFFCC"/>
          </w:tcPr>
          <w:p>
            <w:pPr>
              <w:jc w:val="right"/>
              <w:ind w:right="14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18,841,238</w:t>
            </w:r>
          </w:p>
        </w:tc>
        <w:tc>
          <w:tcPr>
            <w:tcW w:w="26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9,485,307</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CLO Fund Securities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CLO Equity Investments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3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Investment</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260" w:type="dxa"/>
            <w:vAlign w:val="bottom"/>
          </w:tcPr>
          <w:p>
            <w:pPr>
              <w:spacing w:after="0"/>
              <w:rPr>
                <w:sz w:val="24"/>
                <w:szCs w:val="2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24"/>
                <w:szCs w:val="2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120" w:type="dxa"/>
            <w:vAlign w:val="bottom"/>
            <w:gridSpan w:val="3"/>
            <w:vMerge w:val="continue"/>
          </w:tcPr>
          <w:p>
            <w:pPr>
              <w:spacing w:after="0"/>
              <w:rPr>
                <w:sz w:val="14"/>
                <w:szCs w:val="14"/>
                <w:color w:val="auto"/>
              </w:rPr>
            </w:pPr>
          </w:p>
        </w:tc>
        <w:tc>
          <w:tcPr>
            <w:tcW w:w="3000" w:type="dxa"/>
            <w:vAlign w:val="bottom"/>
            <w:gridSpan w:val="4"/>
            <w:vMerge w:val="continue"/>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288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shd w:val="clear" w:color="auto" w:fill="CCFFCC"/>
          </w:tcPr>
          <w:p>
            <w:pPr>
              <w:spacing w:after="0" w:line="183" w:lineRule="exact"/>
              <w:rPr>
                <w:sz w:val="20"/>
                <w:szCs w:val="20"/>
                <w:color w:val="auto"/>
              </w:rPr>
            </w:pPr>
            <w:r>
              <w:rPr>
                <w:rFonts w:ascii="Arial" w:cs="Arial" w:eastAsia="Arial" w:hAnsi="Arial"/>
                <w:sz w:val="13"/>
                <w:szCs w:val="13"/>
                <w:color w:val="auto"/>
              </w:rPr>
              <w:t>Grant Grove CLO, Ltd.</w:t>
            </w:r>
            <w:r>
              <w:rPr>
                <w:rFonts w:ascii="Arial" w:cs="Arial" w:eastAsia="Arial" w:hAnsi="Arial"/>
                <w:sz w:val="21"/>
                <w:szCs w:val="21"/>
                <w:color w:val="auto"/>
                <w:vertAlign w:val="superscript"/>
              </w:rPr>
              <w:t>3</w:t>
            </w:r>
          </w:p>
        </w:tc>
        <w:tc>
          <w:tcPr>
            <w:tcW w:w="120" w:type="dxa"/>
            <w:vAlign w:val="bottom"/>
            <w:vMerge w:val="continue"/>
            <w:shd w:val="clear" w:color="auto" w:fill="CCFFCC"/>
          </w:tcPr>
          <w:p>
            <w:pPr>
              <w:spacing w:after="0"/>
              <w:rPr>
                <w:sz w:val="15"/>
                <w:szCs w:val="15"/>
                <w:color w:val="auto"/>
              </w:rPr>
            </w:pPr>
          </w:p>
        </w:tc>
        <w:tc>
          <w:tcPr>
            <w:tcW w:w="288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Subordinated Securities</w:t>
            </w:r>
          </w:p>
        </w:tc>
        <w:tc>
          <w:tcPr>
            <w:tcW w:w="120" w:type="dxa"/>
            <w:vAlign w:val="bottom"/>
            <w:shd w:val="clear" w:color="auto" w:fill="CCFFCC"/>
          </w:tcPr>
          <w:p>
            <w:pPr>
              <w:spacing w:after="0"/>
              <w:rPr>
                <w:sz w:val="15"/>
                <w:szCs w:val="15"/>
                <w:color w:val="auto"/>
              </w:rPr>
            </w:pP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22.2%</w:t>
            </w:r>
          </w:p>
        </w:tc>
        <w:tc>
          <w:tcPr>
            <w:tcW w:w="260" w:type="dxa"/>
            <w:vAlign w:val="bottom"/>
            <w:shd w:val="clear" w:color="auto" w:fill="CCFFCC"/>
          </w:tcPr>
          <w:p>
            <w:pPr>
              <w:jc w:val="right"/>
              <w:ind w:right="14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4,774,950</w:t>
            </w:r>
          </w:p>
        </w:tc>
        <w:tc>
          <w:tcPr>
            <w:tcW w:w="26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1,508,300</w:t>
            </w: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tcPr>
          <w:p>
            <w:pPr>
              <w:spacing w:after="0" w:line="189" w:lineRule="exact"/>
              <w:rPr>
                <w:sz w:val="20"/>
                <w:szCs w:val="20"/>
                <w:color w:val="auto"/>
              </w:rPr>
            </w:pPr>
            <w:r>
              <w:rPr>
                <w:rFonts w:ascii="Arial" w:cs="Arial" w:eastAsia="Arial" w:hAnsi="Arial"/>
                <w:sz w:val="13"/>
                <w:szCs w:val="13"/>
                <w:color w:val="auto"/>
              </w:rPr>
              <w:t>Katonah III, Ltd.</w:t>
            </w:r>
            <w:r>
              <w:rPr>
                <w:rFonts w:ascii="Arial" w:cs="Arial" w:eastAsia="Arial" w:hAnsi="Arial"/>
                <w:sz w:val="21"/>
                <w:szCs w:val="21"/>
                <w:color w:val="auto"/>
                <w:vertAlign w:val="superscript"/>
              </w:rPr>
              <w:t>3, 11</w:t>
            </w:r>
          </w:p>
        </w:tc>
        <w:tc>
          <w:tcPr>
            <w:tcW w:w="3000" w:type="dxa"/>
            <w:vAlign w:val="bottom"/>
            <w:gridSpan w:val="4"/>
          </w:tcPr>
          <w:p>
            <w:pPr>
              <w:spacing w:after="0"/>
              <w:rPr>
                <w:sz w:val="20"/>
                <w:szCs w:val="20"/>
                <w:color w:val="auto"/>
              </w:rPr>
            </w:pPr>
            <w:r>
              <w:rPr>
                <w:rFonts w:ascii="Arial" w:cs="Arial" w:eastAsia="Arial" w:hAnsi="Arial"/>
                <w:sz w:val="14"/>
                <w:szCs w:val="14"/>
                <w:color w:val="auto"/>
              </w:rPr>
              <w:t>Preferred Shares</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23.1%</w:t>
            </w: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1,638,683</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275,000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Katonah V, Ltd.</w:t>
            </w:r>
            <w:r>
              <w:rPr>
                <w:rFonts w:ascii="Arial" w:cs="Arial" w:eastAsia="Arial" w:hAnsi="Arial"/>
                <w:sz w:val="21"/>
                <w:szCs w:val="21"/>
                <w:color w:val="auto"/>
                <w:vertAlign w:val="superscript"/>
              </w:rPr>
              <w:t>3, 11</w:t>
            </w:r>
          </w:p>
        </w:tc>
        <w:tc>
          <w:tcPr>
            <w:tcW w:w="3000" w:type="dxa"/>
            <w:vAlign w:val="bottom"/>
            <w:gridSpan w:val="4"/>
            <w:shd w:val="clear" w:color="auto" w:fill="CCFFCC"/>
          </w:tcPr>
          <w:p>
            <w:pPr>
              <w:spacing w:after="0"/>
              <w:rPr>
                <w:sz w:val="20"/>
                <w:szCs w:val="20"/>
                <w:color w:val="auto"/>
              </w:rPr>
            </w:pPr>
            <w:r>
              <w:rPr>
                <w:rFonts w:ascii="Arial" w:cs="Arial" w:eastAsia="Arial" w:hAnsi="Arial"/>
                <w:sz w:val="14"/>
                <w:szCs w:val="14"/>
                <w:color w:val="auto"/>
              </w:rPr>
              <w:t>Preferred Shares</w:t>
            </w: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16.4%</w:t>
            </w:r>
          </w:p>
        </w:tc>
        <w:tc>
          <w:tcPr>
            <w:tcW w:w="260" w:type="dxa"/>
            <w:vAlign w:val="bottom"/>
            <w:shd w:val="clear" w:color="auto" w:fill="CCFFCC"/>
          </w:tcPr>
          <w:p>
            <w:pPr>
              <w:spacing w:after="0"/>
              <w:rPr>
                <w:sz w:val="16"/>
                <w:szCs w:val="16"/>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3,320,000</w:t>
            </w:r>
          </w:p>
        </w:tc>
        <w:tc>
          <w:tcPr>
            <w:tcW w:w="260" w:type="dxa"/>
            <w:vAlign w:val="bottom"/>
            <w:shd w:val="clear" w:color="auto" w:fill="CCFFCC"/>
          </w:tcPr>
          <w:p>
            <w:pPr>
              <w:spacing w:after="0"/>
              <w:rPr>
                <w:sz w:val="16"/>
                <w:szCs w:val="16"/>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tcPr>
          <w:p>
            <w:pPr>
              <w:spacing w:after="0" w:line="189" w:lineRule="exact"/>
              <w:rPr>
                <w:sz w:val="20"/>
                <w:szCs w:val="20"/>
                <w:color w:val="auto"/>
              </w:rPr>
            </w:pPr>
            <w:r>
              <w:rPr>
                <w:rFonts w:ascii="Arial" w:cs="Arial" w:eastAsia="Arial" w:hAnsi="Arial"/>
                <w:sz w:val="13"/>
                <w:szCs w:val="13"/>
                <w:color w:val="auto"/>
              </w:rPr>
              <w:t>Katonah VII CLO Ltd.</w:t>
            </w:r>
            <w:r>
              <w:rPr>
                <w:rFonts w:ascii="Arial" w:cs="Arial" w:eastAsia="Arial" w:hAnsi="Arial"/>
                <w:sz w:val="21"/>
                <w:szCs w:val="21"/>
                <w:color w:val="auto"/>
                <w:vertAlign w:val="superscript"/>
              </w:rPr>
              <w:t>3, 7</w:t>
            </w:r>
          </w:p>
        </w:tc>
        <w:tc>
          <w:tcPr>
            <w:tcW w:w="3000" w:type="dxa"/>
            <w:vAlign w:val="bottom"/>
            <w:gridSpan w:val="4"/>
          </w:tcPr>
          <w:p>
            <w:pPr>
              <w:spacing w:after="0"/>
              <w:rPr>
                <w:sz w:val="20"/>
                <w:szCs w:val="20"/>
                <w:color w:val="auto"/>
              </w:rPr>
            </w:pPr>
            <w:r>
              <w:rPr>
                <w:rFonts w:ascii="Arial" w:cs="Arial" w:eastAsia="Arial" w:hAnsi="Arial"/>
                <w:sz w:val="14"/>
                <w:szCs w:val="14"/>
                <w:color w:val="auto"/>
              </w:rPr>
              <w:t>Subordinated Securities</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10.3%</w:t>
            </w: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4,506,993</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1,794,645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Katonah VIII CLO Ltd</w:t>
            </w:r>
            <w:r>
              <w:rPr>
                <w:rFonts w:ascii="Arial" w:cs="Arial" w:eastAsia="Arial" w:hAnsi="Arial"/>
                <w:sz w:val="21"/>
                <w:szCs w:val="21"/>
                <w:color w:val="auto"/>
                <w:vertAlign w:val="superscript"/>
              </w:rPr>
              <w:t>3, 7</w:t>
            </w:r>
          </w:p>
        </w:tc>
        <w:tc>
          <w:tcPr>
            <w:tcW w:w="3000" w:type="dxa"/>
            <w:vAlign w:val="bottom"/>
            <w:gridSpan w:val="4"/>
            <w:shd w:val="clear" w:color="auto" w:fill="CCFFCC"/>
          </w:tcPr>
          <w:p>
            <w:pPr>
              <w:spacing w:after="0"/>
              <w:rPr>
                <w:sz w:val="20"/>
                <w:szCs w:val="20"/>
                <w:color w:val="auto"/>
              </w:rPr>
            </w:pPr>
            <w:r>
              <w:rPr>
                <w:rFonts w:ascii="Arial" w:cs="Arial" w:eastAsia="Arial" w:hAnsi="Arial"/>
                <w:sz w:val="14"/>
                <w:szCs w:val="14"/>
                <w:color w:val="auto"/>
              </w:rPr>
              <w:t>Subordinated Securities</w:t>
            </w: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6.9%</w:t>
            </w:r>
          </w:p>
        </w:tc>
        <w:tc>
          <w:tcPr>
            <w:tcW w:w="260" w:type="dxa"/>
            <w:vAlign w:val="bottom"/>
            <w:shd w:val="clear" w:color="auto" w:fill="CCFFCC"/>
          </w:tcPr>
          <w:p>
            <w:pPr>
              <w:spacing w:after="0"/>
              <w:rPr>
                <w:sz w:val="16"/>
                <w:szCs w:val="16"/>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3,402,805</w:t>
            </w:r>
          </w:p>
        </w:tc>
        <w:tc>
          <w:tcPr>
            <w:tcW w:w="260" w:type="dxa"/>
            <w:vAlign w:val="bottom"/>
            <w:shd w:val="clear" w:color="auto" w:fill="CCFFCC"/>
          </w:tcPr>
          <w:p>
            <w:pPr>
              <w:spacing w:after="0"/>
              <w:rPr>
                <w:sz w:val="16"/>
                <w:szCs w:val="16"/>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1,693,953</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tcPr>
          <w:p>
            <w:pPr>
              <w:spacing w:after="0" w:line="189" w:lineRule="exact"/>
              <w:rPr>
                <w:sz w:val="20"/>
                <w:szCs w:val="20"/>
                <w:color w:val="auto"/>
              </w:rPr>
            </w:pPr>
            <w:r>
              <w:rPr>
                <w:rFonts w:ascii="Arial" w:cs="Arial" w:eastAsia="Arial" w:hAnsi="Arial"/>
                <w:sz w:val="13"/>
                <w:szCs w:val="13"/>
                <w:color w:val="auto"/>
              </w:rPr>
              <w:t>Katonah IX CLO Ltd</w:t>
            </w:r>
            <w:r>
              <w:rPr>
                <w:rFonts w:ascii="Arial" w:cs="Arial" w:eastAsia="Arial" w:hAnsi="Arial"/>
                <w:sz w:val="21"/>
                <w:szCs w:val="21"/>
                <w:color w:val="auto"/>
                <w:vertAlign w:val="superscript"/>
              </w:rPr>
              <w:t>3, 7</w:t>
            </w:r>
          </w:p>
        </w:tc>
        <w:tc>
          <w:tcPr>
            <w:tcW w:w="3000" w:type="dxa"/>
            <w:vAlign w:val="bottom"/>
            <w:gridSpan w:val="4"/>
          </w:tcPr>
          <w:p>
            <w:pPr>
              <w:spacing w:after="0"/>
              <w:rPr>
                <w:sz w:val="20"/>
                <w:szCs w:val="20"/>
                <w:color w:val="auto"/>
              </w:rPr>
            </w:pPr>
            <w:r>
              <w:rPr>
                <w:rFonts w:ascii="Arial" w:cs="Arial" w:eastAsia="Arial" w:hAnsi="Arial"/>
                <w:sz w:val="14"/>
                <w:szCs w:val="14"/>
                <w:color w:val="auto"/>
              </w:rPr>
              <w:t>Preferred Shares</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26.7%</w:t>
            </w: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2,048,387</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1,152,825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 xml:space="preserve">Katonah X CLO Ltd </w:t>
            </w:r>
            <w:r>
              <w:rPr>
                <w:rFonts w:ascii="Arial" w:cs="Arial" w:eastAsia="Arial" w:hAnsi="Arial"/>
                <w:sz w:val="21"/>
                <w:szCs w:val="21"/>
                <w:color w:val="auto"/>
                <w:vertAlign w:val="superscript"/>
              </w:rPr>
              <w:t>3, 7</w:t>
            </w:r>
          </w:p>
        </w:tc>
        <w:tc>
          <w:tcPr>
            <w:tcW w:w="3000" w:type="dxa"/>
            <w:vAlign w:val="bottom"/>
            <w:gridSpan w:val="4"/>
            <w:shd w:val="clear" w:color="auto" w:fill="CCFFCC"/>
          </w:tcPr>
          <w:p>
            <w:pPr>
              <w:spacing w:after="0"/>
              <w:rPr>
                <w:sz w:val="20"/>
                <w:szCs w:val="20"/>
                <w:color w:val="auto"/>
              </w:rPr>
            </w:pPr>
            <w:r>
              <w:rPr>
                <w:rFonts w:ascii="Arial" w:cs="Arial" w:eastAsia="Arial" w:hAnsi="Arial"/>
                <w:sz w:val="14"/>
                <w:szCs w:val="14"/>
                <w:color w:val="auto"/>
              </w:rPr>
              <w:t>Subordinated Securities</w:t>
            </w: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33.3%</w:t>
            </w:r>
          </w:p>
        </w:tc>
        <w:tc>
          <w:tcPr>
            <w:tcW w:w="260" w:type="dxa"/>
            <w:vAlign w:val="bottom"/>
            <w:shd w:val="clear" w:color="auto" w:fill="CCFFCC"/>
          </w:tcPr>
          <w:p>
            <w:pPr>
              <w:spacing w:after="0"/>
              <w:rPr>
                <w:sz w:val="16"/>
                <w:szCs w:val="16"/>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11,808,757</w:t>
            </w:r>
          </w:p>
        </w:tc>
        <w:tc>
          <w:tcPr>
            <w:tcW w:w="260" w:type="dxa"/>
            <w:vAlign w:val="bottom"/>
            <w:shd w:val="clear" w:color="auto" w:fill="CCFFCC"/>
          </w:tcPr>
          <w:p>
            <w:pPr>
              <w:spacing w:after="0"/>
              <w:rPr>
                <w:sz w:val="16"/>
                <w:szCs w:val="16"/>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7,248,469</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tcPr>
          <w:p>
            <w:pPr>
              <w:spacing w:after="0" w:line="189" w:lineRule="exact"/>
              <w:rPr>
                <w:sz w:val="20"/>
                <w:szCs w:val="20"/>
                <w:color w:val="auto"/>
              </w:rPr>
            </w:pPr>
            <w:r>
              <w:rPr>
                <w:rFonts w:ascii="Arial" w:cs="Arial" w:eastAsia="Arial" w:hAnsi="Arial"/>
                <w:sz w:val="13"/>
                <w:szCs w:val="13"/>
                <w:color w:val="auto"/>
              </w:rPr>
              <w:t>Katonah 2007-I CLO Ltd.</w:t>
            </w:r>
            <w:r>
              <w:rPr>
                <w:rFonts w:ascii="Arial" w:cs="Arial" w:eastAsia="Arial" w:hAnsi="Arial"/>
                <w:sz w:val="21"/>
                <w:szCs w:val="21"/>
                <w:color w:val="auto"/>
                <w:vertAlign w:val="superscript"/>
              </w:rPr>
              <w:t>3, 7</w:t>
            </w:r>
          </w:p>
        </w:tc>
        <w:tc>
          <w:tcPr>
            <w:tcW w:w="3000" w:type="dxa"/>
            <w:vAlign w:val="bottom"/>
            <w:gridSpan w:val="4"/>
          </w:tcPr>
          <w:p>
            <w:pPr>
              <w:spacing w:after="0"/>
              <w:rPr>
                <w:sz w:val="20"/>
                <w:szCs w:val="20"/>
                <w:color w:val="auto"/>
              </w:rPr>
            </w:pPr>
            <w:r>
              <w:rPr>
                <w:rFonts w:ascii="Arial" w:cs="Arial" w:eastAsia="Arial" w:hAnsi="Arial"/>
                <w:sz w:val="14"/>
                <w:szCs w:val="14"/>
                <w:color w:val="auto"/>
              </w:rPr>
              <w:t>Preferred Shares</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31,086,319</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28,839,886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Trimaran CLO IV, Ltd.</w:t>
            </w:r>
            <w:r>
              <w:rPr>
                <w:rFonts w:ascii="Arial" w:cs="Arial" w:eastAsia="Arial" w:hAnsi="Arial"/>
                <w:sz w:val="21"/>
                <w:szCs w:val="21"/>
                <w:color w:val="auto"/>
                <w:vertAlign w:val="superscript"/>
              </w:rPr>
              <w:t>3, 7</w:t>
            </w:r>
          </w:p>
        </w:tc>
        <w:tc>
          <w:tcPr>
            <w:tcW w:w="3000" w:type="dxa"/>
            <w:vAlign w:val="bottom"/>
            <w:gridSpan w:val="4"/>
            <w:shd w:val="clear" w:color="auto" w:fill="CCFFCC"/>
          </w:tcPr>
          <w:p>
            <w:pPr>
              <w:spacing w:after="0"/>
              <w:rPr>
                <w:sz w:val="20"/>
                <w:szCs w:val="20"/>
                <w:color w:val="auto"/>
              </w:rPr>
            </w:pPr>
            <w:r>
              <w:rPr>
                <w:rFonts w:ascii="Arial" w:cs="Arial" w:eastAsia="Arial" w:hAnsi="Arial"/>
                <w:sz w:val="14"/>
                <w:szCs w:val="14"/>
                <w:color w:val="auto"/>
              </w:rPr>
              <w:t>Preferred Shares</w:t>
            </w: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19.0%</w:t>
            </w:r>
          </w:p>
        </w:tc>
        <w:tc>
          <w:tcPr>
            <w:tcW w:w="260" w:type="dxa"/>
            <w:vAlign w:val="bottom"/>
            <w:shd w:val="clear" w:color="auto" w:fill="CCFFCC"/>
          </w:tcPr>
          <w:p>
            <w:pPr>
              <w:spacing w:after="0"/>
              <w:rPr>
                <w:sz w:val="16"/>
                <w:szCs w:val="16"/>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3,564,300</w:t>
            </w:r>
          </w:p>
        </w:tc>
        <w:tc>
          <w:tcPr>
            <w:tcW w:w="260" w:type="dxa"/>
            <w:vAlign w:val="bottom"/>
            <w:shd w:val="clear" w:color="auto" w:fill="CCFFCC"/>
          </w:tcPr>
          <w:p>
            <w:pPr>
              <w:spacing w:after="0"/>
              <w:rPr>
                <w:sz w:val="16"/>
                <w:szCs w:val="16"/>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2,720,782</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tcPr>
          <w:p>
            <w:pPr>
              <w:spacing w:after="0" w:line="189" w:lineRule="exact"/>
              <w:rPr>
                <w:sz w:val="20"/>
                <w:szCs w:val="20"/>
                <w:color w:val="auto"/>
              </w:rPr>
            </w:pPr>
            <w:r>
              <w:rPr>
                <w:rFonts w:ascii="Arial" w:cs="Arial" w:eastAsia="Arial" w:hAnsi="Arial"/>
                <w:sz w:val="13"/>
                <w:szCs w:val="13"/>
                <w:color w:val="auto"/>
              </w:rPr>
              <w:t>Trimaran CLO V, Ltd.</w:t>
            </w:r>
            <w:r>
              <w:rPr>
                <w:rFonts w:ascii="Arial" w:cs="Arial" w:eastAsia="Arial" w:hAnsi="Arial"/>
                <w:sz w:val="21"/>
                <w:szCs w:val="21"/>
                <w:color w:val="auto"/>
                <w:vertAlign w:val="superscript"/>
              </w:rPr>
              <w:t>3, 7</w:t>
            </w:r>
          </w:p>
        </w:tc>
        <w:tc>
          <w:tcPr>
            <w:tcW w:w="3000" w:type="dxa"/>
            <w:vAlign w:val="bottom"/>
            <w:gridSpan w:val="4"/>
          </w:tcPr>
          <w:p>
            <w:pPr>
              <w:spacing w:after="0"/>
              <w:rPr>
                <w:sz w:val="20"/>
                <w:szCs w:val="20"/>
                <w:color w:val="auto"/>
              </w:rPr>
            </w:pPr>
            <w:r>
              <w:rPr>
                <w:rFonts w:ascii="Arial" w:cs="Arial" w:eastAsia="Arial" w:hAnsi="Arial"/>
                <w:sz w:val="14"/>
                <w:szCs w:val="14"/>
                <w:color w:val="auto"/>
              </w:rPr>
              <w:t>Subordinate Notes</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20.8%</w:t>
            </w: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2,725,500</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2,285,013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Trimaran CLO VI, Ltd.</w:t>
            </w:r>
            <w:r>
              <w:rPr>
                <w:rFonts w:ascii="Arial" w:cs="Arial" w:eastAsia="Arial" w:hAnsi="Arial"/>
                <w:sz w:val="21"/>
                <w:szCs w:val="21"/>
                <w:color w:val="auto"/>
                <w:vertAlign w:val="superscript"/>
              </w:rPr>
              <w:t>3, 7</w:t>
            </w:r>
          </w:p>
        </w:tc>
        <w:tc>
          <w:tcPr>
            <w:tcW w:w="3000" w:type="dxa"/>
            <w:vAlign w:val="bottom"/>
            <w:gridSpan w:val="4"/>
            <w:shd w:val="clear" w:color="auto" w:fill="CCFFCC"/>
          </w:tcPr>
          <w:p>
            <w:pPr>
              <w:spacing w:after="0"/>
              <w:rPr>
                <w:sz w:val="20"/>
                <w:szCs w:val="20"/>
                <w:color w:val="auto"/>
              </w:rPr>
            </w:pPr>
            <w:r>
              <w:rPr>
                <w:rFonts w:ascii="Arial" w:cs="Arial" w:eastAsia="Arial" w:hAnsi="Arial"/>
                <w:sz w:val="14"/>
                <w:szCs w:val="14"/>
                <w:color w:val="auto"/>
              </w:rPr>
              <w:t>Income Notes</w:t>
            </w: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16.2%</w:t>
            </w:r>
          </w:p>
        </w:tc>
        <w:tc>
          <w:tcPr>
            <w:tcW w:w="260" w:type="dxa"/>
            <w:vAlign w:val="bottom"/>
            <w:shd w:val="clear" w:color="auto" w:fill="CCFFCC"/>
          </w:tcPr>
          <w:p>
            <w:pPr>
              <w:spacing w:after="0"/>
              <w:rPr>
                <w:sz w:val="16"/>
                <w:szCs w:val="16"/>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2,822,200</w:t>
            </w:r>
          </w:p>
        </w:tc>
        <w:tc>
          <w:tcPr>
            <w:tcW w:w="260" w:type="dxa"/>
            <w:vAlign w:val="bottom"/>
            <w:shd w:val="clear" w:color="auto" w:fill="CCFFCC"/>
          </w:tcPr>
          <w:p>
            <w:pPr>
              <w:spacing w:after="0"/>
              <w:rPr>
                <w:sz w:val="16"/>
                <w:szCs w:val="16"/>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2,100,121</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tcPr>
          <w:p>
            <w:pPr>
              <w:spacing w:after="0" w:line="189" w:lineRule="exact"/>
              <w:rPr>
                <w:sz w:val="20"/>
                <w:szCs w:val="20"/>
                <w:color w:val="auto"/>
              </w:rPr>
            </w:pPr>
            <w:r>
              <w:rPr>
                <w:rFonts w:ascii="Arial" w:cs="Arial" w:eastAsia="Arial" w:hAnsi="Arial"/>
                <w:sz w:val="13"/>
                <w:szCs w:val="13"/>
                <w:color w:val="auto"/>
              </w:rPr>
              <w:t>Trimaran CLO VII, Ltd.</w:t>
            </w:r>
            <w:r>
              <w:rPr>
                <w:rFonts w:ascii="Arial" w:cs="Arial" w:eastAsia="Arial" w:hAnsi="Arial"/>
                <w:sz w:val="21"/>
                <w:szCs w:val="21"/>
                <w:color w:val="auto"/>
                <w:vertAlign w:val="superscript"/>
              </w:rPr>
              <w:t>3, 7</w:t>
            </w:r>
          </w:p>
        </w:tc>
        <w:tc>
          <w:tcPr>
            <w:tcW w:w="3000" w:type="dxa"/>
            <w:vAlign w:val="bottom"/>
            <w:gridSpan w:val="4"/>
          </w:tcPr>
          <w:p>
            <w:pPr>
              <w:spacing w:after="0"/>
              <w:rPr>
                <w:sz w:val="20"/>
                <w:szCs w:val="20"/>
                <w:color w:val="auto"/>
              </w:rPr>
            </w:pPr>
            <w:r>
              <w:rPr>
                <w:rFonts w:ascii="Arial" w:cs="Arial" w:eastAsia="Arial" w:hAnsi="Arial"/>
                <w:sz w:val="14"/>
                <w:szCs w:val="14"/>
                <w:color w:val="auto"/>
              </w:rPr>
              <w:t>Income Notes</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10.5%</w:t>
            </w: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3,135,000</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2,665,891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Catamaran CLO 2012-1 Ltd.</w:t>
            </w:r>
            <w:r>
              <w:rPr>
                <w:rFonts w:ascii="Arial" w:cs="Arial" w:eastAsia="Arial" w:hAnsi="Arial"/>
                <w:sz w:val="21"/>
                <w:szCs w:val="21"/>
                <w:color w:val="auto"/>
                <w:vertAlign w:val="superscript"/>
              </w:rPr>
              <w:t>3, 7</w:t>
            </w:r>
          </w:p>
        </w:tc>
        <w:tc>
          <w:tcPr>
            <w:tcW w:w="3000" w:type="dxa"/>
            <w:vAlign w:val="bottom"/>
            <w:gridSpan w:val="4"/>
            <w:shd w:val="clear" w:color="auto" w:fill="CCFFCC"/>
          </w:tcPr>
          <w:p>
            <w:pPr>
              <w:spacing w:after="0"/>
              <w:rPr>
                <w:sz w:val="20"/>
                <w:szCs w:val="20"/>
                <w:color w:val="auto"/>
              </w:rPr>
            </w:pPr>
            <w:r>
              <w:rPr>
                <w:rFonts w:ascii="Arial" w:cs="Arial" w:eastAsia="Arial" w:hAnsi="Arial"/>
                <w:sz w:val="14"/>
                <w:szCs w:val="14"/>
                <w:color w:val="auto"/>
              </w:rPr>
              <w:t>Subordinated Notes</w:t>
            </w: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24.9%</w:t>
            </w:r>
          </w:p>
        </w:tc>
        <w:tc>
          <w:tcPr>
            <w:tcW w:w="260" w:type="dxa"/>
            <w:vAlign w:val="bottom"/>
            <w:shd w:val="clear" w:color="auto" w:fill="CCFFCC"/>
          </w:tcPr>
          <w:p>
            <w:pPr>
              <w:spacing w:after="0"/>
              <w:rPr>
                <w:sz w:val="16"/>
                <w:szCs w:val="16"/>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8,991,591</w:t>
            </w:r>
          </w:p>
        </w:tc>
        <w:tc>
          <w:tcPr>
            <w:tcW w:w="260" w:type="dxa"/>
            <w:vAlign w:val="bottom"/>
            <w:shd w:val="clear" w:color="auto" w:fill="CCFFCC"/>
          </w:tcPr>
          <w:p>
            <w:pPr>
              <w:spacing w:after="0"/>
              <w:rPr>
                <w:sz w:val="16"/>
                <w:szCs w:val="16"/>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7,599,000</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tcPr>
          <w:p>
            <w:pPr>
              <w:spacing w:after="0" w:line="202" w:lineRule="exact"/>
              <w:rPr>
                <w:sz w:val="20"/>
                <w:szCs w:val="20"/>
                <w:color w:val="auto"/>
              </w:rPr>
            </w:pPr>
            <w:r>
              <w:rPr>
                <w:rFonts w:ascii="Arial" w:cs="Arial" w:eastAsia="Arial" w:hAnsi="Arial"/>
                <w:sz w:val="14"/>
                <w:szCs w:val="14"/>
                <w:color w:val="auto"/>
              </w:rPr>
              <w:t>Catamaran CLO 2013-1 Ltd.</w:t>
            </w:r>
            <w:r>
              <w:rPr>
                <w:rFonts w:ascii="Arial" w:cs="Arial" w:eastAsia="Arial" w:hAnsi="Arial"/>
                <w:sz w:val="23"/>
                <w:szCs w:val="23"/>
                <w:color w:val="auto"/>
                <w:vertAlign w:val="superscript"/>
              </w:rPr>
              <w:t>3, 7</w:t>
            </w:r>
          </w:p>
        </w:tc>
        <w:tc>
          <w:tcPr>
            <w:tcW w:w="3000" w:type="dxa"/>
            <w:vAlign w:val="bottom"/>
            <w:gridSpan w:val="4"/>
          </w:tcPr>
          <w:p>
            <w:pPr>
              <w:spacing w:after="0"/>
              <w:rPr>
                <w:sz w:val="20"/>
                <w:szCs w:val="20"/>
                <w:color w:val="auto"/>
              </w:rPr>
            </w:pPr>
            <w:r>
              <w:rPr>
                <w:rFonts w:ascii="Arial" w:cs="Arial" w:eastAsia="Arial" w:hAnsi="Arial"/>
                <w:sz w:val="14"/>
                <w:szCs w:val="14"/>
                <w:color w:val="auto"/>
              </w:rPr>
              <w:t>Subordinated Notes</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23.3%</w:t>
            </w: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9,008,400</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8,280,000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20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6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CCFFCC"/>
              <w:right w:val="single" w:sz="8" w:color="CCFFCC"/>
            </w:tcBorders>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98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100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Total Investment in CLO Equity Securities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92,833,885</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68,164,885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CLO Rated-Note Investment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120" w:type="dxa"/>
            <w:vAlign w:val="bottom"/>
            <w:gridSpan w:val="3"/>
            <w:vMerge w:val="continue"/>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80" w:type="dxa"/>
            <w:vAlign w:val="bottom"/>
            <w:tcBorders>
              <w:top w:val="single" w:sz="8" w:color="auto"/>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2880" w:type="dxa"/>
            <w:vAlign w:val="bottom"/>
            <w:tcBorders>
              <w:top w:val="single" w:sz="8" w:color="auto"/>
            </w:tcBorders>
            <w:shd w:val="clear" w:color="auto" w:fill="CCFFCC"/>
          </w:tcPr>
          <w:p>
            <w:pPr>
              <w:spacing w:after="0" w:line="123" w:lineRule="exact"/>
              <w:rPr>
                <w:sz w:val="20"/>
                <w:szCs w:val="20"/>
                <w:color w:val="auto"/>
              </w:rPr>
            </w:pPr>
            <w:r>
              <w:rPr>
                <w:rFonts w:ascii="Arial" w:cs="Arial" w:eastAsia="Arial" w:hAnsi="Arial"/>
                <w:sz w:val="14"/>
                <w:szCs w:val="14"/>
                <w:color w:val="auto"/>
              </w:rPr>
              <w:t>Class B2L Notes</w:t>
            </w:r>
          </w:p>
        </w:tc>
        <w:tc>
          <w:tcPr>
            <w:tcW w:w="120" w:type="dxa"/>
            <w:vAlign w:val="bottom"/>
            <w:tcBorders>
              <w:top w:val="single" w:sz="8" w:color="CCFFCC"/>
            </w:tcBorders>
            <w:shd w:val="clear" w:color="auto" w:fill="CCFFCC"/>
          </w:tcPr>
          <w:p>
            <w:pPr>
              <w:spacing w:after="0"/>
              <w:rPr>
                <w:sz w:val="10"/>
                <w:szCs w:val="10"/>
                <w:color w:val="auto"/>
              </w:rPr>
            </w:pPr>
          </w:p>
        </w:tc>
        <w:tc>
          <w:tcPr>
            <w:tcW w:w="1260" w:type="dxa"/>
            <w:vAlign w:val="bottom"/>
            <w:tcBorders>
              <w:top w:val="single" w:sz="8" w:color="auto"/>
            </w:tcBorders>
            <w:shd w:val="clear" w:color="auto" w:fill="CCFFCC"/>
          </w:tcPr>
          <w:p>
            <w:pPr>
              <w:spacing w:after="0"/>
              <w:rPr>
                <w:sz w:val="10"/>
                <w:szCs w:val="10"/>
                <w:color w:val="auto"/>
              </w:rPr>
            </w:pPr>
          </w:p>
        </w:tc>
        <w:tc>
          <w:tcPr>
            <w:tcW w:w="240" w:type="dxa"/>
            <w:vAlign w:val="bottom"/>
            <w:tcBorders>
              <w:top w:val="single" w:sz="8" w:color="CCFFCC"/>
              <w:right w:val="single" w:sz="8" w:color="CCFFCC"/>
            </w:tcBorders>
            <w:shd w:val="clear" w:color="auto" w:fill="CCFFCC"/>
          </w:tcPr>
          <w:p>
            <w:pPr>
              <w:spacing w:after="0"/>
              <w:rPr>
                <w:sz w:val="10"/>
                <w:szCs w:val="10"/>
                <w:color w:val="auto"/>
              </w:rPr>
            </w:pPr>
          </w:p>
        </w:tc>
        <w:tc>
          <w:tcPr>
            <w:tcW w:w="260" w:type="dxa"/>
            <w:vAlign w:val="bottom"/>
            <w:tcBorders>
              <w:top w:val="single" w:sz="8" w:color="auto"/>
            </w:tcBorders>
            <w:shd w:val="clear" w:color="auto" w:fill="CCFFCC"/>
          </w:tcPr>
          <w:p>
            <w:pPr>
              <w:spacing w:after="0"/>
              <w:rPr>
                <w:sz w:val="10"/>
                <w:szCs w:val="10"/>
                <w:color w:val="auto"/>
              </w:rPr>
            </w:pPr>
          </w:p>
        </w:tc>
        <w:tc>
          <w:tcPr>
            <w:tcW w:w="9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260" w:type="dxa"/>
            <w:vAlign w:val="bottom"/>
            <w:tcBorders>
              <w:top w:val="single" w:sz="8" w:color="auto"/>
            </w:tcBorders>
            <w:shd w:val="clear" w:color="auto" w:fill="CCFFCC"/>
          </w:tcPr>
          <w:p>
            <w:pPr>
              <w:spacing w:after="0"/>
              <w:rPr>
                <w:sz w:val="10"/>
                <w:szCs w:val="10"/>
                <w:color w:val="auto"/>
              </w:rPr>
            </w:pPr>
          </w:p>
        </w:tc>
        <w:tc>
          <w:tcPr>
            <w:tcW w:w="100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vMerge w:val="restart"/>
            <w:shd w:val="clear" w:color="auto" w:fill="CCFFCC"/>
          </w:tcPr>
          <w:p>
            <w:pPr>
              <w:spacing w:after="0"/>
              <w:rPr>
                <w:sz w:val="20"/>
                <w:szCs w:val="20"/>
                <w:color w:val="auto"/>
              </w:rPr>
            </w:pPr>
            <w:r>
              <w:rPr>
                <w:rFonts w:ascii="Arial" w:cs="Arial" w:eastAsia="Arial" w:hAnsi="Arial"/>
                <w:sz w:val="14"/>
                <w:szCs w:val="14"/>
                <w:color w:val="auto"/>
              </w:rPr>
              <w:t>Katonah 2007-I CLO Ltd.</w:t>
            </w:r>
            <w:r>
              <w:rPr>
                <w:rFonts w:ascii="Arial" w:cs="Arial" w:eastAsia="Arial" w:hAnsi="Arial"/>
                <w:sz w:val="23"/>
                <w:szCs w:val="23"/>
                <w:color w:val="auto"/>
                <w:vertAlign w:val="superscript"/>
              </w:rPr>
              <w:t>3, 7</w:t>
            </w:r>
          </w:p>
        </w:tc>
        <w:tc>
          <w:tcPr>
            <w:tcW w:w="30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Par Value of $10,500,000</w:t>
            </w:r>
          </w:p>
        </w:tc>
        <w:tc>
          <w:tcPr>
            <w:tcW w:w="1260" w:type="dxa"/>
            <w:vAlign w:val="bottom"/>
            <w:shd w:val="clear" w:color="auto" w:fill="CCFFCC"/>
          </w:tcPr>
          <w:p>
            <w:pPr>
              <w:spacing w:after="0"/>
              <w:rPr>
                <w:sz w:val="12"/>
                <w:szCs w:val="12"/>
                <w:color w:val="auto"/>
              </w:rPr>
            </w:pPr>
          </w:p>
        </w:tc>
        <w:tc>
          <w:tcPr>
            <w:tcW w:w="240" w:type="dxa"/>
            <w:vAlign w:val="bottom"/>
            <w:tcBorders>
              <w:right w:val="single" w:sz="8" w:color="CCFFCC"/>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vMerge w:val="continue"/>
            <w:shd w:val="clear" w:color="auto" w:fill="CCFFCC"/>
          </w:tcPr>
          <w:p>
            <w:pPr>
              <w:spacing w:after="0"/>
              <w:rPr>
                <w:sz w:val="14"/>
                <w:szCs w:val="14"/>
                <w:color w:val="auto"/>
              </w:rPr>
            </w:pPr>
          </w:p>
        </w:tc>
        <w:tc>
          <w:tcPr>
            <w:tcW w:w="30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Due 4/22</w:t>
            </w: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100%</w:t>
            </w:r>
          </w:p>
        </w:tc>
        <w:tc>
          <w:tcPr>
            <w:tcW w:w="260" w:type="dxa"/>
            <w:vAlign w:val="bottom"/>
            <w:shd w:val="clear" w:color="auto" w:fill="CCFFCC"/>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1,271,689</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9,300,000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tcPr>
          <w:p>
            <w:pPr>
              <w:spacing w:after="0" w:line="162" w:lineRule="exact"/>
              <w:rPr>
                <w:sz w:val="20"/>
                <w:szCs w:val="20"/>
                <w:color w:val="auto"/>
              </w:rPr>
            </w:pPr>
            <w:r>
              <w:rPr>
                <w:rFonts w:ascii="Arial" w:cs="Arial" w:eastAsia="Arial" w:hAnsi="Arial"/>
                <w:sz w:val="12"/>
                <w:szCs w:val="12"/>
                <w:color w:val="auto"/>
              </w:rPr>
              <w:t>Catamaran CLO 2012-1 Ltd.</w:t>
            </w:r>
            <w:r>
              <w:rPr>
                <w:rFonts w:ascii="Arial" w:cs="Arial" w:eastAsia="Arial" w:hAnsi="Arial"/>
                <w:sz w:val="18"/>
                <w:szCs w:val="18"/>
                <w:color w:val="auto"/>
                <w:vertAlign w:val="superscript"/>
              </w:rPr>
              <w:t>3, 7</w:t>
            </w:r>
          </w:p>
        </w:tc>
        <w:tc>
          <w:tcPr>
            <w:tcW w:w="3000" w:type="dxa"/>
            <w:vAlign w:val="bottom"/>
            <w:gridSpan w:val="2"/>
          </w:tcPr>
          <w:p>
            <w:pPr>
              <w:spacing w:after="0"/>
              <w:rPr>
                <w:sz w:val="20"/>
                <w:szCs w:val="20"/>
                <w:color w:val="auto"/>
              </w:rPr>
            </w:pPr>
            <w:r>
              <w:rPr>
                <w:rFonts w:ascii="Arial" w:cs="Arial" w:eastAsia="Arial" w:hAnsi="Arial"/>
                <w:sz w:val="14"/>
                <w:szCs w:val="14"/>
                <w:color w:val="auto"/>
              </w:rPr>
              <w:t>Class F Notes</w:t>
            </w: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gridSpan w:val="2"/>
          </w:tcPr>
          <w:p>
            <w:pPr>
              <w:spacing w:after="0" w:line="116" w:lineRule="exact"/>
              <w:rPr>
                <w:sz w:val="20"/>
                <w:szCs w:val="20"/>
                <w:color w:val="auto"/>
              </w:rPr>
            </w:pPr>
            <w:r>
              <w:rPr>
                <w:rFonts w:ascii="Arial" w:cs="Arial" w:eastAsia="Arial" w:hAnsi="Arial"/>
                <w:sz w:val="13"/>
                <w:szCs w:val="13"/>
                <w:color w:val="auto"/>
              </w:rPr>
              <w:t>Par Value of $4,500,000</w:t>
            </w: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gridSpan w:val="2"/>
          </w:tcPr>
          <w:p>
            <w:pPr>
              <w:spacing w:after="0"/>
              <w:rPr>
                <w:sz w:val="20"/>
                <w:szCs w:val="20"/>
                <w:color w:val="auto"/>
              </w:rPr>
            </w:pPr>
            <w:r>
              <w:rPr>
                <w:rFonts w:ascii="Arial" w:cs="Arial" w:eastAsia="Arial" w:hAnsi="Arial"/>
                <w:sz w:val="14"/>
                <w:szCs w:val="14"/>
                <w:color w:val="auto"/>
              </w:rPr>
              <w:t>Due 12/23</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42.9%</w:t>
            </w:r>
          </w:p>
        </w:tc>
        <w:tc>
          <w:tcPr>
            <w:tcW w:w="2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3,803,846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4,020,000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28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6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CCFFCC"/>
              <w:right w:val="single" w:sz="8" w:color="CCFFCC"/>
            </w:tcBorders>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98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100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Total Investment in CLO Rated-Note</w:t>
            </w: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5,075,535</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13,320,000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28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6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CCFFCC"/>
              <w:right w:val="single" w:sz="8" w:color="CCFFCC"/>
            </w:tcBorders>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98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100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w w:val="95"/>
              </w:rPr>
              <w:t>Total Investment in CLO Fund Securities (30% of net asset value</w:t>
            </w: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00" w:type="dxa"/>
            <w:vAlign w:val="bottom"/>
            <w:gridSpan w:val="2"/>
          </w:tcPr>
          <w:p>
            <w:pPr>
              <w:ind w:left="120"/>
              <w:spacing w:after="0"/>
              <w:rPr>
                <w:sz w:val="20"/>
                <w:szCs w:val="20"/>
                <w:color w:val="auto"/>
              </w:rPr>
            </w:pPr>
            <w:r>
              <w:rPr>
                <w:rFonts w:ascii="Arial" w:cs="Arial" w:eastAsia="Arial" w:hAnsi="Arial"/>
                <w:sz w:val="14"/>
                <w:szCs w:val="14"/>
                <w:b w:val="1"/>
                <w:bCs w:val="1"/>
                <w:color w:val="auto"/>
              </w:rPr>
              <w:t>at fair value)</w:t>
            </w: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97,909,420</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81,484,885</w:t>
            </w:r>
          </w:p>
        </w:tc>
        <w:tc>
          <w:tcPr>
            <w:tcW w:w="0" w:type="dxa"/>
            <w:vAlign w:val="bottom"/>
          </w:tcPr>
          <w:p>
            <w:pPr>
              <w:spacing w:after="0"/>
              <w:rPr>
                <w:sz w:val="1"/>
                <w:szCs w:val="1"/>
                <w:color w:val="auto"/>
              </w:rPr>
            </w:pPr>
          </w:p>
        </w:tc>
      </w:tr>
      <w:tr>
        <w:trPr>
          <w:trHeight w:val="426"/>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Asset Manager Affiliates</w:t>
            </w: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260" w:type="dxa"/>
            <w:vAlign w:val="bottom"/>
          </w:tcPr>
          <w:p>
            <w:pPr>
              <w:spacing w:after="0"/>
              <w:rPr>
                <w:sz w:val="24"/>
                <w:szCs w:val="2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120" w:type="dxa"/>
            <w:vAlign w:val="bottom"/>
            <w:gridSpan w:val="3"/>
            <w:vMerge w:val="continue"/>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shd w:val="clear" w:color="auto" w:fill="CCFFCC"/>
          </w:tcPr>
          <w:p>
            <w:pPr>
              <w:spacing w:after="0" w:line="183"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21"/>
                <w:szCs w:val="21"/>
                <w:color w:val="auto"/>
                <w:vertAlign w:val="superscript"/>
              </w:rPr>
              <w:t>10</w:t>
            </w:r>
          </w:p>
        </w:tc>
        <w:tc>
          <w:tcPr>
            <w:tcW w:w="120" w:type="dxa"/>
            <w:vAlign w:val="bottom"/>
            <w:vMerge w:val="continue"/>
            <w:shd w:val="clear" w:color="auto" w:fill="CCFFCC"/>
          </w:tcPr>
          <w:p>
            <w:pPr>
              <w:spacing w:after="0"/>
              <w:rPr>
                <w:sz w:val="15"/>
                <w:szCs w:val="15"/>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4"/>
                <w:szCs w:val="14"/>
                <w:color w:val="auto"/>
              </w:rPr>
              <w:t>Asset Management Company</w:t>
            </w:r>
          </w:p>
        </w:tc>
        <w:tc>
          <w:tcPr>
            <w:tcW w:w="120" w:type="dxa"/>
            <w:vAlign w:val="bottom"/>
            <w:shd w:val="clear" w:color="auto" w:fill="CCFFCC"/>
          </w:tcPr>
          <w:p>
            <w:pPr>
              <w:spacing w:after="0"/>
              <w:rPr>
                <w:sz w:val="15"/>
                <w:szCs w:val="15"/>
                <w:color w:val="auto"/>
              </w:rPr>
            </w:pP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100.0%</w:t>
            </w:r>
          </w:p>
        </w:tc>
        <w:tc>
          <w:tcPr>
            <w:tcW w:w="260" w:type="dxa"/>
            <w:vAlign w:val="bottom"/>
            <w:shd w:val="clear" w:color="auto" w:fill="CCFFCC"/>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83,234,131</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87,300,000</w:t>
            </w: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0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w w:val="98"/>
              </w:rPr>
              <w:t>Total Investment in Asset Manager Affiliates (32% of net asset</w:t>
            </w:r>
          </w:p>
        </w:tc>
        <w:tc>
          <w:tcPr>
            <w:tcW w:w="2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6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00" w:type="dxa"/>
            <w:vAlign w:val="bottom"/>
            <w:gridSpan w:val="2"/>
            <w:shd w:val="clear" w:color="auto" w:fill="CCFFCC"/>
          </w:tcPr>
          <w:p>
            <w:pPr>
              <w:ind w:left="120"/>
              <w:spacing w:after="0"/>
              <w:rPr>
                <w:sz w:val="20"/>
                <w:szCs w:val="20"/>
                <w:color w:val="auto"/>
              </w:rPr>
            </w:pPr>
            <w:r>
              <w:rPr>
                <w:rFonts w:ascii="Arial" w:cs="Arial" w:eastAsia="Arial" w:hAnsi="Arial"/>
                <w:sz w:val="14"/>
                <w:szCs w:val="14"/>
                <w:b w:val="1"/>
                <w:bCs w:val="1"/>
                <w:color w:val="auto"/>
              </w:rPr>
              <w:t>value at fair value)</w:t>
            </w:r>
          </w:p>
        </w:tc>
        <w:tc>
          <w:tcPr>
            <w:tcW w:w="28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260" w:type="dxa"/>
            <w:vAlign w:val="bottom"/>
            <w:shd w:val="clear" w:color="auto" w:fill="CCFFCC"/>
          </w:tcPr>
          <w:p>
            <w:pPr>
              <w:spacing w:after="0"/>
              <w:rPr>
                <w:sz w:val="16"/>
                <w:szCs w:val="16"/>
                <w:color w:val="auto"/>
              </w:rPr>
            </w:pPr>
          </w:p>
        </w:tc>
        <w:tc>
          <w:tcPr>
            <w:tcW w:w="240" w:type="dxa"/>
            <w:vAlign w:val="bottom"/>
            <w:tcBorders>
              <w:right w:val="single" w:sz="8" w:color="CCFFCC"/>
            </w:tcBorders>
            <w:shd w:val="clear" w:color="auto" w:fill="CCFFCC"/>
          </w:tcPr>
          <w:p>
            <w:pPr>
              <w:spacing w:after="0"/>
              <w:rPr>
                <w:sz w:val="16"/>
                <w:szCs w:val="16"/>
                <w:color w:val="auto"/>
              </w:rPr>
            </w:pPr>
          </w:p>
        </w:tc>
        <w:tc>
          <w:tcPr>
            <w:tcW w:w="260" w:type="dxa"/>
            <w:vAlign w:val="bottom"/>
            <w:shd w:val="clear" w:color="auto" w:fill="CCFFCC"/>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83,234,131</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87,300,000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rPr>
          <w:sz w:val="20"/>
          <w:szCs w:val="20"/>
          <w:color w:val="auto"/>
        </w:rPr>
      </w:pPr>
      <w:r>
        <w:rPr>
          <w:rFonts w:ascii="Arial" w:cs="Arial" w:eastAsia="Arial" w:hAnsi="Arial"/>
          <w:sz w:val="17"/>
          <w:szCs w:val="17"/>
          <w:b w:val="1"/>
          <w:bCs w:val="1"/>
          <w:color w:val="auto"/>
        </w:rPr>
        <w:t>Time Deposits and Money Market Account</w:t>
      </w:r>
    </w:p>
    <w:p>
      <w:pPr>
        <w:spacing w:after="0" w:line="273" w:lineRule="exact"/>
        <w:rPr>
          <w:sz w:val="20"/>
          <w:szCs w:val="20"/>
          <w:color w:val="auto"/>
        </w:rPr>
      </w:pPr>
    </w:p>
    <w:p>
      <w:pPr>
        <w:ind w:right="800"/>
        <w:spacing w:after="0" w:line="315" w:lineRule="auto"/>
        <w:rPr>
          <w:sz w:val="20"/>
          <w:szCs w:val="20"/>
          <w:color w:val="auto"/>
        </w:rPr>
      </w:pPr>
      <w:r>
        <w:rPr>
          <w:rFonts w:ascii="Arial" w:cs="Arial" w:eastAsia="Arial" w:hAnsi="Arial"/>
          <w:sz w:val="13"/>
          <w:szCs w:val="13"/>
          <w:b w:val="1"/>
          <w:bCs w:val="1"/>
          <w:color w:val="auto"/>
        </w:rPr>
        <w:t xml:space="preserve">Time Deposit and Money Market Accounts </w:t>
      </w:r>
      <w:r>
        <w:rPr>
          <w:rFonts w:ascii="Arial" w:cs="Arial" w:eastAsia="Arial" w:hAnsi="Arial"/>
          <w:sz w:val="13"/>
          <w:szCs w:val="13"/>
          <w:color w:val="auto"/>
        </w:rPr>
        <w:t>JP Morgan Business Money Market Account</w:t>
      </w:r>
      <w:r>
        <w:rPr>
          <w:rFonts w:ascii="Arial" w:cs="Arial" w:eastAsia="Arial" w:hAnsi="Arial"/>
          <w:sz w:val="21"/>
          <w:szCs w:val="21"/>
          <w:color w:val="auto"/>
          <w:vertAlign w:val="superscript"/>
        </w:rPr>
        <w:t>10</w:t>
      </w:r>
    </w:p>
    <w:p>
      <w:pPr>
        <w:spacing w:after="0"/>
        <w:rPr>
          <w:sz w:val="20"/>
          <w:szCs w:val="20"/>
          <w:color w:val="auto"/>
        </w:rPr>
      </w:pPr>
      <w:r>
        <w:rPr>
          <w:rFonts w:ascii="Arial" w:cs="Arial" w:eastAsia="Arial" w:hAnsi="Arial"/>
          <w:sz w:val="14"/>
          <w:szCs w:val="14"/>
          <w:color w:val="auto"/>
        </w:rPr>
        <w:t>US Bank Money Market Account</w:t>
      </w:r>
      <w:r>
        <w:rPr>
          <w:rFonts w:ascii="Arial" w:cs="Arial" w:eastAsia="Arial" w:hAnsi="Arial"/>
          <w:sz w:val="23"/>
          <w:szCs w:val="23"/>
          <w:color w:val="auto"/>
          <w:vertAlign w:val="superscript"/>
        </w:rPr>
        <w:t>9, 10</w:t>
      </w:r>
    </w:p>
    <w:p>
      <w:pPr>
        <w:spacing w:after="0" w:line="59" w:lineRule="exact"/>
        <w:rPr>
          <w:sz w:val="20"/>
          <w:szCs w:val="20"/>
          <w:color w:val="auto"/>
        </w:rPr>
      </w:pPr>
    </w:p>
    <w:p>
      <w:pPr>
        <w:ind w:left="140" w:right="240" w:hanging="129"/>
        <w:spacing w:after="0" w:line="297" w:lineRule="auto"/>
        <w:rPr>
          <w:sz w:val="20"/>
          <w:szCs w:val="20"/>
          <w:color w:val="auto"/>
        </w:rPr>
      </w:pPr>
      <w:r>
        <w:rPr>
          <w:rFonts w:ascii="Arial" w:cs="Arial" w:eastAsia="Arial" w:hAnsi="Arial"/>
          <w:sz w:val="13"/>
          <w:szCs w:val="13"/>
          <w:b w:val="1"/>
          <w:bCs w:val="1"/>
          <w:color w:val="auto"/>
        </w:rPr>
        <w:t>Total Investment in Time Deposit and Money Market Accounts (25% of net asset value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Investments</w:t>
      </w:r>
      <w:r>
        <w:rPr>
          <w:rFonts w:ascii="Arial" w:cs="Arial" w:eastAsia="Arial" w:hAnsi="Arial"/>
          <w:sz w:val="19"/>
          <w:szCs w:val="19"/>
          <w:color w:val="auto"/>
          <w:vertAlign w:val="superscript"/>
        </w:rPr>
        <w:t>5</w:t>
      </w:r>
      <w:r>
        <w:rPr>
          <w:rFonts w:ascii="Arial" w:cs="Arial" w:eastAsia="Arial" w:hAnsi="Arial"/>
          <w:sz w:val="12"/>
          <w:szCs w:val="12"/>
          <w:b w:val="1"/>
          <w:bCs w:val="1"/>
          <w:color w:val="auto"/>
        </w:rPr>
        <w:t xml:space="preserve"> (159% of net asset value at fair value)</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1" w:lineRule="exact"/>
        <w:rPr>
          <w:sz w:val="1"/>
          <w:szCs w:val="1"/>
          <w:color w:val="auto"/>
        </w:rPr>
      </w:pPr>
    </w:p>
    <w:tbl>
      <w:tblPr>
        <w:tblLayout w:type="fixed"/>
        <w:tblInd w:w="240" w:type="dxa"/>
        <w:tblCellMar>
          <w:top w:w="0" w:type="dxa"/>
          <w:left w:w="0" w:type="dxa"/>
          <w:bottom w:w="0" w:type="dxa"/>
          <w:right w:w="0" w:type="dxa"/>
        </w:tblCellMar>
      </w:tblPr>
      <w:tr>
        <w:trPr>
          <w:trHeight w:val="264"/>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22"/>
                <w:szCs w:val="22"/>
                <w:color w:val="auto"/>
              </w:rPr>
            </w:pPr>
          </w:p>
        </w:tc>
        <w:tc>
          <w:tcPr>
            <w:tcW w:w="12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Yield</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Par / Cost</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r>
      <w:tr>
        <w:trPr>
          <w:trHeight w:val="198"/>
        </w:trPr>
        <w:tc>
          <w:tcPr>
            <w:tcW w:w="3000" w:type="dxa"/>
            <w:vAlign w:val="bottom"/>
            <w:gridSpan w:val="2"/>
          </w:tcPr>
          <w:p>
            <w:pPr>
              <w:spacing w:after="0"/>
              <w:rPr>
                <w:sz w:val="20"/>
                <w:szCs w:val="20"/>
                <w:color w:val="auto"/>
              </w:rPr>
            </w:pPr>
            <w:r>
              <w:rPr>
                <w:rFonts w:ascii="Arial" w:cs="Arial" w:eastAsia="Arial" w:hAnsi="Arial"/>
                <w:sz w:val="14"/>
                <w:szCs w:val="14"/>
                <w:color w:val="auto"/>
              </w:rPr>
              <w:t>Money Market Account</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0.15%</w:t>
            </w: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245,882</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245,882</w:t>
            </w:r>
          </w:p>
        </w:tc>
      </w:tr>
      <w:tr>
        <w:trPr>
          <w:trHeight w:val="338"/>
        </w:trPr>
        <w:tc>
          <w:tcPr>
            <w:tcW w:w="3000" w:type="dxa"/>
            <w:vAlign w:val="bottom"/>
            <w:gridSpan w:val="2"/>
          </w:tcPr>
          <w:p>
            <w:pPr>
              <w:spacing w:after="0"/>
              <w:rPr>
                <w:sz w:val="20"/>
                <w:szCs w:val="20"/>
                <w:color w:val="auto"/>
              </w:rPr>
            </w:pPr>
            <w:r>
              <w:rPr>
                <w:rFonts w:ascii="Arial" w:cs="Arial" w:eastAsia="Arial" w:hAnsi="Arial"/>
                <w:sz w:val="14"/>
                <w:szCs w:val="14"/>
                <w:color w:val="auto"/>
              </w:rPr>
              <w:t>Money Market Account</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0.40%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67,248,726</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67,248,726</w:t>
            </w:r>
          </w:p>
        </w:tc>
      </w:tr>
      <w:tr>
        <w:trPr>
          <w:trHeight w:val="444"/>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67,494,608</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67,494,608</w:t>
            </w: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345"/>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479,140,566</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436,497,694</w:t>
            </w: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-650875</wp:posOffset>
            </wp:positionV>
            <wp:extent cx="7246620"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-436880</wp:posOffset>
            </wp:positionV>
            <wp:extent cx="7246620" cy="1974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-136525</wp:posOffset>
            </wp:positionV>
            <wp:extent cx="724662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-874395</wp:posOffset>
            </wp:positionV>
            <wp:extent cx="724662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 to financial statements.</w:t>
      </w:r>
    </w:p>
    <w:p>
      <w:pPr>
        <w:spacing w:after="0" w:line="200" w:lineRule="exact"/>
        <w:rPr>
          <w:sz w:val="20"/>
          <w:szCs w:val="20"/>
          <w:color w:val="auto"/>
        </w:rPr>
      </w:pPr>
    </w:p>
    <w:p>
      <w:pPr>
        <w:sectPr>
          <w:pgSz w:w="11900" w:h="16838" w:orient="portrait"/>
          <w:cols w:equalWidth="0" w:num="2">
            <w:col w:w="3520" w:space="360"/>
            <w:col w:w="7540"/>
          </w:cols>
          <w:pgMar w:left="240" w:top="877"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6" w:name="page17"/>
    <w:bookmarkEnd w:id="16"/>
    <w:p>
      <w:pPr>
        <w:ind w:left="332" w:hanging="332"/>
        <w:spacing w:after="0" w:line="223" w:lineRule="auto"/>
        <w:tabs>
          <w:tab w:leader="none" w:pos="332"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A majority of the variable rate loans in the Company’s portfolio companies bear interest at a rate that may be determined by reference to either LIBOR or an alternate Base Rate (commonly based on the Federal Funds Rate or the Prime Rate), which typically resets semi-annually, quarterly, or monthly. For each such loan, the Company has provided the weighted average annual stated interest rate in effect at June 30, 2013.</w:t>
      </w:r>
    </w:p>
    <w:p>
      <w:pPr>
        <w:ind w:left="332" w:hanging="332"/>
        <w:spacing w:after="0" w:line="180" w:lineRule="auto"/>
        <w:tabs>
          <w:tab w:leader="none" w:pos="332"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Reflects the fair market value of all investments as of June 30, 2013, as determined by the Company’s Board of Directors.</w:t>
      </w:r>
    </w:p>
    <w:p>
      <w:pPr>
        <w:ind w:left="332" w:hanging="332"/>
        <w:spacing w:after="0" w:line="180" w:lineRule="auto"/>
        <w:tabs>
          <w:tab w:leader="none" w:pos="332"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ind w:left="332" w:hanging="332"/>
        <w:spacing w:after="0" w:line="181" w:lineRule="auto"/>
        <w:tabs>
          <w:tab w:leader="none" w:pos="332"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Buildings and real estate relate to real estate ownership, builders, managers and developers.</w:t>
      </w:r>
    </w:p>
    <w:p>
      <w:pPr>
        <w:spacing w:after="0" w:line="2" w:lineRule="exact"/>
        <w:rPr>
          <w:sz w:val="20"/>
          <w:szCs w:val="20"/>
          <w:color w:val="auto"/>
        </w:rPr>
      </w:pPr>
    </w:p>
    <w:p>
      <w:pPr>
        <w:ind w:left="332" w:right="620" w:hanging="332"/>
        <w:spacing w:after="0" w:line="204" w:lineRule="auto"/>
        <w:tabs>
          <w:tab w:leader="none" w:pos="332"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The aggregate cost of investments for federal income tax purposes is approximately $479 million. The aggregate gross unrealized appreciation is approximately $16 million, the aggregate gross unrealized depreciation is approximately $59 million, and the net unrealized depreciation is approximately $43 million.</w:t>
      </w:r>
    </w:p>
    <w:p>
      <w:pPr>
        <w:ind w:left="332" w:hanging="332"/>
        <w:spacing w:after="0" w:line="181" w:lineRule="auto"/>
        <w:tabs>
          <w:tab w:leader="none" w:pos="332"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Non-income producing.</w:t>
      </w:r>
    </w:p>
    <w:p>
      <w:pPr>
        <w:ind w:left="332" w:hanging="332"/>
        <w:spacing w:after="0" w:line="181" w:lineRule="auto"/>
        <w:tabs>
          <w:tab w:leader="none" w:pos="332"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An affiliate CLO Fund is managed by the Asset Manager Affiliates (as such term is defined in the notes to the financial statements).</w:t>
      </w:r>
    </w:p>
    <w:p>
      <w:pPr>
        <w:ind w:left="332" w:hanging="332"/>
        <w:spacing w:after="0" w:line="180" w:lineRule="auto"/>
        <w:tabs>
          <w:tab w:leader="none" w:pos="332"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332" w:hanging="332"/>
        <w:spacing w:after="0" w:line="181" w:lineRule="auto"/>
        <w:tabs>
          <w:tab w:leader="none" w:pos="332"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flexible spending and payroll related accounts.</w:t>
      </w:r>
    </w:p>
    <w:p>
      <w:pPr>
        <w:ind w:left="332" w:hanging="332"/>
        <w:spacing w:after="0" w:line="180" w:lineRule="auto"/>
        <w:tabs>
          <w:tab w:leader="none" w:pos="332"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spacing w:after="0" w:line="2" w:lineRule="exact"/>
        <w:rPr>
          <w:rFonts w:ascii="Arial" w:cs="Arial" w:eastAsia="Arial" w:hAnsi="Arial"/>
          <w:sz w:val="25"/>
          <w:szCs w:val="25"/>
          <w:color w:val="auto"/>
          <w:vertAlign w:val="superscript"/>
        </w:rPr>
      </w:pPr>
    </w:p>
    <w:p>
      <w:pPr>
        <w:ind w:left="332" w:hanging="332"/>
        <w:spacing w:after="0" w:line="186" w:lineRule="auto"/>
        <w:tabs>
          <w:tab w:leader="none" w:pos="332"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As of June 30, 2013, this CLO Fund Security was not providing a dividend distribution.</w:t>
      </w:r>
    </w:p>
    <w:p>
      <w:pPr>
        <w:spacing w:after="0" w:line="2" w:lineRule="exact"/>
        <w:rPr>
          <w:rFonts w:ascii="Arial" w:cs="Arial" w:eastAsia="Arial" w:hAnsi="Arial"/>
          <w:sz w:val="24"/>
          <w:szCs w:val="24"/>
          <w:color w:val="auto"/>
          <w:vertAlign w:val="superscript"/>
        </w:rPr>
      </w:pPr>
    </w:p>
    <w:p>
      <w:pPr>
        <w:ind w:left="332" w:hanging="332"/>
        <w:spacing w:after="0" w:line="186" w:lineRule="auto"/>
        <w:tabs>
          <w:tab w:leader="none" w:pos="332"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As of June 30, 2013, investment was held in KCAP Senior Funding I, LLC.</w:t>
      </w:r>
    </w:p>
    <w:p>
      <w:pPr>
        <w:spacing w:after="0" w:line="200" w:lineRule="exact"/>
        <w:rPr>
          <w:sz w:val="20"/>
          <w:szCs w:val="20"/>
          <w:color w:val="auto"/>
        </w:rPr>
      </w:pPr>
    </w:p>
    <w:p>
      <w:pPr>
        <w:spacing w:after="0" w:line="2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881" w:right="27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120" w:type="dxa"/>
            <w:vAlign w:val="bottom"/>
            <w:gridSpan w:val="3"/>
            <w:vMerge w:val="continue"/>
          </w:tcPr>
          <w:p>
            <w:pPr>
              <w:spacing w:after="0"/>
              <w:rPr>
                <w:sz w:val="14"/>
                <w:szCs w:val="14"/>
                <w:color w:val="auto"/>
              </w:rPr>
            </w:pPr>
          </w:p>
        </w:tc>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80" w:type="dxa"/>
            <w:vAlign w:val="bottom"/>
            <w:tcBorders>
              <w:top w:val="single" w:sz="8" w:color="auto"/>
            </w:tcBorders>
            <w:shd w:val="clear" w:color="auto" w:fill="CCFFCC"/>
          </w:tcPr>
          <w:p>
            <w:pPr>
              <w:spacing w:after="0" w:line="164" w:lineRule="exact"/>
              <w:rPr>
                <w:sz w:val="20"/>
                <w:szCs w:val="20"/>
                <w:color w:val="auto"/>
              </w:rPr>
            </w:pPr>
            <w:r>
              <w:rPr>
                <w:rFonts w:ascii="Arial" w:cs="Arial" w:eastAsia="Arial" w:hAnsi="Arial"/>
                <w:sz w:val="12"/>
                <w:szCs w:val="12"/>
                <w:color w:val="auto"/>
              </w:rPr>
              <w:t>Advanced Lighting Technologies, Inc.</w:t>
            </w:r>
            <w:r>
              <w:rPr>
                <w:rFonts w:ascii="Arial" w:cs="Arial" w:eastAsia="Arial" w:hAnsi="Arial"/>
                <w:sz w:val="18"/>
                <w:szCs w:val="18"/>
                <w:color w:val="auto"/>
                <w:vertAlign w:val="superscript"/>
              </w:rPr>
              <w:t>10</w:t>
            </w:r>
          </w:p>
        </w:tc>
        <w:tc>
          <w:tcPr>
            <w:tcW w:w="120" w:type="dxa"/>
            <w:vAlign w:val="bottom"/>
            <w:tcBorders>
              <w:top w:val="single" w:sz="8" w:color="CCFFCC"/>
            </w:tcBorders>
            <w:shd w:val="clear" w:color="auto" w:fill="CCFFCC"/>
          </w:tcPr>
          <w:p>
            <w:pPr>
              <w:spacing w:after="0"/>
              <w:rPr>
                <w:sz w:val="14"/>
                <w:szCs w:val="14"/>
                <w:color w:val="auto"/>
              </w:rPr>
            </w:pPr>
          </w:p>
        </w:tc>
        <w:tc>
          <w:tcPr>
            <w:tcW w:w="320" w:type="dxa"/>
            <w:vAlign w:val="bottom"/>
            <w:tcBorders>
              <w:top w:val="single" w:sz="8" w:color="auto"/>
            </w:tcBorders>
            <w:shd w:val="clear" w:color="auto" w:fill="CCFFCC"/>
          </w:tcPr>
          <w:p>
            <w:pPr>
              <w:spacing w:after="0"/>
              <w:rPr>
                <w:sz w:val="14"/>
                <w:szCs w:val="14"/>
                <w:color w:val="auto"/>
              </w:rPr>
            </w:pPr>
          </w:p>
        </w:tc>
        <w:tc>
          <w:tcPr>
            <w:tcW w:w="256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200" w:type="dxa"/>
            <w:vAlign w:val="bottom"/>
            <w:tcBorders>
              <w:top w:val="single" w:sz="8" w:color="auto"/>
            </w:tcBorders>
            <w:shd w:val="clear" w:color="auto" w:fill="CCFFCC"/>
          </w:tcPr>
          <w:p>
            <w:pPr>
              <w:spacing w:after="0"/>
              <w:rPr>
                <w:sz w:val="14"/>
                <w:szCs w:val="14"/>
                <w:color w:val="auto"/>
              </w:rPr>
            </w:pPr>
          </w:p>
        </w:tc>
        <w:tc>
          <w:tcPr>
            <w:tcW w:w="106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260" w:type="dxa"/>
            <w:vAlign w:val="bottom"/>
            <w:tcBorders>
              <w:top w:val="single" w:sz="8" w:color="auto"/>
            </w:tcBorders>
            <w:shd w:val="clear" w:color="auto" w:fill="CCFFCC"/>
          </w:tcPr>
          <w:p>
            <w:pPr>
              <w:spacing w:after="0"/>
              <w:rPr>
                <w:sz w:val="14"/>
                <w:szCs w:val="14"/>
                <w:color w:val="auto"/>
              </w:rPr>
            </w:pPr>
          </w:p>
        </w:tc>
        <w:tc>
          <w:tcPr>
            <w:tcW w:w="98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260" w:type="dxa"/>
            <w:vAlign w:val="bottom"/>
            <w:tcBorders>
              <w:top w:val="single" w:sz="8" w:color="auto"/>
            </w:tcBorders>
            <w:shd w:val="clear" w:color="auto" w:fill="CCFFCC"/>
          </w:tcPr>
          <w:p>
            <w:pPr>
              <w:spacing w:after="0"/>
              <w:rPr>
                <w:sz w:val="14"/>
                <w:szCs w:val="14"/>
                <w:color w:val="auto"/>
              </w:rPr>
            </w:pPr>
          </w:p>
        </w:tc>
        <w:tc>
          <w:tcPr>
            <w:tcW w:w="100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i w:val="1"/>
                <w:iCs w:val="1"/>
                <w:color w:val="auto"/>
              </w:rPr>
              <w:t>Home and Office Furnishings, Housewares, and Durable</w:t>
            </w:r>
          </w:p>
        </w:tc>
        <w:tc>
          <w:tcPr>
            <w:tcW w:w="300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First Lien Bond — Bond10.5%</w:t>
            </w:r>
          </w:p>
        </w:tc>
        <w:tc>
          <w:tcPr>
            <w:tcW w:w="20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Consumer Products</w:t>
            </w:r>
          </w:p>
        </w:tc>
        <w:tc>
          <w:tcPr>
            <w:tcW w:w="300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Cash, Due 6/19</w:t>
            </w:r>
          </w:p>
        </w:tc>
        <w:tc>
          <w:tcPr>
            <w:tcW w:w="200" w:type="dxa"/>
            <w:vAlign w:val="bottom"/>
            <w:shd w:val="clear" w:color="auto" w:fill="CCFFCC"/>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3,000,000</w:t>
            </w: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2,928,762</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 xml:space="preserve">Alaska Communications Systems Holdings, Inc. </w:t>
            </w:r>
            <w:r>
              <w:rPr>
                <w:rFonts w:ascii="Arial" w:cs="Arial" w:eastAsia="Arial" w:hAnsi="Arial"/>
                <w:sz w:val="19"/>
                <w:szCs w:val="19"/>
                <w:color w:val="auto"/>
                <w:vertAlign w:val="superscript"/>
              </w:rPr>
              <w:t>10</w:t>
            </w:r>
          </w:p>
        </w:tc>
        <w:tc>
          <w:tcPr>
            <w:tcW w:w="300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Telecommunications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5.5%</w:t>
            </w:r>
          </w:p>
        </w:tc>
        <w:tc>
          <w:tcPr>
            <w:tcW w:w="268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10/16</w:t>
            </w:r>
          </w:p>
        </w:tc>
        <w:tc>
          <w:tcPr>
            <w:tcW w:w="20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2,940,000</w:t>
            </w: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2,952,655</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2,783,196</w:t>
            </w:r>
          </w:p>
        </w:tc>
        <w:tc>
          <w:tcPr>
            <w:tcW w:w="0" w:type="dxa"/>
            <w:vAlign w:val="bottom"/>
          </w:tcPr>
          <w:p>
            <w:pPr>
              <w:spacing w:after="0"/>
              <w:rPr>
                <w:sz w:val="1"/>
                <w:szCs w:val="1"/>
                <w:color w:val="auto"/>
              </w:rPr>
            </w:pPr>
          </w:p>
        </w:tc>
      </w:tr>
      <w:tr>
        <w:trPr>
          <w:trHeight w:val="149"/>
        </w:trPr>
        <w:tc>
          <w:tcPr>
            <w:tcW w:w="40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Allison Transmission, Inc.</w:t>
            </w:r>
          </w:p>
        </w:tc>
        <w:tc>
          <w:tcPr>
            <w:tcW w:w="300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B-2 Loan</w:t>
            </w:r>
          </w:p>
        </w:tc>
        <w:tc>
          <w:tcPr>
            <w:tcW w:w="20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Automobile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3.7%</w:t>
            </w:r>
          </w:p>
        </w:tc>
        <w:tc>
          <w:tcPr>
            <w:tcW w:w="268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8/17</w:t>
            </w:r>
          </w:p>
        </w:tc>
        <w:tc>
          <w:tcPr>
            <w:tcW w:w="20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1,980,000</w:t>
            </w: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1,969,312</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1,995,672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Aramark Corporation</w:t>
            </w:r>
            <w:r>
              <w:rPr>
                <w:rFonts w:ascii="Arial" w:cs="Arial" w:eastAsia="Arial" w:hAnsi="Arial"/>
                <w:sz w:val="19"/>
                <w:szCs w:val="19"/>
                <w:color w:val="auto"/>
                <w:vertAlign w:val="superscript"/>
              </w:rPr>
              <w:t>10</w:t>
            </w:r>
          </w:p>
        </w:tc>
        <w:tc>
          <w:tcPr>
            <w:tcW w:w="300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LC-3 Facility</w:t>
            </w:r>
          </w:p>
        </w:tc>
        <w:tc>
          <w:tcPr>
            <w:tcW w:w="20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Diversified/Conglomerate Service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3.5%</w:t>
            </w:r>
          </w:p>
        </w:tc>
        <w:tc>
          <w:tcPr>
            <w:tcW w:w="268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7/16</w:t>
            </w:r>
          </w:p>
        </w:tc>
        <w:tc>
          <w:tcPr>
            <w:tcW w:w="20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61,707</w:t>
            </w: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61,579</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61,910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Aramark Corporation</w:t>
            </w:r>
            <w:r>
              <w:rPr>
                <w:rFonts w:ascii="Arial" w:cs="Arial" w:eastAsia="Arial" w:hAnsi="Arial"/>
                <w:sz w:val="19"/>
                <w:szCs w:val="19"/>
                <w:color w:val="auto"/>
                <w:vertAlign w:val="superscript"/>
              </w:rPr>
              <w:t>10</w:t>
            </w:r>
          </w:p>
        </w:tc>
        <w:tc>
          <w:tcPr>
            <w:tcW w:w="300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U.S. Term C Loan</w:t>
            </w:r>
          </w:p>
        </w:tc>
        <w:tc>
          <w:tcPr>
            <w:tcW w:w="20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Diversified/Conglomerate Service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3.5%</w:t>
            </w:r>
          </w:p>
        </w:tc>
        <w:tc>
          <w:tcPr>
            <w:tcW w:w="268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7/16</w:t>
            </w:r>
          </w:p>
        </w:tc>
        <w:tc>
          <w:tcPr>
            <w:tcW w:w="20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938,293</w:t>
            </w: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936,347</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941,390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Asurion, LLC (fka Asurion Corporation)</w:t>
            </w:r>
            <w:r>
              <w:rPr>
                <w:rFonts w:ascii="Arial" w:cs="Arial" w:eastAsia="Arial" w:hAnsi="Arial"/>
                <w:sz w:val="19"/>
                <w:szCs w:val="19"/>
                <w:color w:val="auto"/>
                <w:vertAlign w:val="superscript"/>
              </w:rPr>
              <w:t>10</w:t>
            </w:r>
          </w:p>
        </w:tc>
        <w:tc>
          <w:tcPr>
            <w:tcW w:w="300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 (First Lien)</w:t>
            </w:r>
          </w:p>
        </w:tc>
        <w:tc>
          <w:tcPr>
            <w:tcW w:w="20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Insurance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5.5%</w:t>
            </w:r>
          </w:p>
        </w:tc>
        <w:tc>
          <w:tcPr>
            <w:tcW w:w="268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5/18</w:t>
            </w:r>
          </w:p>
        </w:tc>
        <w:tc>
          <w:tcPr>
            <w:tcW w:w="20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2,000,000</w:t>
            </w: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2,021,506</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2,023,130</w:t>
            </w:r>
          </w:p>
        </w:tc>
        <w:tc>
          <w:tcPr>
            <w:tcW w:w="0" w:type="dxa"/>
            <w:vAlign w:val="bottom"/>
          </w:tcPr>
          <w:p>
            <w:pPr>
              <w:spacing w:after="0"/>
              <w:rPr>
                <w:sz w:val="1"/>
                <w:szCs w:val="1"/>
                <w:color w:val="auto"/>
              </w:rPr>
            </w:pPr>
          </w:p>
        </w:tc>
      </w:tr>
      <w:tr>
        <w:trPr>
          <w:trHeight w:val="149"/>
        </w:trPr>
        <w:tc>
          <w:tcPr>
            <w:tcW w:w="40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Avis Budget Car Rental, LLC</w:t>
            </w:r>
          </w:p>
        </w:tc>
        <w:tc>
          <w:tcPr>
            <w:tcW w:w="300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Tranche C Term Loan</w:t>
            </w:r>
          </w:p>
        </w:tc>
        <w:tc>
          <w:tcPr>
            <w:tcW w:w="20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Personal Transportation</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4.3%</w:t>
            </w:r>
          </w:p>
        </w:tc>
        <w:tc>
          <w:tcPr>
            <w:tcW w:w="268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3/19</w:t>
            </w:r>
          </w:p>
        </w:tc>
        <w:tc>
          <w:tcPr>
            <w:tcW w:w="20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1,985,007</w:t>
            </w: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2,012,685</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2,005,353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10</w:t>
            </w:r>
          </w:p>
        </w:tc>
        <w:tc>
          <w:tcPr>
            <w:tcW w:w="300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Junior Secured Loan — Loan (Second Lien)</w:t>
            </w:r>
          </w:p>
        </w:tc>
        <w:tc>
          <w:tcPr>
            <w:tcW w:w="20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Diversified/Conglomerate Service</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1.2%</w:t>
            </w:r>
          </w:p>
        </w:tc>
        <w:tc>
          <w:tcPr>
            <w:tcW w:w="268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7.0% PIK, Due 8/15</w:t>
            </w:r>
          </w:p>
        </w:tc>
        <w:tc>
          <w:tcPr>
            <w:tcW w:w="20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1,405,472</w:t>
            </w: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1,225,488</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47,435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10</w:t>
            </w:r>
          </w:p>
        </w:tc>
        <w:tc>
          <w:tcPr>
            <w:tcW w:w="300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Loan B 6.5%</w:t>
            </w:r>
          </w:p>
        </w:tc>
        <w:tc>
          <w:tcPr>
            <w:tcW w:w="20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Diversified/Conglomerate Service</w:t>
            </w:r>
          </w:p>
        </w:tc>
        <w:tc>
          <w:tcPr>
            <w:tcW w:w="300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Cash, 1.0% PIK, Due 8/14</w:t>
            </w:r>
          </w:p>
        </w:tc>
        <w:tc>
          <w:tcPr>
            <w:tcW w:w="20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1,439,164</w:t>
            </w: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1,405,984</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773,551</w:t>
            </w:r>
          </w:p>
        </w:tc>
        <w:tc>
          <w:tcPr>
            <w:tcW w:w="0" w:type="dxa"/>
            <w:vAlign w:val="bottom"/>
          </w:tcPr>
          <w:p>
            <w:pPr>
              <w:spacing w:after="0"/>
              <w:rPr>
                <w:sz w:val="1"/>
                <w:szCs w:val="1"/>
                <w:color w:val="auto"/>
              </w:rPr>
            </w:pPr>
          </w:p>
        </w:tc>
      </w:tr>
      <w:tr>
        <w:trPr>
          <w:trHeight w:val="149"/>
        </w:trPr>
        <w:tc>
          <w:tcPr>
            <w:tcW w:w="40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Berry Plastics Holding Corporation</w:t>
            </w:r>
          </w:p>
        </w:tc>
        <w:tc>
          <w:tcPr>
            <w:tcW w:w="300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Senior Secured Loan — Term C Loan</w:t>
            </w:r>
          </w:p>
        </w:tc>
        <w:tc>
          <w:tcPr>
            <w:tcW w:w="20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Containers, Packaging and Glass</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w w:val="93"/>
              </w:rPr>
              <w:t>2.2%</w:t>
            </w:r>
          </w:p>
        </w:tc>
        <w:tc>
          <w:tcPr>
            <w:tcW w:w="268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Cash, Due 4/15</w:t>
            </w:r>
          </w:p>
        </w:tc>
        <w:tc>
          <w:tcPr>
            <w:tcW w:w="20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1,979,003</w:t>
            </w: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1,949,236</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1,971,898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Burger King Corporation</w:t>
      </w:r>
    </w:p>
    <w:p>
      <w:pPr>
        <w:ind w:left="180"/>
        <w:spacing w:after="0"/>
        <w:rPr>
          <w:sz w:val="20"/>
          <w:szCs w:val="20"/>
          <w:color w:val="auto"/>
        </w:rPr>
      </w:pPr>
      <w:r>
        <w:rPr>
          <w:rFonts w:ascii="Arial" w:cs="Arial" w:eastAsia="Arial" w:hAnsi="Arial"/>
          <w:sz w:val="14"/>
          <w:szCs w:val="14"/>
          <w:i w:val="1"/>
          <w:iCs w:val="1"/>
          <w:color w:val="auto"/>
        </w:rPr>
        <w:t>Personal, Food and Miscellaneous Services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Caribe Media Inc. (fka Caribe Information Investments</w:t>
      </w:r>
    </w:p>
    <w:p>
      <w:pPr>
        <w:spacing w:after="0" w:line="187" w:lineRule="auto"/>
        <w:rPr>
          <w:sz w:val="20"/>
          <w:szCs w:val="20"/>
          <w:color w:val="auto"/>
        </w:rPr>
      </w:pPr>
      <w:r>
        <w:rPr>
          <w:rFonts w:ascii="Arial" w:cs="Arial" w:eastAsia="Arial" w:hAnsi="Arial"/>
          <w:sz w:val="13"/>
          <w:szCs w:val="13"/>
          <w:color w:val="auto"/>
        </w:rPr>
        <w:t>Incorporated)</w:t>
      </w:r>
      <w:r>
        <w:rPr>
          <w:rFonts w:ascii="Arial" w:cs="Arial" w:eastAsia="Arial" w:hAnsi="Arial"/>
          <w:sz w:val="21"/>
          <w:szCs w:val="21"/>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Printing and Publishing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Catalina Marketing Corporation</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Diversified/Conglomerate Service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Chrysler Group LLC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Automobile</w:t>
      </w:r>
    </w:p>
    <w:p>
      <w:pPr>
        <w:spacing w:after="0" w:line="124" w:lineRule="exact"/>
        <w:rPr>
          <w:sz w:val="20"/>
          <w:szCs w:val="20"/>
          <w:color w:val="auto"/>
        </w:rPr>
      </w:pPr>
    </w:p>
    <w:p>
      <w:pPr>
        <w:spacing w:after="0" w:line="197" w:lineRule="auto"/>
        <w:rPr>
          <w:sz w:val="20"/>
          <w:szCs w:val="20"/>
          <w:color w:val="auto"/>
        </w:rPr>
      </w:pPr>
      <w:r>
        <w:rPr>
          <w:rFonts w:ascii="Arial" w:cs="Arial" w:eastAsia="Arial" w:hAnsi="Arial"/>
          <w:sz w:val="14"/>
          <w:szCs w:val="14"/>
          <w:color w:val="auto"/>
        </w:rPr>
        <w:t>CoActive Technologies LLC (fka CoActive Technologies, Inc.)</w:t>
      </w:r>
      <w:r>
        <w:rPr>
          <w:rFonts w:ascii="Arial" w:cs="Arial" w:eastAsia="Arial" w:hAnsi="Arial"/>
          <w:sz w:val="23"/>
          <w:szCs w:val="23"/>
          <w:color w:val="auto"/>
          <w:vertAlign w:val="superscript"/>
        </w:rPr>
        <w:t>8, 10</w:t>
      </w:r>
    </w:p>
    <w:p>
      <w:pPr>
        <w:ind w:left="180" w:right="60"/>
        <w:spacing w:after="0" w:line="237" w:lineRule="auto"/>
        <w:rPr>
          <w:sz w:val="20"/>
          <w:szCs w:val="20"/>
          <w:color w:val="auto"/>
        </w:rPr>
      </w:pPr>
      <w:r>
        <w:rPr>
          <w:rFonts w:ascii="Arial" w:cs="Arial" w:eastAsia="Arial" w:hAnsi="Arial"/>
          <w:sz w:val="14"/>
          <w:szCs w:val="14"/>
          <w:i w:val="1"/>
          <w:iCs w:val="1"/>
          <w:color w:val="auto"/>
        </w:rPr>
        <w:t>Machinery (Non-Agriculture, Non-Construction, Non-Electronic)</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Del Monte Foods Company</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Del Monte Foods Company</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eInstruction Corporation</w:t>
      </w:r>
      <w:r>
        <w:rPr>
          <w:rFonts w:ascii="Arial" w:cs="Arial" w:eastAsia="Arial" w:hAnsi="Arial"/>
          <w:sz w:val="23"/>
          <w:szCs w:val="23"/>
          <w:color w:val="auto"/>
          <w:vertAlign w:val="superscript"/>
        </w:rPr>
        <w:t>8, 10</w:t>
      </w:r>
    </w:p>
    <w:p>
      <w:pPr>
        <w:ind w:left="180"/>
        <w:spacing w:after="0"/>
        <w:rPr>
          <w:sz w:val="20"/>
          <w:szCs w:val="20"/>
          <w:color w:val="auto"/>
        </w:rPr>
      </w:pPr>
      <w:r>
        <w:rPr>
          <w:rFonts w:ascii="Arial" w:cs="Arial" w:eastAsia="Arial" w:hAnsi="Arial"/>
          <w:sz w:val="14"/>
          <w:szCs w:val="14"/>
          <w:i w:val="1"/>
          <w:iCs w:val="1"/>
          <w:color w:val="auto"/>
        </w:rPr>
        <w:t>Healthcare, Education and Childcare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ELO Touch Solutions, Inc.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Electronics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First American Payment Systems, L.P.</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Finance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First Data Corporation</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Finance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Fram Group Holdings Inc./Prestone Holdings Inc.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Automobile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Senior Secured Loan — Tranche B Term Loan (2012)</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3.8%</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9/19</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1,645,875</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1,641,896</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1,657,297</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560" w:type="dxa"/>
            <w:vAlign w:val="bottom"/>
            <w:gridSpan w:val="3"/>
          </w:tcPr>
          <w:p>
            <w:pPr>
              <w:spacing w:after="0"/>
              <w:rPr>
                <w:sz w:val="20"/>
                <w:szCs w:val="20"/>
                <w:color w:val="auto"/>
              </w:rPr>
            </w:pPr>
            <w:r>
              <w:rPr>
                <w:rFonts w:ascii="Arial" w:cs="Arial" w:eastAsia="Arial" w:hAnsi="Arial"/>
                <w:sz w:val="14"/>
                <w:szCs w:val="14"/>
                <w:color w:val="auto"/>
              </w:rPr>
              <w:t>10.0% Cash, Due 11/14</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621,074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621,074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613,373</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2017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5.7%</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9/17</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1,704,212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1,672,227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1,711,140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Tranche B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6.0%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5/17</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1,979,899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1,979,899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2,024,724</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Junior Secured Loan — Term Loan (Second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2.3%</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4.8% PIK, Due 1/15</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3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2,063,007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1,987,358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1,299,695</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Initial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3/18</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949,124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950,905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952,237</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Initial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3/18</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1,927,154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1,907,210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1,933,475</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Junior Secured Loan — Term Loan (Second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3"/>
          </w:tcPr>
          <w:p>
            <w:pPr>
              <w:spacing w:after="0"/>
              <w:rPr>
                <w:sz w:val="20"/>
                <w:szCs w:val="20"/>
                <w:color w:val="auto"/>
              </w:rPr>
            </w:pPr>
            <w:r>
              <w:rPr>
                <w:rFonts w:ascii="Arial" w:cs="Arial" w:eastAsia="Arial" w:hAnsi="Arial"/>
                <w:sz w:val="14"/>
                <w:szCs w:val="14"/>
                <w:color w:val="auto"/>
              </w:rPr>
              <w:t>11.5% Cash, Due 7/14</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 (First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8.0%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6/18</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1,990,000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1,915,453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1,989,603</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Junior Secured Loan — Term Loan (Second Lien 2012)</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3"/>
          </w:tcPr>
          <w:p>
            <w:pPr>
              <w:spacing w:after="0"/>
              <w:rPr>
                <w:sz w:val="20"/>
                <w:szCs w:val="20"/>
                <w:color w:val="auto"/>
              </w:rPr>
            </w:pPr>
            <w:r>
              <w:rPr>
                <w:rFonts w:ascii="Arial" w:cs="Arial" w:eastAsia="Arial" w:hAnsi="Arial"/>
                <w:sz w:val="14"/>
                <w:szCs w:val="14"/>
                <w:color w:val="auto"/>
              </w:rPr>
              <w:t>10.8% Cash, Due 4/19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2,941,926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2,985,000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2018 Dollar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4.2%</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3/18</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1,806,842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1,906,710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 (First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6.5%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7/17</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989,975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996,484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991,212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-3593465</wp:posOffset>
            </wp:positionV>
            <wp:extent cx="7246620" cy="308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-3190240</wp:posOffset>
            </wp:positionV>
            <wp:extent cx="7246620" cy="214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-2881630</wp:posOffset>
            </wp:positionV>
            <wp:extent cx="7246620" cy="214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-2573020</wp:posOffset>
            </wp:positionV>
            <wp:extent cx="7246620" cy="4032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40322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-2075815</wp:posOffset>
            </wp:positionV>
            <wp:extent cx="7246620" cy="214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-1767205</wp:posOffset>
            </wp:positionV>
            <wp:extent cx="7246620" cy="214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-1457960</wp:posOffset>
            </wp:positionV>
            <wp:extent cx="7246620" cy="2146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-1149350</wp:posOffset>
            </wp:positionV>
            <wp:extent cx="7246620" cy="214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-840740</wp:posOffset>
            </wp:positionV>
            <wp:extent cx="7246620" cy="2146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-532130</wp:posOffset>
            </wp:positionV>
            <wp:extent cx="7246620" cy="214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-223520</wp:posOffset>
            </wp:positionV>
            <wp:extent cx="7246620"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-3884930</wp:posOffset>
            </wp:positionV>
            <wp:extent cx="7246620" cy="1974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200"/>
            <w:col w:w="7760"/>
          </w:cols>
          <w:pgMar w:left="240" w:top="861" w:right="339" w:bottom="1440" w:gutter="0" w:footer="0" w:header="0"/>
        </w:sect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61" w:right="339" w:bottom="1440" w:gutter="0" w:footer="0" w:header="0"/>
          <w:type w:val="continuous"/>
        </w:sectPr>
      </w:pPr>
    </w:p>
    <w:bookmarkStart w:id="19" w:name="page20"/>
    <w:bookmarkEnd w:id="19"/>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Freescale Semiconductor, Inc.</w:t>
      </w:r>
    </w:p>
    <w:p>
      <w:pPr>
        <w:ind w:left="180"/>
        <w:spacing w:after="0"/>
        <w:rPr>
          <w:sz w:val="20"/>
          <w:szCs w:val="20"/>
          <w:color w:val="auto"/>
        </w:rPr>
      </w:pPr>
      <w:r>
        <w:rPr>
          <w:rFonts w:ascii="Arial" w:cs="Arial" w:eastAsia="Arial" w:hAnsi="Arial"/>
          <w:sz w:val="14"/>
          <w:szCs w:val="14"/>
          <w:i w:val="1"/>
          <w:iCs w:val="1"/>
          <w:color w:val="auto"/>
        </w:rPr>
        <w:t>Electronics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Getty Images, Inc.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Printing and Publishing</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8, 10</w:t>
      </w:r>
    </w:p>
    <w:p>
      <w:pPr>
        <w:ind w:left="180"/>
        <w:spacing w:after="0"/>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4</w:t>
      </w:r>
    </w:p>
    <w:p>
      <w:pPr>
        <w:spacing w:after="0" w:line="131" w:lineRule="exact"/>
        <w:rPr>
          <w:sz w:val="20"/>
          <w:szCs w:val="20"/>
          <w:color w:val="auto"/>
        </w:rPr>
      </w:pPr>
    </w:p>
    <w:p>
      <w:pPr>
        <w:ind w:right="1260"/>
        <w:spacing w:after="0" w:line="227" w:lineRule="auto"/>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8, 10</w:t>
      </w:r>
      <w:r>
        <w:rPr>
          <w:rFonts w:ascii="Arial" w:cs="Arial" w:eastAsia="Arial" w:hAnsi="Arial"/>
          <w:sz w:val="14"/>
          <w:szCs w:val="14"/>
          <w:color w:val="auto"/>
        </w:rPr>
        <w:t xml:space="preserve"> </w:t>
      </w: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4</w:t>
      </w:r>
    </w:p>
    <w:p>
      <w:pPr>
        <w:spacing w:after="0" w:line="204" w:lineRule="auto"/>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8, 10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4</w:t>
      </w:r>
    </w:p>
    <w:p>
      <w:pPr>
        <w:spacing w:after="0" w:line="230" w:lineRule="auto"/>
        <w:rPr>
          <w:sz w:val="20"/>
          <w:szCs w:val="20"/>
          <w:color w:val="auto"/>
        </w:rPr>
      </w:pPr>
      <w:r>
        <w:rPr>
          <w:rFonts w:ascii="Arial" w:cs="Arial" w:eastAsia="Arial" w:hAnsi="Arial"/>
          <w:sz w:val="14"/>
          <w:szCs w:val="14"/>
          <w:color w:val="auto"/>
        </w:rPr>
        <w:t>Gymboree Corporation., The</w:t>
      </w:r>
      <w:r>
        <w:rPr>
          <w:rFonts w:ascii="Arial" w:cs="Arial" w:eastAsia="Arial" w:hAnsi="Arial"/>
          <w:sz w:val="23"/>
          <w:szCs w:val="23"/>
          <w:color w:val="auto"/>
          <w:vertAlign w:val="superscript"/>
        </w:rPr>
        <w:t>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Retail Stores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HMSC Corporation (aka Swett and Crawford)</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Insurance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Hunter Defense Technologies, Inc.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Aerospace and Defense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Iasis Healthcare LLC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Healthcare, Education and Childcare</w:t>
      </w:r>
    </w:p>
    <w:p>
      <w:pPr>
        <w:spacing w:after="0" w:line="134" w:lineRule="exact"/>
        <w:rPr>
          <w:sz w:val="20"/>
          <w:szCs w:val="20"/>
          <w:color w:val="auto"/>
        </w:rPr>
      </w:pPr>
    </w:p>
    <w:p>
      <w:pPr>
        <w:ind w:left="180" w:right="500" w:hanging="161"/>
        <w:spacing w:after="0" w:line="221" w:lineRule="auto"/>
        <w:rPr>
          <w:sz w:val="20"/>
          <w:szCs w:val="20"/>
          <w:color w:val="auto"/>
        </w:rPr>
      </w:pPr>
      <w:r>
        <w:rPr>
          <w:rFonts w:ascii="Arial" w:cs="Arial" w:eastAsia="Arial" w:hAnsi="Arial"/>
          <w:sz w:val="13"/>
          <w:szCs w:val="13"/>
          <w:color w:val="auto"/>
        </w:rPr>
        <w:t>International Architectural Products, Inc.</w:t>
      </w:r>
      <w:r>
        <w:rPr>
          <w:rFonts w:ascii="Arial" w:cs="Arial" w:eastAsia="Arial" w:hAnsi="Arial"/>
          <w:sz w:val="21"/>
          <w:szCs w:val="21"/>
          <w:color w:val="auto"/>
          <w:vertAlign w:val="superscript"/>
        </w:rPr>
        <w:t>8, 10</w:t>
      </w:r>
      <w:r>
        <w:rPr>
          <w:rFonts w:ascii="Arial" w:cs="Arial" w:eastAsia="Arial" w:hAnsi="Arial"/>
          <w:sz w:val="13"/>
          <w:szCs w:val="13"/>
          <w:color w:val="auto"/>
        </w:rPr>
        <w:t xml:space="preserve"> </w:t>
      </w:r>
      <w:r>
        <w:rPr>
          <w:rFonts w:ascii="Arial" w:cs="Arial" w:eastAsia="Arial" w:hAnsi="Arial"/>
          <w:sz w:val="13"/>
          <w:szCs w:val="13"/>
          <w:i w:val="1"/>
          <w:iCs w:val="1"/>
          <w:color w:val="auto"/>
        </w:rPr>
        <w:t>Mining, Steel, Iron and Non-Precious Metals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Jones Stephens Corp.</w:t>
      </w:r>
      <w:r>
        <w:rPr>
          <w:rFonts w:ascii="Arial" w:cs="Arial" w:eastAsia="Arial" w:hAnsi="Arial"/>
          <w:sz w:val="23"/>
          <w:szCs w:val="23"/>
          <w:color w:val="auto"/>
          <w:vertAlign w:val="superscript"/>
        </w:rPr>
        <w:t>10</w:t>
      </w:r>
    </w:p>
    <w:p>
      <w:pPr>
        <w:ind w:left="180" w:right="300"/>
        <w:spacing w:after="0" w:line="237" w:lineRule="auto"/>
        <w:rPr>
          <w:sz w:val="20"/>
          <w:szCs w:val="20"/>
          <w:color w:val="auto"/>
        </w:rPr>
      </w:pPr>
      <w:r>
        <w:rPr>
          <w:rFonts w:ascii="Arial" w:cs="Arial" w:eastAsia="Arial" w:hAnsi="Arial"/>
          <w:sz w:val="14"/>
          <w:szCs w:val="14"/>
          <w:i w:val="1"/>
          <w:iCs w:val="1"/>
          <w:color w:val="auto"/>
        </w:rPr>
        <w:t>Home and Office Furnishings, Housewares, and Durable Consumer Products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KIK Custom Products Inc.</w:t>
      </w:r>
      <w:r>
        <w:rPr>
          <w:rFonts w:ascii="Arial" w:cs="Arial" w:eastAsia="Arial" w:hAnsi="Arial"/>
          <w:sz w:val="23"/>
          <w:szCs w:val="23"/>
          <w:color w:val="auto"/>
          <w:vertAlign w:val="superscript"/>
        </w:rPr>
        <w:t>10</w:t>
      </w:r>
    </w:p>
    <w:p>
      <w:pPr>
        <w:ind w:left="180"/>
        <w:spacing w:after="0" w:line="237" w:lineRule="auto"/>
        <w:rPr>
          <w:sz w:val="20"/>
          <w:szCs w:val="20"/>
          <w:color w:val="auto"/>
        </w:rPr>
      </w:pPr>
      <w:r>
        <w:rPr>
          <w:rFonts w:ascii="Arial" w:cs="Arial" w:eastAsia="Arial" w:hAnsi="Arial"/>
          <w:sz w:val="14"/>
          <w:szCs w:val="14"/>
          <w:i w:val="1"/>
          <w:iCs w:val="1"/>
          <w:color w:val="auto"/>
        </w:rPr>
        <w:t>Personal and Non Durable Consumer Products (Mfg. Only)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Senior Subordinated Bond — Bond</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560" w:type="dxa"/>
            <w:vAlign w:val="bottom"/>
            <w:gridSpan w:val="3"/>
          </w:tcPr>
          <w:p>
            <w:pPr>
              <w:spacing w:after="0"/>
              <w:rPr>
                <w:sz w:val="20"/>
                <w:szCs w:val="20"/>
                <w:color w:val="auto"/>
              </w:rPr>
            </w:pPr>
            <w:r>
              <w:rPr>
                <w:rFonts w:ascii="Arial" w:cs="Arial" w:eastAsia="Arial" w:hAnsi="Arial"/>
                <w:sz w:val="14"/>
                <w:szCs w:val="14"/>
                <w:color w:val="auto"/>
              </w:rPr>
              <w:t>10.1% Cash, Due 12/16</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1,036,000</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1,038,081</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1,064,490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Initial Term Loan (New)</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4.8%</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10/19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1,980,556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2,005,250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First Lien Tranche A Credit-</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Linked Deposit</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7.8%</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6/11</w:t>
            </w:r>
          </w:p>
        </w:tc>
        <w:tc>
          <w:tcPr>
            <w:tcW w:w="2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1,257,143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1,224,101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38,506</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First Lien Tranche B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7.8%</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6/11</w:t>
            </w:r>
          </w:p>
        </w:tc>
        <w:tc>
          <w:tcPr>
            <w:tcW w:w="200" w:type="dxa"/>
            <w:vAlign w:val="bottom"/>
          </w:tcPr>
          <w:p>
            <w:pPr>
              <w:spacing w:after="0"/>
              <w:rPr>
                <w:sz w:val="15"/>
                <w:szCs w:val="15"/>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2,694,857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2,624,028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82,543</w:t>
            </w: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Junior Secured Loan — Loan (Second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560" w:type="dxa"/>
            <w:vAlign w:val="bottom"/>
            <w:gridSpan w:val="3"/>
          </w:tcPr>
          <w:p>
            <w:pPr>
              <w:spacing w:after="0"/>
              <w:rPr>
                <w:sz w:val="20"/>
                <w:szCs w:val="20"/>
                <w:color w:val="auto"/>
              </w:rPr>
            </w:pPr>
            <w:r>
              <w:rPr>
                <w:rFonts w:ascii="Arial" w:cs="Arial" w:eastAsia="Arial" w:hAnsi="Arial"/>
                <w:sz w:val="14"/>
                <w:szCs w:val="14"/>
                <w:color w:val="auto"/>
              </w:rPr>
              <w:t>11.8% Cash, Due 6/12</w:t>
            </w:r>
          </w:p>
        </w:tc>
        <w:tc>
          <w:tcPr>
            <w:tcW w:w="200" w:type="dxa"/>
            <w:vAlign w:val="bottom"/>
          </w:tcPr>
          <w:p>
            <w:pPr>
              <w:spacing w:after="0"/>
              <w:rPr>
                <w:sz w:val="15"/>
                <w:szCs w:val="15"/>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2,715,997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30,015</w:t>
            </w: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5.0%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2/18</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1,421,105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1,355,901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1,312,746</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Junior Secured Loan — Loan (Second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5.7%</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10/14</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5,000,000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4,948,801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4,410,000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Junior Secured Loan — Term Loan (Second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7.0%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2/15</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4,074,074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4,027,935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3,829,630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Unsecured Bond — Bond</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8.4%</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5/19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2,877,729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2,865,000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3"/>
          </w:tcPr>
          <w:p>
            <w:pPr>
              <w:spacing w:after="0"/>
              <w:rPr>
                <w:sz w:val="20"/>
                <w:szCs w:val="20"/>
                <w:color w:val="auto"/>
              </w:rPr>
            </w:pPr>
            <w:r>
              <w:rPr>
                <w:rFonts w:ascii="Arial" w:cs="Arial" w:eastAsia="Arial" w:hAnsi="Arial"/>
                <w:sz w:val="14"/>
                <w:szCs w:val="14"/>
                <w:color w:val="auto"/>
              </w:rPr>
              <w:t>12.0% Cash, Due 5/15</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507,431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480,868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263,864</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7.0%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9/15</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4,280,147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4,280,147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4,280,147</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Junior Secured Loan — Loan (Second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5.3%</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12/14</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5,000,000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3,977,100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-3619500</wp:posOffset>
            </wp:positionV>
            <wp:extent cx="7246620" cy="2146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-3310890</wp:posOffset>
            </wp:positionV>
            <wp:extent cx="7246620" cy="2832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-2933065</wp:posOffset>
            </wp:positionV>
            <wp:extent cx="7246620" cy="2400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-2599055</wp:posOffset>
            </wp:positionV>
            <wp:extent cx="7246620"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-2264410</wp:posOffset>
            </wp:positionV>
            <wp:extent cx="7246620" cy="2146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-1955800</wp:posOffset>
            </wp:positionV>
            <wp:extent cx="7246620" cy="2146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-1646555</wp:posOffset>
            </wp:positionV>
            <wp:extent cx="7246620" cy="2146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-1337945</wp:posOffset>
            </wp:positionV>
            <wp:extent cx="7246620" cy="2146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-1029335</wp:posOffset>
            </wp:positionV>
            <wp:extent cx="7246620" cy="2146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-720725</wp:posOffset>
            </wp:positionV>
            <wp:extent cx="7246620" cy="308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-317500</wp:posOffset>
            </wp:positionV>
            <wp:extent cx="7246620" cy="3086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-3910965</wp:posOffset>
            </wp:positionV>
            <wp:extent cx="7246620" cy="1974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38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260" w:space="300"/>
            <w:col w:w="7760"/>
          </w:cols>
          <w:pgMar w:left="240" w:top="861" w:right="339" w:bottom="1440" w:gutter="0" w:footer="0" w:header="0"/>
        </w:sectPr>
      </w:pPr>
    </w:p>
    <w:bookmarkStart w:id="20" w:name="page21"/>
    <w:bookmarkEnd w:id="20"/>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94" w:lineRule="auto"/>
        <w:rPr>
          <w:sz w:val="20"/>
          <w:szCs w:val="20"/>
          <w:color w:val="auto"/>
        </w:rPr>
      </w:pPr>
      <w:r>
        <w:rPr>
          <w:rFonts w:ascii="Arial" w:cs="Arial" w:eastAsia="Arial" w:hAnsi="Arial"/>
          <w:sz w:val="14"/>
          <w:szCs w:val="14"/>
          <w:color w:val="auto"/>
        </w:rPr>
        <w:t>LBREP/L-Suncal Master I LLC</w:t>
      </w:r>
      <w:r>
        <w:rPr>
          <w:rFonts w:ascii="Arial" w:cs="Arial" w:eastAsia="Arial" w:hAnsi="Arial"/>
          <w:sz w:val="23"/>
          <w:szCs w:val="23"/>
          <w:color w:val="auto"/>
          <w:vertAlign w:val="superscript"/>
        </w:rPr>
        <w:t>8, 10</w:t>
      </w:r>
    </w:p>
    <w:p>
      <w:pPr>
        <w:ind w:left="180"/>
        <w:spacing w:after="0"/>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4</w:t>
      </w:r>
    </w:p>
    <w:p>
      <w:pPr>
        <w:spacing w:after="0" w:line="230" w:lineRule="auto"/>
        <w:rPr>
          <w:sz w:val="20"/>
          <w:szCs w:val="20"/>
          <w:color w:val="auto"/>
        </w:rPr>
      </w:pPr>
      <w:r>
        <w:rPr>
          <w:rFonts w:ascii="Arial" w:cs="Arial" w:eastAsia="Arial" w:hAnsi="Arial"/>
          <w:sz w:val="14"/>
          <w:szCs w:val="14"/>
          <w:color w:val="auto"/>
        </w:rPr>
        <w:t>Legacy Cabinets, Inc.</w:t>
      </w:r>
      <w:r>
        <w:rPr>
          <w:rFonts w:ascii="Arial" w:cs="Arial" w:eastAsia="Arial" w:hAnsi="Arial"/>
          <w:sz w:val="23"/>
          <w:szCs w:val="23"/>
          <w:color w:val="auto"/>
          <w:vertAlign w:val="superscript"/>
        </w:rPr>
        <w:t>10</w:t>
      </w:r>
    </w:p>
    <w:p>
      <w:pPr>
        <w:spacing w:after="0" w:line="1" w:lineRule="exact"/>
        <w:rPr>
          <w:sz w:val="20"/>
          <w:szCs w:val="20"/>
          <w:color w:val="auto"/>
        </w:rPr>
      </w:pPr>
    </w:p>
    <w:p>
      <w:pPr>
        <w:ind w:left="180" w:right="260"/>
        <w:spacing w:after="0" w:line="237" w:lineRule="auto"/>
        <w:rPr>
          <w:sz w:val="20"/>
          <w:szCs w:val="20"/>
          <w:color w:val="auto"/>
        </w:rPr>
      </w:pPr>
      <w:r>
        <w:rPr>
          <w:rFonts w:ascii="Arial" w:cs="Arial" w:eastAsia="Arial" w:hAnsi="Arial"/>
          <w:sz w:val="14"/>
          <w:szCs w:val="14"/>
          <w:i w:val="1"/>
          <w:iCs w:val="1"/>
          <w:color w:val="auto"/>
        </w:rPr>
        <w:t>Home and Office Furnishings, Housewares, and Durable Consumer Products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Lord &amp; Taylor Holdings LLC (LT Propco LLC)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Retail Stores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Merisant Company</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124" w:lineRule="exact"/>
        <w:rPr>
          <w:sz w:val="20"/>
          <w:szCs w:val="20"/>
          <w:color w:val="auto"/>
        </w:rPr>
      </w:pPr>
    </w:p>
    <w:p>
      <w:pPr>
        <w:ind w:right="140"/>
        <w:spacing w:after="0" w:line="197" w:lineRule="auto"/>
        <w:rPr>
          <w:sz w:val="20"/>
          <w:szCs w:val="20"/>
          <w:color w:val="auto"/>
        </w:rPr>
      </w:pPr>
      <w:r>
        <w:rPr>
          <w:rFonts w:ascii="Arial" w:cs="Arial" w:eastAsia="Arial" w:hAnsi="Arial"/>
          <w:sz w:val="14"/>
          <w:szCs w:val="14"/>
          <w:color w:val="auto"/>
        </w:rPr>
        <w:t>Michael Foods Group, Inc. (f/k/a M-Foods Holdings, Inc.)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Neiman Marcus Group Inc., The</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Retail Stores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Pegasus Solutions, Inc.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2"/>
          <w:szCs w:val="12"/>
          <w:i w:val="1"/>
          <w:iCs w:val="1"/>
          <w:color w:val="auto"/>
        </w:rPr>
        <w:t>Leisure, Amusement, Motion Pictures, Entertainment</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Perseus Holding Corp.</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2"/>
          <w:szCs w:val="12"/>
          <w:i w:val="1"/>
          <w:iCs w:val="1"/>
          <w:color w:val="auto"/>
        </w:rPr>
        <w:t>Leisure, Amusement, Motion Pictures, Entertainment</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PetCo Animal Supplies, Inc.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Retail Stores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Pinnacle Foods Finance LLC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Pinnacle Foods Finance LLC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TPF Generation Holdings, LLC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Utilities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Senior Secured Loan — Term Loan (First Lien)</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7.5%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1/10</w:t>
            </w:r>
          </w:p>
        </w:tc>
        <w:tc>
          <w:tcPr>
            <w:tcW w:w="200" w:type="dxa"/>
            <w:vAlign w:val="bottom"/>
            <w:vMerge w:val="restart"/>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3,345,759</w:t>
            </w:r>
          </w:p>
        </w:tc>
        <w:tc>
          <w:tcPr>
            <w:tcW w:w="3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3,345,759</w:t>
            </w: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303,460</w:t>
            </w: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1.0%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6.3% PIK, Due 5/14</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524,571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463,380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447,040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5.8%</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430,951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439,877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436,002</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7.5%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1/14</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4,547,032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4,538,541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4,547,032</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B Facility</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4.3%</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2/18</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1,825,626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1,828,589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1,838,934</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4.8%</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5/18</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1,985,894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2,005,800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w w:val="96"/>
              </w:rPr>
              <w:t>Senior Subordinated Bond — Senior Subordinated Second</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Lien PIK Notes</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60" w:type="dxa"/>
            <w:vAlign w:val="bottom"/>
            <w:gridSpan w:val="3"/>
          </w:tcPr>
          <w:p>
            <w:pPr>
              <w:spacing w:after="0"/>
              <w:rPr>
                <w:sz w:val="20"/>
                <w:szCs w:val="20"/>
                <w:color w:val="auto"/>
              </w:rPr>
            </w:pPr>
            <w:r>
              <w:rPr>
                <w:rFonts w:ascii="Arial" w:cs="Arial" w:eastAsia="Arial" w:hAnsi="Arial"/>
                <w:sz w:val="14"/>
                <w:szCs w:val="14"/>
                <w:color w:val="auto"/>
              </w:rPr>
              <w:t>13.0% PIK, Due 4/14</w:t>
            </w:r>
          </w:p>
        </w:tc>
        <w:tc>
          <w:tcPr>
            <w:tcW w:w="2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1,691,007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1,691,007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1,671,391</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Preferred Stock — Preferred Stock</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3"/>
          </w:tcPr>
          <w:p>
            <w:pPr>
              <w:spacing w:after="0"/>
              <w:rPr>
                <w:sz w:val="20"/>
                <w:szCs w:val="20"/>
                <w:color w:val="auto"/>
              </w:rPr>
            </w:pPr>
            <w:r>
              <w:rPr>
                <w:rFonts w:ascii="Arial" w:cs="Arial" w:eastAsia="Arial" w:hAnsi="Arial"/>
                <w:sz w:val="14"/>
                <w:szCs w:val="14"/>
                <w:color w:val="auto"/>
              </w:rPr>
              <w:t>14.0% PIK, Due 4/14</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371,160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New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11/17</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2,018,220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Extended Initial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3.7%</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10/16</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293,014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293,014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295,025</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Extended Initial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3.7%</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10/16</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1,989,975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1,988,656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2,003,636</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w w:val="99"/>
              </w:rPr>
              <w:t>Senior Secured Loan — Synthetic LC Deposit (First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2.3%</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12/13</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169,532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169,280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169,956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-3568065</wp:posOffset>
            </wp:positionV>
            <wp:extent cx="7246620" cy="3086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-3164840</wp:posOffset>
            </wp:positionV>
            <wp:extent cx="7246620" cy="2146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-2856230</wp:posOffset>
            </wp:positionV>
            <wp:extent cx="7246620" cy="2146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-2547620</wp:posOffset>
            </wp:positionV>
            <wp:extent cx="7246620" cy="3086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-2144395</wp:posOffset>
            </wp:positionV>
            <wp:extent cx="7246620" cy="2146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-1835785</wp:posOffset>
            </wp:positionV>
            <wp:extent cx="7246620" cy="2832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-1457960</wp:posOffset>
            </wp:positionV>
            <wp:extent cx="7246620" cy="2146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-1149350</wp:posOffset>
            </wp:positionV>
            <wp:extent cx="7246620" cy="2146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-840740</wp:posOffset>
            </wp:positionV>
            <wp:extent cx="7246620" cy="214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-532130</wp:posOffset>
            </wp:positionV>
            <wp:extent cx="7246620" cy="2146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-223520</wp:posOffset>
            </wp:positionV>
            <wp:extent cx="7246620" cy="2146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-3910965</wp:posOffset>
            </wp:positionV>
            <wp:extent cx="7246620" cy="2489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38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220" w:space="340"/>
            <w:col w:w="7760"/>
          </w:cols>
          <w:pgMar w:left="240" w:top="861" w:right="339" w:bottom="1440" w:gutter="0" w:footer="0" w:header="0"/>
        </w:sectPr>
      </w:pPr>
    </w:p>
    <w:bookmarkStart w:id="21" w:name="page22"/>
    <w:bookmarkEnd w:id="21"/>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TriZetto Group, Inc. (TZ Merger Sub, Inc.)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Electronics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TRSO I, Inc.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Oil and Gas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TUI University, LLC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Healthcare, Education and Childcare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TWCC Holding Corp.</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Broadcasting and Entertainment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Univar Inc.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Chemicals, Plastics and Rubber</w:t>
      </w:r>
    </w:p>
    <w:p>
      <w:pPr>
        <w:spacing w:after="0" w:line="134" w:lineRule="exact"/>
        <w:rPr>
          <w:sz w:val="20"/>
          <w:szCs w:val="20"/>
          <w:color w:val="auto"/>
        </w:rPr>
      </w:pPr>
    </w:p>
    <w:p>
      <w:pPr>
        <w:ind w:left="180" w:right="600" w:hanging="161"/>
        <w:spacing w:after="0" w:line="248" w:lineRule="auto"/>
        <w:rPr>
          <w:sz w:val="20"/>
          <w:szCs w:val="20"/>
          <w:color w:val="auto"/>
        </w:rPr>
      </w:pPr>
      <w:r>
        <w:rPr>
          <w:rFonts w:ascii="Arial" w:cs="Arial" w:eastAsia="Arial" w:hAnsi="Arial"/>
          <w:sz w:val="12"/>
          <w:szCs w:val="12"/>
          <w:color w:val="auto"/>
        </w:rPr>
        <w:t>US Foods, Inc. (aka U.S. Foodservice, Inc.)</w:t>
      </w:r>
      <w:r>
        <w:rPr>
          <w:rFonts w:ascii="Arial" w:cs="Arial" w:eastAsia="Arial" w:hAnsi="Arial"/>
          <w:sz w:val="19"/>
          <w:szCs w:val="19"/>
          <w:color w:val="auto"/>
          <w:vertAlign w:val="superscript"/>
        </w:rPr>
        <w:t>10</w:t>
      </w:r>
      <w:r>
        <w:rPr>
          <w:rFonts w:ascii="Arial" w:cs="Arial" w:eastAsia="Arial" w:hAnsi="Arial"/>
          <w:sz w:val="12"/>
          <w:szCs w:val="12"/>
          <w:color w:val="auto"/>
        </w:rPr>
        <w:t xml:space="preserve"> </w:t>
      </w:r>
      <w:r>
        <w:rPr>
          <w:rFonts w:ascii="Arial" w:cs="Arial" w:eastAsia="Arial" w:hAnsi="Arial"/>
          <w:sz w:val="12"/>
          <w:szCs w:val="12"/>
          <w:i w:val="1"/>
          <w:iCs w:val="1"/>
          <w:color w:val="auto"/>
        </w:rPr>
        <w:t>Personal, Food and Miscellaneous Services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Vertafore, Inc.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Electronics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Wholesome Sweeteners, Inc.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WireCo WorldGroup Inc. </w:t>
      </w:r>
      <w:r>
        <w:rPr>
          <w:rFonts w:ascii="Arial" w:cs="Arial" w:eastAsia="Arial" w:hAnsi="Arial"/>
          <w:sz w:val="23"/>
          <w:szCs w:val="23"/>
          <w:color w:val="auto"/>
          <w:vertAlign w:val="superscript"/>
        </w:rPr>
        <w:t>10</w:t>
      </w:r>
    </w:p>
    <w:p>
      <w:pPr>
        <w:ind w:left="180"/>
        <w:spacing w:after="0" w:line="237" w:lineRule="auto"/>
        <w:rPr>
          <w:sz w:val="20"/>
          <w:szCs w:val="20"/>
          <w:color w:val="auto"/>
        </w:rPr>
      </w:pPr>
      <w:r>
        <w:rPr>
          <w:rFonts w:ascii="Arial" w:cs="Arial" w:eastAsia="Arial" w:hAnsi="Arial"/>
          <w:sz w:val="14"/>
          <w:szCs w:val="14"/>
          <w:i w:val="1"/>
          <w:iCs w:val="1"/>
          <w:color w:val="auto"/>
        </w:rPr>
        <w:t>Machinery (Non-Agriculture, Non-Construction, Non-Electronic)</w:t>
      </w:r>
    </w:p>
    <w:p>
      <w:pPr>
        <w:spacing w:after="0" w:line="152" w:lineRule="exact"/>
        <w:rPr>
          <w:sz w:val="20"/>
          <w:szCs w:val="20"/>
          <w:color w:val="auto"/>
        </w:rPr>
      </w:pPr>
    </w:p>
    <w:p>
      <w:pPr>
        <w:ind w:left="180" w:right="880" w:hanging="161"/>
        <w:spacing w:after="0" w:line="297" w:lineRule="auto"/>
        <w:rPr>
          <w:sz w:val="20"/>
          <w:szCs w:val="20"/>
          <w:color w:val="auto"/>
        </w:rPr>
      </w:pPr>
      <w:r>
        <w:rPr>
          <w:rFonts w:ascii="Arial" w:cs="Arial" w:eastAsia="Arial" w:hAnsi="Arial"/>
          <w:sz w:val="13"/>
          <w:szCs w:val="13"/>
          <w:b w:val="1"/>
          <w:bCs w:val="1"/>
          <w:color w:val="auto"/>
        </w:rPr>
        <w:t>Total Investment in Debt Securities (53%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 w:type="dxa"/>
            <w:vAlign w:val="bottom"/>
          </w:tcPr>
          <w:p>
            <w:pPr>
              <w:spacing w:after="0"/>
              <w:rPr>
                <w:sz w:val="10"/>
                <w:szCs w:val="10"/>
                <w:color w:val="auto"/>
              </w:rPr>
            </w:pPr>
          </w:p>
        </w:tc>
        <w:tc>
          <w:tcPr>
            <w:tcW w:w="34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4.8% Cash, Due 5/18</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1,959,860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1,951,082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1,948,013</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Junior Secured Loan — Term Loan (Second Lien)</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11.0% Cash, Due 12/17</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10,400,000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10,192,913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10,192,000</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Senior Secured Loan — Term Loan (First Lien)</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7.3% Cash, , Due 10/14</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2,051,442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2,024,477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1,751,521</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4.3% Cash, Due 2/17</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1,966,350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1,978,846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1,990,930</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Senior Secured Loan — Term B Loan</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5.0% Cash, Due 6/17</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2,954,773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2,954,773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2,950,577</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Senior Secured Loan — Extended Term Loan</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5.8% Cash, Due 3/17</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1,978,284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1,932,524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1,983,536</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Senior Secured Loan — Term Loan (First Lien)</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5.3% Cash, Due 7/16</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1,237,381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1,232,977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1,250,275</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Junior Secured Loan — Subordinated Note (Second Lien)</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14.0% Cash, Due 10/17</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6,648,596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6,605,857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6,715,082</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Senior Unsecured Bond — Bond</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11.8% Cash, Due 5/17</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8,000,000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7,920,733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8,320,000</w:t>
            </w: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80" w:type="dxa"/>
            <w:vAlign w:val="bottom"/>
            <w:gridSpan w:val="4"/>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136,283,876</w:t>
            </w: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134,377,151</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111,037,882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-2795270</wp:posOffset>
            </wp:positionV>
            <wp:extent cx="7246620" cy="2146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-2486660</wp:posOffset>
            </wp:positionV>
            <wp:extent cx="7246620" cy="2146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-2177415</wp:posOffset>
            </wp:positionV>
            <wp:extent cx="7246620" cy="2146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-1868805</wp:posOffset>
            </wp:positionV>
            <wp:extent cx="7246620" cy="2146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-1560195</wp:posOffset>
            </wp:positionV>
            <wp:extent cx="7246620" cy="2146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-1251585</wp:posOffset>
            </wp:positionV>
            <wp:extent cx="7246620" cy="2146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-942975</wp:posOffset>
            </wp:positionV>
            <wp:extent cx="7246620" cy="2146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-633730</wp:posOffset>
            </wp:positionV>
            <wp:extent cx="7246620" cy="3175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-205105</wp:posOffset>
            </wp:positionV>
            <wp:extent cx="7246620" cy="1974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-3112135</wp:posOffset>
            </wp:positionV>
            <wp:extent cx="7246620" cy="2228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98"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300" w:space="140"/>
            <w:col w:w="7980"/>
          </w:cols>
          <w:pgMar w:left="240" w:top="86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Equity Securities Portfolio</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76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Percentage</w:t>
            </w: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120" w:type="dxa"/>
            <w:vAlign w:val="bottom"/>
            <w:gridSpan w:val="3"/>
            <w:vMerge w:val="continue"/>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17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Interest/Shares</w:t>
            </w: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80" w:type="dxa"/>
            <w:vAlign w:val="bottom"/>
            <w:tcBorders>
              <w:top w:val="single" w:sz="8" w:color="auto"/>
            </w:tcBorders>
            <w:shd w:val="clear" w:color="auto" w:fill="CCFFCC"/>
          </w:tcPr>
          <w:p>
            <w:pPr>
              <w:spacing w:after="0" w:line="164"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8"/>
                <w:szCs w:val="18"/>
                <w:color w:val="auto"/>
                <w:vertAlign w:val="superscript"/>
              </w:rPr>
              <w:t>6, 10</w:t>
            </w:r>
          </w:p>
        </w:tc>
        <w:tc>
          <w:tcPr>
            <w:tcW w:w="120" w:type="dxa"/>
            <w:vAlign w:val="bottom"/>
            <w:tcBorders>
              <w:top w:val="single" w:sz="8" w:color="CCFFCC"/>
            </w:tcBorders>
            <w:shd w:val="clear" w:color="auto" w:fill="CCFFCC"/>
          </w:tcPr>
          <w:p>
            <w:pPr>
              <w:spacing w:after="0"/>
              <w:rPr>
                <w:sz w:val="14"/>
                <w:szCs w:val="14"/>
                <w:color w:val="auto"/>
              </w:rPr>
            </w:pPr>
          </w:p>
        </w:tc>
        <w:tc>
          <w:tcPr>
            <w:tcW w:w="28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4"/>
                <w:szCs w:val="14"/>
                <w:color w:val="auto"/>
              </w:rPr>
              <w:t>Partnership Interests</w:t>
            </w:r>
          </w:p>
        </w:tc>
        <w:tc>
          <w:tcPr>
            <w:tcW w:w="120" w:type="dxa"/>
            <w:vAlign w:val="bottom"/>
            <w:tcBorders>
              <w:top w:val="single" w:sz="8" w:color="CCFFCC"/>
            </w:tcBorders>
            <w:shd w:val="clear" w:color="auto" w:fill="CCFFCC"/>
          </w:tcPr>
          <w:p>
            <w:pPr>
              <w:spacing w:after="0"/>
              <w:rPr>
                <w:sz w:val="14"/>
                <w:szCs w:val="14"/>
                <w:color w:val="auto"/>
              </w:rPr>
            </w:pPr>
          </w:p>
        </w:tc>
        <w:tc>
          <w:tcPr>
            <w:tcW w:w="1260" w:type="dxa"/>
            <w:vAlign w:val="bottom"/>
            <w:tcBorders>
              <w:top w:val="single" w:sz="8" w:color="auto"/>
            </w:tcBorders>
            <w:shd w:val="clear" w:color="auto" w:fill="CCFFCC"/>
          </w:tcPr>
          <w:p>
            <w:pPr>
              <w:spacing w:after="0"/>
              <w:rPr>
                <w:sz w:val="14"/>
                <w:szCs w:val="14"/>
                <w:color w:val="auto"/>
              </w:rPr>
            </w:pPr>
          </w:p>
        </w:tc>
        <w:tc>
          <w:tcPr>
            <w:tcW w:w="240" w:type="dxa"/>
            <w:vAlign w:val="bottom"/>
            <w:tcBorders>
              <w:top w:val="single" w:sz="8" w:color="CCFFCC"/>
            </w:tcBorders>
            <w:shd w:val="clear" w:color="auto" w:fill="CCFFCC"/>
          </w:tcPr>
          <w:p>
            <w:pPr>
              <w:spacing w:after="0"/>
              <w:rPr>
                <w:sz w:val="14"/>
                <w:szCs w:val="14"/>
                <w:color w:val="auto"/>
              </w:rPr>
            </w:pPr>
          </w:p>
        </w:tc>
        <w:tc>
          <w:tcPr>
            <w:tcW w:w="260" w:type="dxa"/>
            <w:vAlign w:val="bottom"/>
            <w:tcBorders>
              <w:top w:val="single" w:sz="8" w:color="auto"/>
            </w:tcBorders>
            <w:shd w:val="clear" w:color="auto" w:fill="CCFFCC"/>
          </w:tcPr>
          <w:p>
            <w:pPr>
              <w:spacing w:after="0"/>
              <w:rPr>
                <w:sz w:val="14"/>
                <w:szCs w:val="14"/>
                <w:color w:val="auto"/>
              </w:rPr>
            </w:pPr>
          </w:p>
        </w:tc>
        <w:tc>
          <w:tcPr>
            <w:tcW w:w="98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260" w:type="dxa"/>
            <w:vAlign w:val="bottom"/>
            <w:tcBorders>
              <w:top w:val="single" w:sz="8" w:color="auto"/>
            </w:tcBorders>
            <w:shd w:val="clear" w:color="auto" w:fill="CCFFCC"/>
          </w:tcPr>
          <w:p>
            <w:pPr>
              <w:spacing w:after="0"/>
              <w:rPr>
                <w:sz w:val="14"/>
                <w:szCs w:val="14"/>
                <w:color w:val="auto"/>
              </w:rPr>
            </w:pPr>
          </w:p>
        </w:tc>
        <w:tc>
          <w:tcPr>
            <w:tcW w:w="100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Aerospace and Defense</w:t>
            </w:r>
          </w:p>
        </w:tc>
        <w:tc>
          <w:tcPr>
            <w:tcW w:w="2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76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1.2%  $</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1,000,000</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9"/>
                <w:szCs w:val="19"/>
                <w:color w:val="auto"/>
                <w:vertAlign w:val="superscript"/>
              </w:rPr>
              <w:t>6, 10</w:t>
            </w:r>
          </w:p>
        </w:tc>
        <w:tc>
          <w:tcPr>
            <w:tcW w:w="30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Series A Preferred Interests</w:t>
            </w:r>
          </w:p>
        </w:tc>
        <w:tc>
          <w:tcPr>
            <w:tcW w:w="12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Aerospace and Defense</w:t>
            </w:r>
          </w:p>
        </w:tc>
        <w:tc>
          <w:tcPr>
            <w:tcW w:w="2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250,961</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44,112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6, 10</w:t>
            </w:r>
          </w:p>
        </w:tc>
        <w:tc>
          <w:tcPr>
            <w:tcW w:w="30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2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Diversified/Conglomerate Service</w:t>
            </w:r>
          </w:p>
        </w:tc>
        <w:tc>
          <w:tcPr>
            <w:tcW w:w="2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218,592</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6, 10</w:t>
            </w:r>
          </w:p>
        </w:tc>
        <w:tc>
          <w:tcPr>
            <w:tcW w:w="30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Warrants</w:t>
            </w:r>
          </w:p>
        </w:tc>
        <w:tc>
          <w:tcPr>
            <w:tcW w:w="12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Diversified/Conglomerate Service</w:t>
            </w:r>
          </w:p>
        </w:tc>
        <w:tc>
          <w:tcPr>
            <w:tcW w:w="2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0.1%</w:t>
            </w: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100" w:type="dxa"/>
            <w:vAlign w:val="bottom"/>
            <w:gridSpan w:val="2"/>
            <w:shd w:val="clear" w:color="auto" w:fill="CCFFCC"/>
          </w:tcPr>
          <w:p>
            <w:pPr>
              <w:spacing w:after="0" w:line="181" w:lineRule="exact"/>
              <w:rPr>
                <w:sz w:val="20"/>
                <w:szCs w:val="20"/>
                <w:color w:val="auto"/>
              </w:rPr>
            </w:pPr>
            <w:r>
              <w:rPr>
                <w:rFonts w:ascii="Arial" w:cs="Arial" w:eastAsia="Arial" w:hAnsi="Arial"/>
                <w:sz w:val="13"/>
                <w:szCs w:val="13"/>
                <w:color w:val="auto"/>
              </w:rPr>
              <w:t>Coastal Concrete Holding II, LLC</w:t>
            </w:r>
            <w:r>
              <w:rPr>
                <w:rFonts w:ascii="Arial" w:cs="Arial" w:eastAsia="Arial" w:hAnsi="Arial"/>
                <w:sz w:val="20"/>
                <w:szCs w:val="20"/>
                <w:color w:val="auto"/>
                <w:vertAlign w:val="superscript"/>
              </w:rPr>
              <w:t>6, 10</w:t>
            </w:r>
          </w:p>
        </w:tc>
        <w:tc>
          <w:tcPr>
            <w:tcW w:w="30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Class A Units</w:t>
            </w:r>
          </w:p>
        </w:tc>
        <w:tc>
          <w:tcPr>
            <w:tcW w:w="126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gridSpan w:val="2"/>
            <w:shd w:val="clear" w:color="auto" w:fill="CCFFCC"/>
          </w:tcPr>
          <w:p>
            <w:pPr>
              <w:ind w:left="160"/>
              <w:spacing w:after="0" w:line="198" w:lineRule="exact"/>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2"/>
                <w:szCs w:val="22"/>
                <w:color w:val="auto"/>
                <w:vertAlign w:val="superscript"/>
              </w:rPr>
              <w:t>4</w:t>
            </w:r>
          </w:p>
        </w:tc>
        <w:tc>
          <w:tcPr>
            <w:tcW w:w="28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10.8%</w:t>
            </w:r>
          </w:p>
        </w:tc>
        <w:tc>
          <w:tcPr>
            <w:tcW w:w="26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8,625,626</w:t>
            </w: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eInstruction Acquisition, LLC</w:t>
            </w:r>
            <w:r>
              <w:rPr>
                <w:rFonts w:ascii="Arial" w:cs="Arial" w:eastAsia="Arial" w:hAnsi="Arial"/>
                <w:sz w:val="19"/>
                <w:szCs w:val="19"/>
                <w:color w:val="auto"/>
                <w:vertAlign w:val="superscript"/>
              </w:rPr>
              <w:t>6, 10</w:t>
            </w:r>
          </w:p>
        </w:tc>
        <w:tc>
          <w:tcPr>
            <w:tcW w:w="30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Membership Units</w:t>
            </w:r>
          </w:p>
        </w:tc>
        <w:tc>
          <w:tcPr>
            <w:tcW w:w="12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Healthcare, Education and Childcare</w:t>
            </w:r>
          </w:p>
        </w:tc>
        <w:tc>
          <w:tcPr>
            <w:tcW w:w="2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w:t>
            </w: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1,079,617</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FP WRCA Coinvestment Fund VII, Ltd.</w:t>
            </w:r>
            <w:r>
              <w:rPr>
                <w:rFonts w:ascii="Arial" w:cs="Arial" w:eastAsia="Arial" w:hAnsi="Arial"/>
                <w:sz w:val="19"/>
                <w:szCs w:val="19"/>
                <w:color w:val="auto"/>
                <w:vertAlign w:val="superscript"/>
              </w:rPr>
              <w:t>3, 6,</w:t>
            </w:r>
          </w:p>
        </w:tc>
        <w:tc>
          <w:tcPr>
            <w:tcW w:w="30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Class A Shares</w:t>
            </w:r>
          </w:p>
        </w:tc>
        <w:tc>
          <w:tcPr>
            <w:tcW w:w="12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Machinery (Non-Agriculture, Non-Construction, Non-Electronic)</w:t>
            </w:r>
          </w:p>
        </w:tc>
        <w:tc>
          <w:tcPr>
            <w:tcW w:w="2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5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1,500</w:t>
            </w: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1,500,000</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1,961,550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International Architectural Products, Inc.</w:t>
            </w:r>
            <w:r>
              <w:rPr>
                <w:rFonts w:ascii="Arial" w:cs="Arial" w:eastAsia="Arial" w:hAnsi="Arial"/>
                <w:sz w:val="19"/>
                <w:szCs w:val="19"/>
                <w:color w:val="auto"/>
                <w:vertAlign w:val="superscript"/>
              </w:rPr>
              <w:t>6, 10</w:t>
            </w:r>
          </w:p>
        </w:tc>
        <w:tc>
          <w:tcPr>
            <w:tcW w:w="30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2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Mining, Steel, Iron and Non-Precious Metals</w:t>
            </w:r>
          </w:p>
        </w:tc>
        <w:tc>
          <w:tcPr>
            <w:tcW w:w="2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2.5%</w:t>
            </w: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292,851</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Legacy Cabinets, Inc.</w:t>
            </w:r>
            <w:r>
              <w:rPr>
                <w:rFonts w:ascii="Arial" w:cs="Arial" w:eastAsia="Arial" w:hAnsi="Arial"/>
                <w:sz w:val="19"/>
                <w:szCs w:val="19"/>
                <w:color w:val="auto"/>
                <w:vertAlign w:val="superscript"/>
              </w:rPr>
              <w:t>6, 10</w:t>
            </w:r>
          </w:p>
        </w:tc>
        <w:tc>
          <w:tcPr>
            <w:tcW w:w="30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Equity</w:t>
            </w:r>
          </w:p>
        </w:tc>
        <w:tc>
          <w:tcPr>
            <w:tcW w:w="12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i w:val="1"/>
                <w:iCs w:val="1"/>
                <w:color w:val="auto"/>
              </w:rPr>
              <w:t>Home and Office Furnishings, Housewares, and Durable</w:t>
            </w:r>
          </w:p>
        </w:tc>
        <w:tc>
          <w:tcPr>
            <w:tcW w:w="28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Consumer Products</w:t>
            </w:r>
          </w:p>
        </w:tc>
        <w:tc>
          <w:tcPr>
            <w:tcW w:w="2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4.0%</w:t>
            </w: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115,580</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Perseus Holding Corp.</w:t>
            </w:r>
            <w:r>
              <w:rPr>
                <w:rFonts w:ascii="Arial" w:cs="Arial" w:eastAsia="Arial" w:hAnsi="Arial"/>
                <w:sz w:val="19"/>
                <w:szCs w:val="19"/>
                <w:color w:val="auto"/>
                <w:vertAlign w:val="superscript"/>
              </w:rPr>
              <w:t>6, 10</w:t>
            </w:r>
          </w:p>
        </w:tc>
        <w:tc>
          <w:tcPr>
            <w:tcW w:w="30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2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Leisure, Amusement, Motion Pictures, Entertainment</w:t>
            </w:r>
          </w:p>
        </w:tc>
        <w:tc>
          <w:tcPr>
            <w:tcW w:w="2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0.2%</w:t>
            </w: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400,000</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10,930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Plumbing Holdings Corporation</w:t>
            </w:r>
            <w:r>
              <w:rPr>
                <w:rFonts w:ascii="Arial" w:cs="Arial" w:eastAsia="Arial" w:hAnsi="Arial"/>
                <w:sz w:val="19"/>
                <w:szCs w:val="19"/>
                <w:color w:val="auto"/>
                <w:vertAlign w:val="superscript"/>
              </w:rPr>
              <w:t>6, 10</w:t>
            </w:r>
          </w:p>
        </w:tc>
        <w:tc>
          <w:tcPr>
            <w:tcW w:w="30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2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i w:val="1"/>
                <w:iCs w:val="1"/>
                <w:color w:val="auto"/>
              </w:rPr>
              <w:t>Home and Office Furnishings, Housewares, and Durable</w:t>
            </w:r>
          </w:p>
        </w:tc>
        <w:tc>
          <w:tcPr>
            <w:tcW w:w="28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ind w:left="160"/>
              <w:spacing w:after="0"/>
              <w:rPr>
                <w:sz w:val="20"/>
                <w:szCs w:val="20"/>
                <w:color w:val="auto"/>
              </w:rPr>
            </w:pPr>
            <w:r>
              <w:rPr>
                <w:rFonts w:ascii="Arial" w:cs="Arial" w:eastAsia="Arial" w:hAnsi="Arial"/>
                <w:sz w:val="14"/>
                <w:szCs w:val="14"/>
                <w:i w:val="1"/>
                <w:iCs w:val="1"/>
                <w:color w:val="auto"/>
              </w:rPr>
              <w:t>Consumer Products</w:t>
            </w:r>
          </w:p>
        </w:tc>
        <w:tc>
          <w:tcPr>
            <w:tcW w:w="2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7.8%</w:t>
            </w: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644,937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p>
      <w:pPr>
        <w:spacing w:after="0" w:line="161" w:lineRule="exact"/>
        <w:rPr>
          <w:sz w:val="20"/>
          <w:szCs w:val="20"/>
          <w:color w:val="auto"/>
        </w:rPr>
      </w:pPr>
    </w:p>
    <w:p>
      <w:pPr>
        <w:ind w:right="1820"/>
        <w:spacing w:after="0" w:line="225" w:lineRule="auto"/>
        <w:rPr>
          <w:sz w:val="20"/>
          <w:szCs w:val="20"/>
          <w:color w:val="auto"/>
        </w:rPr>
      </w:pPr>
      <w:r>
        <w:rPr>
          <w:rFonts w:ascii="Arial" w:cs="Arial" w:eastAsia="Arial" w:hAnsi="Arial"/>
          <w:sz w:val="13"/>
          <w:szCs w:val="13"/>
          <w:b w:val="1"/>
          <w:bCs w:val="1"/>
          <w:color w:val="auto"/>
        </w:rPr>
        <w:t xml:space="preserve">Portfolio Company / Principal Business </w:t>
      </w:r>
      <w:r>
        <w:rPr>
          <w:rFonts w:ascii="Arial" w:cs="Arial" w:eastAsia="Arial" w:hAnsi="Arial"/>
          <w:sz w:val="13"/>
          <w:szCs w:val="13"/>
          <w:color w:val="auto"/>
        </w:rPr>
        <w:t>Plumbing Holdings Corporation</w:t>
      </w:r>
      <w:r>
        <w:rPr>
          <w:rFonts w:ascii="Arial" w:cs="Arial" w:eastAsia="Arial" w:hAnsi="Arial"/>
          <w:sz w:val="21"/>
          <w:szCs w:val="21"/>
          <w:color w:val="auto"/>
          <w:vertAlign w:val="superscript"/>
        </w:rPr>
        <w:t>6, 10</w:t>
      </w:r>
    </w:p>
    <w:p>
      <w:pPr>
        <w:spacing w:after="0" w:line="1" w:lineRule="exact"/>
        <w:rPr>
          <w:sz w:val="20"/>
          <w:szCs w:val="20"/>
          <w:color w:val="auto"/>
        </w:rPr>
      </w:pPr>
    </w:p>
    <w:p>
      <w:pPr>
        <w:ind w:left="180" w:right="160"/>
        <w:spacing w:after="0" w:line="237" w:lineRule="auto"/>
        <w:rPr>
          <w:sz w:val="20"/>
          <w:szCs w:val="20"/>
          <w:color w:val="auto"/>
        </w:rPr>
      </w:pPr>
      <w:r>
        <w:rPr>
          <w:rFonts w:ascii="Arial" w:cs="Arial" w:eastAsia="Arial" w:hAnsi="Arial"/>
          <w:sz w:val="14"/>
          <w:szCs w:val="14"/>
          <w:i w:val="1"/>
          <w:iCs w:val="1"/>
          <w:color w:val="auto"/>
        </w:rPr>
        <w:t>Home and Office Furnishings, Housewares, and Durable Consumer Products</w:t>
      </w:r>
    </w:p>
    <w:p>
      <w:pPr>
        <w:spacing w:after="0" w:line="126" w:lineRule="exact"/>
        <w:rPr>
          <w:sz w:val="20"/>
          <w:szCs w:val="20"/>
          <w:color w:val="auto"/>
        </w:rPr>
      </w:pPr>
    </w:p>
    <w:p>
      <w:pPr>
        <w:ind w:left="180" w:hanging="161"/>
        <w:spacing w:after="0" w:line="203" w:lineRule="auto"/>
        <w:rPr>
          <w:sz w:val="20"/>
          <w:szCs w:val="20"/>
          <w:color w:val="auto"/>
        </w:rPr>
      </w:pPr>
      <w:r>
        <w:rPr>
          <w:rFonts w:ascii="Arial" w:cs="Arial" w:eastAsia="Arial" w:hAnsi="Arial"/>
          <w:sz w:val="14"/>
          <w:szCs w:val="14"/>
          <w:color w:val="auto"/>
        </w:rPr>
        <w:t>Caribe Media Inc. (fka Caribe Information Investments Incorporated)</w:t>
      </w:r>
      <w:r>
        <w:rPr>
          <w:rFonts w:ascii="Arial" w:cs="Arial" w:eastAsia="Arial" w:hAnsi="Arial"/>
          <w:sz w:val="23"/>
          <w:szCs w:val="23"/>
          <w:color w:val="auto"/>
          <w:vertAlign w:val="superscript"/>
        </w:rPr>
        <w:t>6, 10</w:t>
      </w:r>
      <w:r>
        <w:rPr>
          <w:rFonts w:ascii="Arial" w:cs="Arial" w:eastAsia="Arial" w:hAnsi="Arial"/>
          <w:sz w:val="14"/>
          <w:szCs w:val="14"/>
          <w:color w:val="auto"/>
        </w:rPr>
        <w:t xml:space="preserve"> </w:t>
      </w:r>
      <w:r>
        <w:rPr>
          <w:rFonts w:ascii="Arial" w:cs="Arial" w:eastAsia="Arial" w:hAnsi="Arial"/>
          <w:sz w:val="14"/>
          <w:szCs w:val="14"/>
          <w:i w:val="1"/>
          <w:iCs w:val="1"/>
          <w:color w:val="auto"/>
        </w:rPr>
        <w:t>Printing and Publishing</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TRSO II, Inc.</w:t>
      </w:r>
      <w:r>
        <w:rPr>
          <w:rFonts w:ascii="Arial" w:cs="Arial" w:eastAsia="Arial" w:hAnsi="Arial"/>
          <w:sz w:val="23"/>
          <w:szCs w:val="23"/>
          <w:color w:val="auto"/>
          <w:vertAlign w:val="superscript"/>
        </w:rPr>
        <w:t>6, 10</w:t>
      </w:r>
      <w:r>
        <w:rPr>
          <w:rFonts w:ascii="Arial" w:cs="Arial" w:eastAsia="Arial" w:hAnsi="Arial"/>
          <w:sz w:val="14"/>
          <w:szCs w:val="14"/>
          <w:color w:val="auto"/>
        </w:rPr>
        <w:t xml:space="preserve"> </w:t>
      </w:r>
      <w:r>
        <w:rPr>
          <w:rFonts w:ascii="Arial" w:cs="Arial" w:eastAsia="Arial" w:hAnsi="Arial"/>
          <w:sz w:val="14"/>
          <w:szCs w:val="14"/>
          <w:i w:val="1"/>
          <w:iCs w:val="1"/>
          <w:color w:val="auto"/>
        </w:rPr>
        <w:t>Oil and Gas</w:t>
      </w:r>
    </w:p>
    <w:p>
      <w:pPr>
        <w:spacing w:after="0" w:line="86" w:lineRule="exact"/>
        <w:rPr>
          <w:sz w:val="20"/>
          <w:szCs w:val="20"/>
          <w:color w:val="auto"/>
        </w:rPr>
      </w:pPr>
    </w:p>
    <w:p>
      <w:pPr>
        <w:jc w:val="right"/>
        <w:ind w:right="1920"/>
        <w:spacing w:after="0" w:line="297" w:lineRule="auto"/>
        <w:rPr>
          <w:sz w:val="20"/>
          <w:szCs w:val="20"/>
          <w:color w:val="auto"/>
        </w:rPr>
      </w:pPr>
      <w:r>
        <w:rPr>
          <w:rFonts w:ascii="Arial" w:cs="Arial" w:eastAsia="Arial" w:hAnsi="Arial"/>
          <w:sz w:val="13"/>
          <w:szCs w:val="13"/>
          <w:b w:val="1"/>
          <w:bCs w:val="1"/>
          <w:color w:val="auto"/>
        </w:rPr>
        <w:t>Total Investment in Equity Securities (4%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Investment</w:t>
            </w: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2540" w:type="dxa"/>
            <w:vAlign w:val="bottom"/>
            <w:gridSpan w:val="3"/>
            <w:vMerge w:val="continue"/>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Interest/Shares</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23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Preferred Stock</w:t>
            </w:r>
          </w:p>
        </w:tc>
        <w:tc>
          <w:tcPr>
            <w:tcW w:w="1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9.0%</w:t>
            </w:r>
          </w:p>
        </w:tc>
        <w:tc>
          <w:tcPr>
            <w:tcW w:w="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3,032,596</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3,240,496</w:t>
            </w:r>
          </w:p>
        </w:tc>
        <w:tc>
          <w:tcPr>
            <w:tcW w:w="0" w:type="dxa"/>
            <w:vAlign w:val="bottom"/>
          </w:tcPr>
          <w:p>
            <w:pPr>
              <w:spacing w:after="0"/>
              <w:rPr>
                <w:sz w:val="1"/>
                <w:szCs w:val="1"/>
                <w:color w:val="auto"/>
              </w:rPr>
            </w:pPr>
          </w:p>
        </w:tc>
      </w:tr>
      <w:tr>
        <w:trPr>
          <w:trHeight w:val="297"/>
        </w:trPr>
        <w:tc>
          <w:tcPr>
            <w:tcW w:w="2540" w:type="dxa"/>
            <w:vAlign w:val="bottom"/>
            <w:gridSpan w:val="3"/>
          </w:tcPr>
          <w:p>
            <w:pPr>
              <w:ind w:left="120"/>
              <w:spacing w:after="0"/>
              <w:rPr>
                <w:sz w:val="20"/>
                <w:szCs w:val="20"/>
                <w:color w:val="auto"/>
              </w:rPr>
            </w:pPr>
            <w:r>
              <w:rPr>
                <w:rFonts w:ascii="Arial" w:cs="Arial" w:eastAsia="Arial" w:hAnsi="Arial"/>
                <w:sz w:val="14"/>
                <w:szCs w:val="14"/>
                <w:color w:val="auto"/>
              </w:rPr>
              <w:t>Common Stock</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359,764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612,691</w:t>
            </w:r>
          </w:p>
        </w:tc>
        <w:tc>
          <w:tcPr>
            <w:tcW w:w="0" w:type="dxa"/>
            <w:vAlign w:val="bottom"/>
          </w:tcPr>
          <w:p>
            <w:pPr>
              <w:spacing w:after="0"/>
              <w:rPr>
                <w:sz w:val="1"/>
                <w:szCs w:val="1"/>
                <w:color w:val="auto"/>
              </w:rPr>
            </w:pPr>
          </w:p>
        </w:tc>
      </w:tr>
      <w:tr>
        <w:trPr>
          <w:trHeight w:val="336"/>
        </w:trPr>
        <w:tc>
          <w:tcPr>
            <w:tcW w:w="2540" w:type="dxa"/>
            <w:vAlign w:val="bottom"/>
            <w:gridSpan w:val="3"/>
          </w:tcPr>
          <w:p>
            <w:pPr>
              <w:ind w:left="120"/>
              <w:spacing w:after="0"/>
              <w:rPr>
                <w:sz w:val="20"/>
                <w:szCs w:val="20"/>
                <w:color w:val="auto"/>
              </w:rPr>
            </w:pPr>
            <w:r>
              <w:rPr>
                <w:rFonts w:ascii="Arial" w:cs="Arial" w:eastAsia="Arial" w:hAnsi="Arial"/>
                <w:sz w:val="14"/>
                <w:szCs w:val="14"/>
                <w:color w:val="auto"/>
              </w:rPr>
              <w:t>Common Stock</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5.4%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1,500,000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CCFFCC"/>
          </w:tcPr>
          <w:p>
            <w:pPr>
              <w:spacing w:after="0"/>
              <w:rPr>
                <w:sz w:val="14"/>
                <w:szCs w:val="14"/>
                <w:color w:val="auto"/>
              </w:rPr>
            </w:pPr>
          </w:p>
        </w:tc>
        <w:tc>
          <w:tcPr>
            <w:tcW w:w="23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3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18,375,587</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8,020,716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-745490</wp:posOffset>
            </wp:positionV>
            <wp:extent cx="7246620" cy="2146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-436880</wp:posOffset>
            </wp:positionV>
            <wp:extent cx="7246620"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-205105</wp:posOffset>
            </wp:positionV>
            <wp:extent cx="7246620" cy="1974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-1156970</wp:posOffset>
            </wp:positionV>
            <wp:extent cx="7246620" cy="3175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260" w:space="320"/>
            <w:col w:w="6840"/>
          </w:cols>
          <w:pgMar w:left="240" w:top="861" w:right="239" w:bottom="1440" w:gutter="0" w:footer="0" w:header="0"/>
        </w:sectPr>
      </w:pPr>
    </w:p>
    <w:p>
      <w:pPr>
        <w:spacing w:after="0"/>
        <w:rPr>
          <w:sz w:val="20"/>
          <w:szCs w:val="20"/>
          <w:color w:val="auto"/>
        </w:rPr>
      </w:pPr>
      <w:r>
        <w:rPr>
          <w:rFonts w:ascii="Arial" w:cs="Arial" w:eastAsia="Arial" w:hAnsi="Arial"/>
          <w:sz w:val="18"/>
          <w:szCs w:val="18"/>
          <w:b w:val="1"/>
          <w:bCs w:val="1"/>
          <w:color w:val="auto"/>
        </w:rPr>
        <w:t>CLO Fund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Equity Investments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Percentage</w:t>
            </w: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120" w:type="dxa"/>
            <w:vAlign w:val="bottom"/>
            <w:gridSpan w:val="3"/>
            <w:vMerge w:val="continue"/>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shd w:val="clear" w:color="auto" w:fill="CCFFCC"/>
          </w:tcPr>
          <w:p>
            <w:pPr>
              <w:spacing w:after="0" w:line="183" w:lineRule="exact"/>
              <w:rPr>
                <w:sz w:val="20"/>
                <w:szCs w:val="20"/>
                <w:color w:val="auto"/>
              </w:rPr>
            </w:pPr>
            <w:r>
              <w:rPr>
                <w:rFonts w:ascii="Arial" w:cs="Arial" w:eastAsia="Arial" w:hAnsi="Arial"/>
                <w:sz w:val="13"/>
                <w:szCs w:val="13"/>
                <w:color w:val="auto"/>
              </w:rPr>
              <w:t>Grant Grove CLO, Ltd.</w:t>
            </w:r>
            <w:r>
              <w:rPr>
                <w:rFonts w:ascii="Arial" w:cs="Arial" w:eastAsia="Arial" w:hAnsi="Arial"/>
                <w:sz w:val="21"/>
                <w:szCs w:val="21"/>
                <w:color w:val="auto"/>
                <w:vertAlign w:val="superscript"/>
              </w:rPr>
              <w:t>3</w:t>
            </w:r>
          </w:p>
        </w:tc>
        <w:tc>
          <w:tcPr>
            <w:tcW w:w="120" w:type="dxa"/>
            <w:vAlign w:val="bottom"/>
            <w:vMerge w:val="continue"/>
            <w:shd w:val="clear" w:color="auto" w:fill="CCFFCC"/>
          </w:tcPr>
          <w:p>
            <w:pPr>
              <w:spacing w:after="0"/>
              <w:rPr>
                <w:sz w:val="15"/>
                <w:szCs w:val="15"/>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4"/>
                <w:szCs w:val="14"/>
                <w:color w:val="auto"/>
              </w:rPr>
              <w:t>Subordinated Securities</w:t>
            </w:r>
          </w:p>
        </w:tc>
        <w:tc>
          <w:tcPr>
            <w:tcW w:w="120" w:type="dxa"/>
            <w:vAlign w:val="bottom"/>
            <w:shd w:val="clear" w:color="auto" w:fill="CCFFCC"/>
          </w:tcPr>
          <w:p>
            <w:pPr>
              <w:spacing w:after="0"/>
              <w:rPr>
                <w:sz w:val="15"/>
                <w:szCs w:val="15"/>
                <w:color w:val="auto"/>
              </w:rPr>
            </w:pP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22.2%</w:t>
            </w:r>
          </w:p>
        </w:tc>
        <w:tc>
          <w:tcPr>
            <w:tcW w:w="260" w:type="dxa"/>
            <w:vAlign w:val="bottom"/>
            <w:shd w:val="clear" w:color="auto" w:fill="CCFFCC"/>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4,925,009</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3,124,924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tcPr>
          <w:p>
            <w:pPr>
              <w:spacing w:after="0" w:line="189" w:lineRule="exact"/>
              <w:rPr>
                <w:sz w:val="20"/>
                <w:szCs w:val="20"/>
                <w:color w:val="auto"/>
              </w:rPr>
            </w:pPr>
            <w:r>
              <w:rPr>
                <w:rFonts w:ascii="Arial" w:cs="Arial" w:eastAsia="Arial" w:hAnsi="Arial"/>
                <w:sz w:val="13"/>
                <w:szCs w:val="13"/>
                <w:color w:val="auto"/>
              </w:rPr>
              <w:t>Katonah III, Ltd.</w:t>
            </w:r>
            <w:r>
              <w:rPr>
                <w:rFonts w:ascii="Arial" w:cs="Arial" w:eastAsia="Arial" w:hAnsi="Arial"/>
                <w:sz w:val="21"/>
                <w:szCs w:val="21"/>
                <w:color w:val="auto"/>
                <w:vertAlign w:val="superscript"/>
              </w:rPr>
              <w:t>3, 11</w:t>
            </w:r>
          </w:p>
        </w:tc>
        <w:tc>
          <w:tcPr>
            <w:tcW w:w="300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23.1%</w:t>
            </w: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2,242,014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Katonah V, Ltd.</w:t>
            </w:r>
            <w:r>
              <w:rPr>
                <w:rFonts w:ascii="Arial" w:cs="Arial" w:eastAsia="Arial" w:hAnsi="Arial"/>
                <w:sz w:val="21"/>
                <w:szCs w:val="21"/>
                <w:color w:val="auto"/>
                <w:vertAlign w:val="superscript"/>
              </w:rPr>
              <w:t>3, 11</w:t>
            </w:r>
          </w:p>
        </w:tc>
        <w:tc>
          <w:tcPr>
            <w:tcW w:w="30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Preferred Shares</w:t>
            </w: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26.7%</w:t>
            </w:r>
          </w:p>
        </w:tc>
        <w:tc>
          <w:tcPr>
            <w:tcW w:w="260" w:type="dxa"/>
            <w:vAlign w:val="bottom"/>
            <w:shd w:val="clear" w:color="auto" w:fill="CCFFCC"/>
          </w:tcPr>
          <w:p>
            <w:pPr>
              <w:spacing w:after="0"/>
              <w:rPr>
                <w:sz w:val="16"/>
                <w:szCs w:val="16"/>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3,320,000</w:t>
            </w:r>
          </w:p>
        </w:tc>
        <w:tc>
          <w:tcPr>
            <w:tcW w:w="10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tcPr>
          <w:p>
            <w:pPr>
              <w:spacing w:after="0" w:line="189" w:lineRule="exact"/>
              <w:rPr>
                <w:sz w:val="20"/>
                <w:szCs w:val="20"/>
                <w:color w:val="auto"/>
              </w:rPr>
            </w:pPr>
            <w:r>
              <w:rPr>
                <w:rFonts w:ascii="Arial" w:cs="Arial" w:eastAsia="Arial" w:hAnsi="Arial"/>
                <w:sz w:val="13"/>
                <w:szCs w:val="13"/>
                <w:color w:val="auto"/>
              </w:rPr>
              <w:t>Katonah VII CLO Ltd.</w:t>
            </w:r>
            <w:r>
              <w:rPr>
                <w:rFonts w:ascii="Arial" w:cs="Arial" w:eastAsia="Arial" w:hAnsi="Arial"/>
                <w:sz w:val="21"/>
                <w:szCs w:val="21"/>
                <w:color w:val="auto"/>
                <w:vertAlign w:val="superscript"/>
              </w:rPr>
              <w:t>3, 7</w:t>
            </w:r>
          </w:p>
        </w:tc>
        <w:tc>
          <w:tcPr>
            <w:tcW w:w="3000" w:type="dxa"/>
            <w:vAlign w:val="bottom"/>
            <w:gridSpan w:val="2"/>
          </w:tcPr>
          <w:p>
            <w:pPr>
              <w:spacing w:after="0"/>
              <w:rPr>
                <w:sz w:val="20"/>
                <w:szCs w:val="20"/>
                <w:color w:val="auto"/>
              </w:rPr>
            </w:pPr>
            <w:r>
              <w:rPr>
                <w:rFonts w:ascii="Arial" w:cs="Arial" w:eastAsia="Arial" w:hAnsi="Arial"/>
                <w:sz w:val="14"/>
                <w:szCs w:val="14"/>
                <w:color w:val="auto"/>
              </w:rPr>
              <w:t>Subordinated Securities</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16.4%</w:t>
            </w: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4,574,393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2,120,168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Katonah VIII CLO Ltd</w:t>
            </w:r>
            <w:r>
              <w:rPr>
                <w:rFonts w:ascii="Arial" w:cs="Arial" w:eastAsia="Arial" w:hAnsi="Arial"/>
                <w:sz w:val="21"/>
                <w:szCs w:val="21"/>
                <w:color w:val="auto"/>
                <w:vertAlign w:val="superscript"/>
              </w:rPr>
              <w:t>3, 7</w:t>
            </w:r>
          </w:p>
        </w:tc>
        <w:tc>
          <w:tcPr>
            <w:tcW w:w="30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Subordinated Securities</w:t>
            </w: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10.3%</w:t>
            </w:r>
          </w:p>
        </w:tc>
        <w:tc>
          <w:tcPr>
            <w:tcW w:w="260" w:type="dxa"/>
            <w:vAlign w:val="bottom"/>
            <w:shd w:val="clear" w:color="auto" w:fill="CCFFCC"/>
          </w:tcPr>
          <w:p>
            <w:pPr>
              <w:spacing w:after="0"/>
              <w:rPr>
                <w:sz w:val="16"/>
                <w:szCs w:val="16"/>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3,450,705</w:t>
            </w:r>
          </w:p>
        </w:tc>
        <w:tc>
          <w:tcPr>
            <w:tcW w:w="10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2,171,998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tcPr>
          <w:p>
            <w:pPr>
              <w:spacing w:after="0" w:line="189" w:lineRule="exact"/>
              <w:rPr>
                <w:sz w:val="20"/>
                <w:szCs w:val="20"/>
                <w:color w:val="auto"/>
              </w:rPr>
            </w:pPr>
            <w:r>
              <w:rPr>
                <w:rFonts w:ascii="Arial" w:cs="Arial" w:eastAsia="Arial" w:hAnsi="Arial"/>
                <w:sz w:val="13"/>
                <w:szCs w:val="13"/>
                <w:color w:val="auto"/>
              </w:rPr>
              <w:t>Katonah IX CLO Ltd</w:t>
            </w:r>
            <w:r>
              <w:rPr>
                <w:rFonts w:ascii="Arial" w:cs="Arial" w:eastAsia="Arial" w:hAnsi="Arial"/>
                <w:sz w:val="21"/>
                <w:szCs w:val="21"/>
                <w:color w:val="auto"/>
                <w:vertAlign w:val="superscript"/>
              </w:rPr>
              <w:t>3, 7</w:t>
            </w:r>
          </w:p>
        </w:tc>
        <w:tc>
          <w:tcPr>
            <w:tcW w:w="300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6.9%</w:t>
            </w: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2,082,987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1,488,895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 xml:space="preserve">Katonah X CLO Ltd </w:t>
            </w:r>
            <w:r>
              <w:rPr>
                <w:rFonts w:ascii="Arial" w:cs="Arial" w:eastAsia="Arial" w:hAnsi="Arial"/>
                <w:sz w:val="21"/>
                <w:szCs w:val="21"/>
                <w:color w:val="auto"/>
                <w:vertAlign w:val="superscript"/>
              </w:rPr>
              <w:t>3, 7</w:t>
            </w:r>
          </w:p>
        </w:tc>
        <w:tc>
          <w:tcPr>
            <w:tcW w:w="30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Subordinated Securities</w:t>
            </w: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33.3%</w:t>
            </w:r>
          </w:p>
        </w:tc>
        <w:tc>
          <w:tcPr>
            <w:tcW w:w="260" w:type="dxa"/>
            <w:vAlign w:val="bottom"/>
            <w:shd w:val="clear" w:color="auto" w:fill="CCFFCC"/>
          </w:tcPr>
          <w:p>
            <w:pPr>
              <w:spacing w:after="0"/>
              <w:rPr>
                <w:sz w:val="16"/>
                <w:szCs w:val="16"/>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11,934,600</w:t>
            </w:r>
          </w:p>
        </w:tc>
        <w:tc>
          <w:tcPr>
            <w:tcW w:w="10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9,455,511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tcPr>
          <w:p>
            <w:pPr>
              <w:spacing w:after="0" w:line="189" w:lineRule="exact"/>
              <w:rPr>
                <w:sz w:val="20"/>
                <w:szCs w:val="20"/>
                <w:color w:val="auto"/>
              </w:rPr>
            </w:pPr>
            <w:r>
              <w:rPr>
                <w:rFonts w:ascii="Arial" w:cs="Arial" w:eastAsia="Arial" w:hAnsi="Arial"/>
                <w:sz w:val="13"/>
                <w:szCs w:val="13"/>
                <w:color w:val="auto"/>
              </w:rPr>
              <w:t>Katonah 2007-I CLO Ltd.</w:t>
            </w:r>
            <w:r>
              <w:rPr>
                <w:rFonts w:ascii="Arial" w:cs="Arial" w:eastAsia="Arial" w:hAnsi="Arial"/>
                <w:sz w:val="21"/>
                <w:szCs w:val="21"/>
                <w:color w:val="auto"/>
                <w:vertAlign w:val="superscript"/>
              </w:rPr>
              <w:t>3, 7</w:t>
            </w:r>
          </w:p>
        </w:tc>
        <w:tc>
          <w:tcPr>
            <w:tcW w:w="300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31,189,147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30,091,886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Trimaran CLO IV, Ltd.</w:t>
            </w:r>
            <w:r>
              <w:rPr>
                <w:rFonts w:ascii="Arial" w:cs="Arial" w:eastAsia="Arial" w:hAnsi="Arial"/>
                <w:sz w:val="21"/>
                <w:szCs w:val="21"/>
                <w:color w:val="auto"/>
                <w:vertAlign w:val="superscript"/>
              </w:rPr>
              <w:t>3, 7</w:t>
            </w:r>
          </w:p>
        </w:tc>
        <w:tc>
          <w:tcPr>
            <w:tcW w:w="30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Preferred Shares</w:t>
            </w: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19.0%</w:t>
            </w:r>
          </w:p>
        </w:tc>
        <w:tc>
          <w:tcPr>
            <w:tcW w:w="260" w:type="dxa"/>
            <w:vAlign w:val="bottom"/>
            <w:shd w:val="clear" w:color="auto" w:fill="CCFFCC"/>
          </w:tcPr>
          <w:p>
            <w:pPr>
              <w:spacing w:after="0"/>
              <w:rPr>
                <w:sz w:val="16"/>
                <w:szCs w:val="16"/>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3,616,600</w:t>
            </w:r>
          </w:p>
        </w:tc>
        <w:tc>
          <w:tcPr>
            <w:tcW w:w="10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3,575,571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tcPr>
          <w:p>
            <w:pPr>
              <w:spacing w:after="0" w:line="189" w:lineRule="exact"/>
              <w:rPr>
                <w:sz w:val="20"/>
                <w:szCs w:val="20"/>
                <w:color w:val="auto"/>
              </w:rPr>
            </w:pPr>
            <w:r>
              <w:rPr>
                <w:rFonts w:ascii="Arial" w:cs="Arial" w:eastAsia="Arial" w:hAnsi="Arial"/>
                <w:sz w:val="13"/>
                <w:szCs w:val="13"/>
                <w:color w:val="auto"/>
              </w:rPr>
              <w:t>Trimaran CLO V, Ltd.</w:t>
            </w:r>
            <w:r>
              <w:rPr>
                <w:rFonts w:ascii="Arial" w:cs="Arial" w:eastAsia="Arial" w:hAnsi="Arial"/>
                <w:sz w:val="21"/>
                <w:szCs w:val="21"/>
                <w:color w:val="auto"/>
                <w:vertAlign w:val="superscript"/>
              </w:rPr>
              <w:t>3, 7</w:t>
            </w:r>
          </w:p>
        </w:tc>
        <w:tc>
          <w:tcPr>
            <w:tcW w:w="3000" w:type="dxa"/>
            <w:vAlign w:val="bottom"/>
            <w:gridSpan w:val="2"/>
          </w:tcPr>
          <w:p>
            <w:pPr>
              <w:spacing w:after="0"/>
              <w:rPr>
                <w:sz w:val="20"/>
                <w:szCs w:val="20"/>
                <w:color w:val="auto"/>
              </w:rPr>
            </w:pPr>
            <w:r>
              <w:rPr>
                <w:rFonts w:ascii="Arial" w:cs="Arial" w:eastAsia="Arial" w:hAnsi="Arial"/>
                <w:sz w:val="14"/>
                <w:szCs w:val="14"/>
                <w:color w:val="auto"/>
              </w:rPr>
              <w:t>Subordinate Notes</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20.8%</w:t>
            </w: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2,757,100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2,930,004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Trimaran CLO VI, Ltd.</w:t>
            </w:r>
            <w:r>
              <w:rPr>
                <w:rFonts w:ascii="Arial" w:cs="Arial" w:eastAsia="Arial" w:hAnsi="Arial"/>
                <w:sz w:val="21"/>
                <w:szCs w:val="21"/>
                <w:color w:val="auto"/>
                <w:vertAlign w:val="superscript"/>
              </w:rPr>
              <w:t>3, 7</w:t>
            </w:r>
          </w:p>
        </w:tc>
        <w:tc>
          <w:tcPr>
            <w:tcW w:w="30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Income Notes</w:t>
            </w: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16.2%</w:t>
            </w:r>
          </w:p>
        </w:tc>
        <w:tc>
          <w:tcPr>
            <w:tcW w:w="260" w:type="dxa"/>
            <w:vAlign w:val="bottom"/>
            <w:shd w:val="clear" w:color="auto" w:fill="CCFFCC"/>
          </w:tcPr>
          <w:p>
            <w:pPr>
              <w:spacing w:after="0"/>
              <w:rPr>
                <w:sz w:val="16"/>
                <w:szCs w:val="16"/>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2,894,700</w:t>
            </w:r>
          </w:p>
        </w:tc>
        <w:tc>
          <w:tcPr>
            <w:tcW w:w="10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2,936,626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tcPr>
          <w:p>
            <w:pPr>
              <w:spacing w:after="0" w:line="189" w:lineRule="exact"/>
              <w:rPr>
                <w:sz w:val="20"/>
                <w:szCs w:val="20"/>
                <w:color w:val="auto"/>
              </w:rPr>
            </w:pPr>
            <w:r>
              <w:rPr>
                <w:rFonts w:ascii="Arial" w:cs="Arial" w:eastAsia="Arial" w:hAnsi="Arial"/>
                <w:sz w:val="13"/>
                <w:szCs w:val="13"/>
                <w:color w:val="auto"/>
              </w:rPr>
              <w:t>Trimaran CLO VII, Ltd.</w:t>
            </w:r>
            <w:r>
              <w:rPr>
                <w:rFonts w:ascii="Arial" w:cs="Arial" w:eastAsia="Arial" w:hAnsi="Arial"/>
                <w:sz w:val="21"/>
                <w:szCs w:val="21"/>
                <w:color w:val="auto"/>
                <w:vertAlign w:val="superscript"/>
              </w:rPr>
              <w:t>3, 7</w:t>
            </w:r>
          </w:p>
        </w:tc>
        <w:tc>
          <w:tcPr>
            <w:tcW w:w="3000" w:type="dxa"/>
            <w:vAlign w:val="bottom"/>
            <w:gridSpan w:val="2"/>
          </w:tcPr>
          <w:p>
            <w:pPr>
              <w:spacing w:after="0"/>
              <w:rPr>
                <w:sz w:val="20"/>
                <w:szCs w:val="20"/>
                <w:color w:val="auto"/>
              </w:rPr>
            </w:pPr>
            <w:r>
              <w:rPr>
                <w:rFonts w:ascii="Arial" w:cs="Arial" w:eastAsia="Arial" w:hAnsi="Arial"/>
                <w:sz w:val="14"/>
                <w:szCs w:val="14"/>
                <w:color w:val="auto"/>
              </w:rPr>
              <w:t>Income Notes</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10.5%</w:t>
            </w: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3,146,900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3,357,924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FFCC"/>
          </w:tcPr>
          <w:p>
            <w:pPr>
              <w:spacing w:after="0" w:line="202" w:lineRule="exact"/>
              <w:rPr>
                <w:sz w:val="20"/>
                <w:szCs w:val="20"/>
                <w:color w:val="auto"/>
              </w:rPr>
            </w:pPr>
            <w:r>
              <w:rPr>
                <w:rFonts w:ascii="Arial" w:cs="Arial" w:eastAsia="Arial" w:hAnsi="Arial"/>
                <w:sz w:val="14"/>
                <w:szCs w:val="14"/>
                <w:color w:val="auto"/>
              </w:rPr>
              <w:t>Catamaran CLO 2012-1 Ltd.</w:t>
            </w:r>
            <w:r>
              <w:rPr>
                <w:rFonts w:ascii="Arial" w:cs="Arial" w:eastAsia="Arial" w:hAnsi="Arial"/>
                <w:sz w:val="23"/>
                <w:szCs w:val="23"/>
                <w:color w:val="auto"/>
                <w:vertAlign w:val="superscript"/>
              </w:rPr>
              <w:t>3, 7</w:t>
            </w:r>
          </w:p>
        </w:tc>
        <w:tc>
          <w:tcPr>
            <w:tcW w:w="30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Subordinated Notes</w:t>
            </w: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24.9%</w:t>
            </w:r>
          </w:p>
        </w:tc>
        <w:tc>
          <w:tcPr>
            <w:tcW w:w="26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8,982,400</w:t>
            </w: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8,493,000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Total Investment in CLO Equity Securities</w:t>
            </w:r>
          </w:p>
        </w:tc>
        <w:tc>
          <w:tcPr>
            <w:tcW w:w="2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6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260" w:type="dxa"/>
            <w:vAlign w:val="bottom"/>
            <w:shd w:val="clear" w:color="auto" w:fill="CCFFCC"/>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85,116,555</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70,347,507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CLO Rated-Note Investment</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Katonah 2007-I CLO Ltd.</w:t>
      </w:r>
      <w:r>
        <w:rPr>
          <w:rFonts w:ascii="Arial" w:cs="Arial" w:eastAsia="Arial" w:hAnsi="Arial"/>
          <w:sz w:val="23"/>
          <w:szCs w:val="23"/>
          <w:color w:val="auto"/>
          <w:vertAlign w:val="superscript"/>
        </w:rPr>
        <w:t>3, 7</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Catamaran CLO 2012-1 Ltd.</w:t>
      </w:r>
      <w:r>
        <w:rPr>
          <w:rFonts w:ascii="Arial" w:cs="Arial" w:eastAsia="Arial" w:hAnsi="Arial"/>
          <w:sz w:val="23"/>
          <w:szCs w:val="23"/>
          <w:color w:val="auto"/>
          <w:vertAlign w:val="superscript"/>
        </w:rPr>
        <w:t>3, 7</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Investment in CLO Rated-Note</w:t>
      </w:r>
    </w:p>
    <w:p>
      <w:pPr>
        <w:spacing w:after="0" w:line="163" w:lineRule="exact"/>
        <w:rPr>
          <w:sz w:val="20"/>
          <w:szCs w:val="20"/>
          <w:color w:val="auto"/>
        </w:rPr>
      </w:pPr>
    </w:p>
    <w:p>
      <w:pPr>
        <w:ind w:left="180" w:hanging="161"/>
        <w:spacing w:after="0" w:line="259" w:lineRule="auto"/>
        <w:rPr>
          <w:sz w:val="20"/>
          <w:szCs w:val="20"/>
          <w:color w:val="auto"/>
        </w:rPr>
      </w:pPr>
      <w:r>
        <w:rPr>
          <w:rFonts w:ascii="Arial" w:cs="Arial" w:eastAsia="Arial" w:hAnsi="Arial"/>
          <w:sz w:val="14"/>
          <w:szCs w:val="14"/>
          <w:b w:val="1"/>
          <w:bCs w:val="1"/>
          <w:color w:val="auto"/>
        </w:rPr>
        <w:t>Total Investment in CLO Fund Securities (40% of net asset value at fair value)</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w:t>
            </w:r>
          </w:p>
        </w:tc>
        <w:tc>
          <w:tcPr>
            <w:tcW w:w="176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Percentage</w:t>
            </w: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2420" w:type="dxa"/>
            <w:vAlign w:val="bottom"/>
            <w:gridSpan w:val="3"/>
            <w:vMerge w:val="continue"/>
          </w:tcPr>
          <w:p>
            <w:pPr>
              <w:spacing w:after="0"/>
              <w:rPr>
                <w:sz w:val="14"/>
                <w:szCs w:val="14"/>
                <w:color w:val="auto"/>
              </w:rPr>
            </w:pPr>
          </w:p>
        </w:tc>
        <w:tc>
          <w:tcPr>
            <w:tcW w:w="176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Interest</w:t>
            </w: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2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Class B-2L Notes</w:t>
            </w: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gridSpan w:val="3"/>
          </w:tcPr>
          <w:p>
            <w:pPr>
              <w:spacing w:after="0" w:line="149" w:lineRule="exact"/>
              <w:rPr>
                <w:sz w:val="20"/>
                <w:szCs w:val="20"/>
                <w:color w:val="auto"/>
              </w:rPr>
            </w:pPr>
            <w:r>
              <w:rPr>
                <w:rFonts w:ascii="Arial" w:cs="Arial" w:eastAsia="Arial" w:hAnsi="Arial"/>
                <w:sz w:val="14"/>
                <w:szCs w:val="14"/>
                <w:color w:val="auto"/>
              </w:rPr>
              <w:t>Par Value of $10,500,000</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3"/>
          </w:tcPr>
          <w:p>
            <w:pPr>
              <w:spacing w:after="0" w:line="149" w:lineRule="exact"/>
              <w:rPr>
                <w:sz w:val="20"/>
                <w:szCs w:val="20"/>
                <w:color w:val="auto"/>
              </w:rPr>
            </w:pPr>
            <w:r>
              <w:rPr>
                <w:rFonts w:ascii="Arial" w:cs="Arial" w:eastAsia="Arial" w:hAnsi="Arial"/>
                <w:sz w:val="14"/>
                <w:szCs w:val="14"/>
                <w:color w:val="auto"/>
              </w:rPr>
              <w:t>5.3%, Due 4/22</w:t>
            </w:r>
          </w:p>
        </w:tc>
        <w:tc>
          <w:tcPr>
            <w:tcW w:w="17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100.0%  $</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1,252,191</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9,140,000</w:t>
            </w:r>
          </w:p>
        </w:tc>
        <w:tc>
          <w:tcPr>
            <w:tcW w:w="0" w:type="dxa"/>
            <w:vAlign w:val="bottom"/>
          </w:tcPr>
          <w:p>
            <w:pPr>
              <w:spacing w:after="0"/>
              <w:rPr>
                <w:sz w:val="1"/>
                <w:szCs w:val="1"/>
                <w:color w:val="auto"/>
              </w:rPr>
            </w:pPr>
          </w:p>
        </w:tc>
      </w:tr>
      <w:tr>
        <w:trPr>
          <w:trHeight w:val="149"/>
        </w:trPr>
        <w:tc>
          <w:tcPr>
            <w:tcW w:w="2420" w:type="dxa"/>
            <w:vAlign w:val="bottom"/>
            <w:gridSpan w:val="3"/>
          </w:tcPr>
          <w:p>
            <w:pPr>
              <w:spacing w:after="0" w:line="149" w:lineRule="exact"/>
              <w:rPr>
                <w:sz w:val="20"/>
                <w:szCs w:val="20"/>
                <w:color w:val="auto"/>
              </w:rPr>
            </w:pPr>
            <w:r>
              <w:rPr>
                <w:rFonts w:ascii="Arial" w:cs="Arial" w:eastAsia="Arial" w:hAnsi="Arial"/>
                <w:sz w:val="14"/>
                <w:szCs w:val="14"/>
                <w:color w:val="auto"/>
              </w:rPr>
              <w:t>Class F Notes</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3"/>
          </w:tcPr>
          <w:p>
            <w:pPr>
              <w:spacing w:after="0" w:line="149" w:lineRule="exact"/>
              <w:rPr>
                <w:sz w:val="20"/>
                <w:szCs w:val="20"/>
                <w:color w:val="auto"/>
              </w:rPr>
            </w:pPr>
            <w:r>
              <w:rPr>
                <w:rFonts w:ascii="Arial" w:cs="Arial" w:eastAsia="Arial" w:hAnsi="Arial"/>
                <w:sz w:val="14"/>
                <w:szCs w:val="14"/>
                <w:color w:val="auto"/>
              </w:rPr>
              <w:t>Par Value of $4,500,000</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420" w:type="dxa"/>
            <w:vAlign w:val="bottom"/>
            <w:gridSpan w:val="3"/>
          </w:tcPr>
          <w:p>
            <w:pPr>
              <w:spacing w:after="0"/>
              <w:rPr>
                <w:sz w:val="20"/>
                <w:szCs w:val="20"/>
                <w:color w:val="auto"/>
              </w:rPr>
            </w:pPr>
            <w:r>
              <w:rPr>
                <w:rFonts w:ascii="Arial" w:cs="Arial" w:eastAsia="Arial" w:hAnsi="Arial"/>
                <w:sz w:val="14"/>
                <w:szCs w:val="14"/>
                <w:color w:val="auto"/>
              </w:rPr>
              <w:t>6.8%, Due 12/23</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42.9%</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3,777,664</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3,770,000</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5,029,855</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12,910,000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90,146,410</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83,257,507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-505460</wp:posOffset>
            </wp:positionV>
            <wp:extent cx="7246620" cy="1028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-299720</wp:posOffset>
            </wp:positionV>
            <wp:extent cx="7246620" cy="1028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-1088390</wp:posOffset>
            </wp:positionV>
            <wp:extent cx="7246620" cy="291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420" w:space="280"/>
            <w:col w:w="6720"/>
          </w:cols>
          <w:pgMar w:left="240" w:top="877" w:right="239" w:bottom="1440" w:gutter="0" w:footer="0" w:header="0"/>
        </w:sect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Percentage</w:t>
            </w:r>
          </w:p>
        </w:tc>
        <w:tc>
          <w:tcPr>
            <w:tcW w:w="180" w:type="dxa"/>
            <w:vAlign w:val="bottom"/>
          </w:tcPr>
          <w:p>
            <w:pPr>
              <w:spacing w:after="0"/>
              <w:rPr>
                <w:sz w:val="14"/>
                <w:szCs w:val="14"/>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120" w:type="dxa"/>
            <w:vAlign w:val="bottom"/>
            <w:gridSpan w:val="3"/>
            <w:vMerge w:val="continue"/>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shd w:val="clear" w:color="auto" w:fill="CCFFCC"/>
          </w:tcPr>
          <w:p>
            <w:pPr>
              <w:spacing w:after="0" w:line="183"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21"/>
                <w:szCs w:val="21"/>
                <w:color w:val="auto"/>
                <w:vertAlign w:val="superscript"/>
              </w:rPr>
              <w:t>10</w:t>
            </w:r>
          </w:p>
        </w:tc>
        <w:tc>
          <w:tcPr>
            <w:tcW w:w="120" w:type="dxa"/>
            <w:vAlign w:val="bottom"/>
            <w:vMerge w:val="continue"/>
            <w:shd w:val="clear" w:color="auto" w:fill="CCFFCC"/>
          </w:tcPr>
          <w:p>
            <w:pPr>
              <w:spacing w:after="0"/>
              <w:rPr>
                <w:sz w:val="15"/>
                <w:szCs w:val="15"/>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4"/>
                <w:szCs w:val="14"/>
                <w:color w:val="auto"/>
              </w:rPr>
              <w:t>Asset Management Company</w:t>
            </w:r>
          </w:p>
        </w:tc>
        <w:tc>
          <w:tcPr>
            <w:tcW w:w="120" w:type="dxa"/>
            <w:vAlign w:val="bottom"/>
            <w:shd w:val="clear" w:color="auto" w:fill="CCFFCC"/>
          </w:tcPr>
          <w:p>
            <w:pPr>
              <w:spacing w:after="0"/>
              <w:rPr>
                <w:sz w:val="15"/>
                <w:szCs w:val="15"/>
                <w:color w:val="auto"/>
              </w:rPr>
            </w:pP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100.0%</w:t>
            </w:r>
          </w:p>
        </w:tc>
        <w:tc>
          <w:tcPr>
            <w:tcW w:w="180" w:type="dxa"/>
            <w:vAlign w:val="bottom"/>
            <w:shd w:val="clear" w:color="auto" w:fill="CCFFCC"/>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83,161,529</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77,242,000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Total Investment in Asset Manager Affiliates</w:t>
            </w:r>
          </w:p>
        </w:tc>
        <w:tc>
          <w:tcPr>
            <w:tcW w:w="28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6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180" w:type="dxa"/>
            <w:vAlign w:val="bottom"/>
            <w:shd w:val="clear" w:color="auto" w:fill="CCFFCC"/>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83,161,529</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77,242,000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00" w:type="dxa"/>
            <w:vAlign w:val="bottom"/>
            <w:gridSpan w:val="2"/>
          </w:tcPr>
          <w:p>
            <w:pPr>
              <w:ind w:left="160"/>
              <w:spacing w:after="0"/>
              <w:rPr>
                <w:sz w:val="20"/>
                <w:szCs w:val="20"/>
                <w:color w:val="auto"/>
              </w:rPr>
            </w:pPr>
            <w:r>
              <w:rPr>
                <w:rFonts w:ascii="Arial" w:cs="Arial" w:eastAsia="Arial" w:hAnsi="Arial"/>
                <w:sz w:val="14"/>
                <w:szCs w:val="14"/>
                <w:b w:val="1"/>
                <w:bCs w:val="1"/>
                <w:color w:val="auto"/>
              </w:rPr>
              <w:t>(37% of net asset value at fair value)</w:t>
            </w: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8"/>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Time Deposits and Money Market Account</w:t>
            </w: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Time Deposit and Money Market Accounts</w:t>
            </w:r>
          </w:p>
        </w:tc>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Yield</w:t>
            </w:r>
          </w:p>
        </w:tc>
        <w:tc>
          <w:tcPr>
            <w:tcW w:w="18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Par / Cost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shd w:val="clear" w:color="auto" w:fill="CCFFCC"/>
          </w:tcPr>
          <w:p>
            <w:pPr>
              <w:spacing w:after="0" w:line="183" w:lineRule="exact"/>
              <w:rPr>
                <w:sz w:val="20"/>
                <w:szCs w:val="20"/>
                <w:color w:val="auto"/>
              </w:rPr>
            </w:pPr>
            <w:r>
              <w:rPr>
                <w:rFonts w:ascii="Arial" w:cs="Arial" w:eastAsia="Arial" w:hAnsi="Arial"/>
                <w:sz w:val="13"/>
                <w:szCs w:val="13"/>
                <w:color w:val="auto"/>
              </w:rPr>
              <w:t>JP Morgan Asset Account</w:t>
            </w:r>
            <w:r>
              <w:rPr>
                <w:rFonts w:ascii="Arial" w:cs="Arial" w:eastAsia="Arial" w:hAnsi="Arial"/>
                <w:sz w:val="21"/>
                <w:szCs w:val="21"/>
                <w:color w:val="auto"/>
                <w:vertAlign w:val="superscript"/>
              </w:rPr>
              <w:t>10</w:t>
            </w:r>
          </w:p>
        </w:tc>
        <w:tc>
          <w:tcPr>
            <w:tcW w:w="120" w:type="dxa"/>
            <w:vAlign w:val="bottom"/>
            <w:vMerge w:val="continue"/>
            <w:shd w:val="clear" w:color="auto" w:fill="CCFFCC"/>
          </w:tcPr>
          <w:p>
            <w:pPr>
              <w:spacing w:after="0"/>
              <w:rPr>
                <w:sz w:val="15"/>
                <w:szCs w:val="15"/>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4"/>
                <w:szCs w:val="14"/>
                <w:color w:val="auto"/>
              </w:rPr>
              <w:t>Time Deposit</w:t>
            </w:r>
          </w:p>
        </w:tc>
        <w:tc>
          <w:tcPr>
            <w:tcW w:w="120" w:type="dxa"/>
            <w:vAlign w:val="bottom"/>
            <w:shd w:val="clear" w:color="auto" w:fill="CCFFCC"/>
          </w:tcPr>
          <w:p>
            <w:pPr>
              <w:spacing w:after="0"/>
              <w:rPr>
                <w:sz w:val="15"/>
                <w:szCs w:val="15"/>
                <w:color w:val="auto"/>
              </w:rPr>
            </w:pP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0.01%</w:t>
            </w:r>
          </w:p>
        </w:tc>
        <w:tc>
          <w:tcPr>
            <w:tcW w:w="180" w:type="dxa"/>
            <w:vAlign w:val="bottom"/>
            <w:shd w:val="clear" w:color="auto" w:fill="CCFFCC"/>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1,942,834</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1,942,834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tcPr>
          <w:p>
            <w:pPr>
              <w:spacing w:after="0" w:line="189" w:lineRule="exact"/>
              <w:rPr>
                <w:sz w:val="20"/>
                <w:szCs w:val="20"/>
                <w:color w:val="auto"/>
              </w:rPr>
            </w:pPr>
            <w:r>
              <w:rPr>
                <w:rFonts w:ascii="Arial" w:cs="Arial" w:eastAsia="Arial" w:hAnsi="Arial"/>
                <w:sz w:val="13"/>
                <w:szCs w:val="13"/>
                <w:color w:val="auto"/>
              </w:rPr>
              <w:t>JP Morgan Business Money Market Account</w:t>
            </w:r>
            <w:r>
              <w:rPr>
                <w:rFonts w:ascii="Arial" w:cs="Arial" w:eastAsia="Arial" w:hAnsi="Arial"/>
                <w:sz w:val="21"/>
                <w:szCs w:val="21"/>
                <w:color w:val="auto"/>
                <w:vertAlign w:val="superscript"/>
              </w:rPr>
              <w:t>9, 10</w:t>
            </w:r>
          </w:p>
        </w:tc>
        <w:tc>
          <w:tcPr>
            <w:tcW w:w="3000" w:type="dxa"/>
            <w:vAlign w:val="bottom"/>
            <w:gridSpan w:val="2"/>
          </w:tcPr>
          <w:p>
            <w:pPr>
              <w:spacing w:after="0"/>
              <w:rPr>
                <w:sz w:val="20"/>
                <w:szCs w:val="20"/>
                <w:color w:val="auto"/>
              </w:rPr>
            </w:pPr>
            <w:r>
              <w:rPr>
                <w:rFonts w:ascii="Arial" w:cs="Arial" w:eastAsia="Arial" w:hAnsi="Arial"/>
                <w:sz w:val="14"/>
                <w:szCs w:val="14"/>
                <w:color w:val="auto"/>
              </w:rPr>
              <w:t>Money Market Account</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0.15%</w:t>
            </w:r>
          </w:p>
        </w:tc>
        <w:tc>
          <w:tcPr>
            <w:tcW w:w="1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195,856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195,856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FFCC"/>
          </w:tcPr>
          <w:p>
            <w:pPr>
              <w:spacing w:after="0" w:line="202" w:lineRule="exact"/>
              <w:rPr>
                <w:sz w:val="20"/>
                <w:szCs w:val="20"/>
                <w:color w:val="auto"/>
              </w:rPr>
            </w:pPr>
            <w:r>
              <w:rPr>
                <w:rFonts w:ascii="Arial" w:cs="Arial" w:eastAsia="Arial" w:hAnsi="Arial"/>
                <w:sz w:val="14"/>
                <w:szCs w:val="14"/>
                <w:color w:val="auto"/>
              </w:rPr>
              <w:t>US Bank Money Market Account</w:t>
            </w:r>
            <w:r>
              <w:rPr>
                <w:rFonts w:ascii="Arial" w:cs="Arial" w:eastAsia="Arial" w:hAnsi="Arial"/>
                <w:sz w:val="23"/>
                <w:szCs w:val="23"/>
                <w:color w:val="auto"/>
                <w:vertAlign w:val="superscript"/>
              </w:rPr>
              <w:t>10</w:t>
            </w:r>
          </w:p>
        </w:tc>
        <w:tc>
          <w:tcPr>
            <w:tcW w:w="30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Money Market Account</w:t>
            </w: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0.40%</w:t>
            </w:r>
          </w:p>
        </w:tc>
        <w:tc>
          <w:tcPr>
            <w:tcW w:w="180" w:type="dxa"/>
            <w:vAlign w:val="bottom"/>
            <w:shd w:val="clear" w:color="auto" w:fill="CCFFCC"/>
          </w:tcPr>
          <w:p>
            <w:pPr>
              <w:spacing w:after="0"/>
              <w:rPr>
                <w:sz w:val="17"/>
                <w:szCs w:val="17"/>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30,347,968</w:t>
            </w: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30,347,968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100" w:type="dxa"/>
            <w:vAlign w:val="bottom"/>
            <w:gridSpan w:val="4"/>
            <w:shd w:val="clear" w:color="auto" w:fill="CCFFCC"/>
          </w:tcPr>
          <w:p>
            <w:pPr>
              <w:spacing w:after="0"/>
              <w:rPr>
                <w:sz w:val="20"/>
                <w:szCs w:val="20"/>
                <w:color w:val="auto"/>
              </w:rPr>
            </w:pPr>
            <w:r>
              <w:rPr>
                <w:rFonts w:ascii="Arial" w:cs="Arial" w:eastAsia="Arial" w:hAnsi="Arial"/>
                <w:sz w:val="14"/>
                <w:szCs w:val="14"/>
                <w:b w:val="1"/>
                <w:bCs w:val="1"/>
                <w:color w:val="auto"/>
              </w:rPr>
              <w:t>Total Investment in Time Deposit and Money Market Accounts (16% of net asset value at fair value)</w:t>
            </w:r>
          </w:p>
        </w:tc>
        <w:tc>
          <w:tcPr>
            <w:tcW w:w="126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180" w:type="dxa"/>
            <w:vAlign w:val="bottom"/>
            <w:shd w:val="clear" w:color="auto" w:fill="CCFFCC"/>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32,486,658</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32,486,658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FFCC"/>
          </w:tcPr>
          <w:p>
            <w:pPr>
              <w:spacing w:after="0" w:line="216" w:lineRule="exact"/>
              <w:rPr>
                <w:sz w:val="20"/>
                <w:szCs w:val="20"/>
                <w:color w:val="auto"/>
              </w:rPr>
            </w:pPr>
            <w:r>
              <w:rPr>
                <w:rFonts w:ascii="Arial" w:cs="Arial" w:eastAsia="Arial" w:hAnsi="Arial"/>
                <w:sz w:val="14"/>
                <w:szCs w:val="14"/>
                <w:b w:val="1"/>
                <w:bCs w:val="1"/>
                <w:color w:val="auto"/>
              </w:rPr>
              <w:t>Total Investments</w:t>
            </w:r>
            <w:r>
              <w:rPr>
                <w:rFonts w:ascii="Arial" w:cs="Arial" w:eastAsia="Arial" w:hAnsi="Arial"/>
                <w:sz w:val="23"/>
                <w:szCs w:val="23"/>
                <w:color w:val="auto"/>
                <w:vertAlign w:val="superscript"/>
              </w:rPr>
              <w:t>5</w:t>
            </w:r>
            <w:r>
              <w:rPr>
                <w:rFonts w:ascii="Arial" w:cs="Arial" w:eastAsia="Arial" w:hAnsi="Arial"/>
                <w:sz w:val="14"/>
                <w:szCs w:val="14"/>
                <w:b w:val="1"/>
                <w:bCs w:val="1"/>
                <w:color w:val="auto"/>
              </w:rPr>
              <w:t xml:space="preserve"> (150% of net asset value at fair value)</w:t>
            </w:r>
          </w:p>
        </w:tc>
        <w:tc>
          <w:tcPr>
            <w:tcW w:w="2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180" w:type="dxa"/>
            <w:vAlign w:val="bottom"/>
            <w:shd w:val="clear" w:color="auto" w:fill="CCFFCC"/>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358,547,336</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312,044,763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8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25" w:name="page26"/>
    <w:bookmarkEnd w:id="25"/>
    <w:p>
      <w:pPr>
        <w:ind w:left="512" w:hanging="512"/>
        <w:spacing w:after="0" w:line="221" w:lineRule="auto"/>
        <w:tabs>
          <w:tab w:leader="none" w:pos="512"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to the Company’s portfolio companies bear interest at a rate that may be determined by reference to either LIBOR or an alternate Base Rate (commonly based on the Federal Funds Rate or the Prime Rate), which typically resets semi-annually, quarterly, or monthly.</w:t>
      </w:r>
    </w:p>
    <w:p>
      <w:pPr>
        <w:spacing w:after="0" w:line="2" w:lineRule="exact"/>
        <w:rPr>
          <w:sz w:val="20"/>
          <w:szCs w:val="20"/>
          <w:color w:val="auto"/>
        </w:rPr>
      </w:pPr>
    </w:p>
    <w:p>
      <w:pPr>
        <w:ind w:left="512"/>
        <w:spacing w:after="0"/>
        <w:rPr>
          <w:sz w:val="20"/>
          <w:szCs w:val="20"/>
          <w:color w:val="auto"/>
        </w:rPr>
      </w:pPr>
      <w:r>
        <w:rPr>
          <w:rFonts w:ascii="Arial" w:cs="Arial" w:eastAsia="Arial" w:hAnsi="Arial"/>
          <w:sz w:val="18"/>
          <w:szCs w:val="18"/>
          <w:color w:val="auto"/>
        </w:rPr>
        <w:t>For each such loan, the Company has provided the weighted average annual stated interest rate in effect at December 31, 2012.</w:t>
      </w:r>
    </w:p>
    <w:p>
      <w:pPr>
        <w:ind w:left="512" w:hanging="512"/>
        <w:spacing w:after="0" w:line="180" w:lineRule="auto"/>
        <w:tabs>
          <w:tab w:leader="none" w:pos="512"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Reflects the fair market value of all investments as of December 31, 2012, as determined by the Company’s Board of Directors.</w:t>
      </w:r>
    </w:p>
    <w:p>
      <w:pPr>
        <w:ind w:left="512" w:hanging="512"/>
        <w:spacing w:after="0" w:line="181" w:lineRule="auto"/>
        <w:tabs>
          <w:tab w:leader="none" w:pos="512"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ind w:left="512" w:hanging="512"/>
        <w:spacing w:after="0" w:line="180" w:lineRule="auto"/>
        <w:tabs>
          <w:tab w:leader="none" w:pos="512" w:val="left"/>
        </w:tabs>
        <w:numPr>
          <w:ilvl w:val="0"/>
          <w:numId w:val="16"/>
        </w:numPr>
        <w:rPr>
          <w:rFonts w:ascii="Arial" w:cs="Arial" w:eastAsia="Arial" w:hAnsi="Arial"/>
          <w:sz w:val="25"/>
          <w:szCs w:val="25"/>
          <w:color w:val="auto"/>
          <w:vertAlign w:val="superscript"/>
        </w:rPr>
      </w:pPr>
      <w:r>
        <w:rPr>
          <w:rFonts w:ascii="Arial" w:cs="Arial" w:eastAsia="Arial" w:hAnsi="Arial"/>
          <w:sz w:val="16"/>
          <w:szCs w:val="16"/>
          <w:color w:val="auto"/>
        </w:rPr>
        <w:t>Buildings and real estate relate to real estate ownership, builders, managers and developers.</w:t>
      </w:r>
    </w:p>
    <w:p>
      <w:pPr>
        <w:spacing w:after="0" w:line="2" w:lineRule="exact"/>
        <w:rPr>
          <w:sz w:val="20"/>
          <w:szCs w:val="20"/>
          <w:color w:val="auto"/>
        </w:rPr>
      </w:pPr>
    </w:p>
    <w:p>
      <w:pPr>
        <w:ind w:left="512" w:right="420" w:hanging="512"/>
        <w:spacing w:after="0" w:line="214" w:lineRule="auto"/>
        <w:tabs>
          <w:tab w:leader="none" w:pos="512" w:val="left"/>
        </w:tabs>
        <w:numPr>
          <w:ilvl w:val="0"/>
          <w:numId w:val="17"/>
        </w:numPr>
        <w:rPr>
          <w:rFonts w:ascii="Arial" w:cs="Arial" w:eastAsia="Arial" w:hAnsi="Arial"/>
          <w:sz w:val="26"/>
          <w:szCs w:val="26"/>
          <w:color w:val="auto"/>
          <w:vertAlign w:val="superscript"/>
        </w:rPr>
      </w:pPr>
      <w:r>
        <w:rPr>
          <w:rFonts w:ascii="Arial" w:cs="Arial" w:eastAsia="Arial" w:hAnsi="Arial"/>
          <w:sz w:val="16"/>
          <w:szCs w:val="16"/>
          <w:color w:val="auto"/>
        </w:rPr>
        <w:t>The aggregate cost of investments for federal income tax purposes is approximately $359 million. The aggregate gross unrealized appreciation is approximately $11 million, the aggregate gross unrealized depreciation is approximately $58 million, and the net unrealized depreciation is</w:t>
      </w:r>
    </w:p>
    <w:p>
      <w:pPr>
        <w:ind w:left="512"/>
        <w:spacing w:after="0"/>
        <w:rPr>
          <w:sz w:val="20"/>
          <w:szCs w:val="20"/>
          <w:color w:val="auto"/>
        </w:rPr>
      </w:pPr>
      <w:r>
        <w:rPr>
          <w:rFonts w:ascii="Arial" w:cs="Arial" w:eastAsia="Arial" w:hAnsi="Arial"/>
          <w:sz w:val="18"/>
          <w:szCs w:val="18"/>
          <w:color w:val="auto"/>
        </w:rPr>
        <w:t>approximately $47 million.</w:t>
      </w:r>
    </w:p>
    <w:p>
      <w:pPr>
        <w:ind w:left="512" w:hanging="512"/>
        <w:spacing w:after="0" w:line="180" w:lineRule="auto"/>
        <w:tabs>
          <w:tab w:leader="none" w:pos="512" w:val="left"/>
        </w:tabs>
        <w:numPr>
          <w:ilvl w:val="0"/>
          <w:numId w:val="18"/>
        </w:numPr>
        <w:rPr>
          <w:rFonts w:ascii="Arial" w:cs="Arial" w:eastAsia="Arial" w:hAnsi="Arial"/>
          <w:sz w:val="26"/>
          <w:szCs w:val="26"/>
          <w:color w:val="auto"/>
          <w:vertAlign w:val="superscript"/>
        </w:rPr>
      </w:pPr>
      <w:r>
        <w:rPr>
          <w:rFonts w:ascii="Arial" w:cs="Arial" w:eastAsia="Arial" w:hAnsi="Arial"/>
          <w:sz w:val="16"/>
          <w:szCs w:val="16"/>
          <w:color w:val="auto"/>
        </w:rPr>
        <w:t>Non-income producing.</w:t>
      </w:r>
    </w:p>
    <w:p>
      <w:pPr>
        <w:ind w:left="512" w:hanging="512"/>
        <w:spacing w:after="0" w:line="181" w:lineRule="auto"/>
        <w:tabs>
          <w:tab w:leader="none" w:pos="512"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financial statements).</w:t>
      </w:r>
    </w:p>
    <w:p>
      <w:pPr>
        <w:ind w:left="512" w:hanging="512"/>
        <w:spacing w:after="0" w:line="180" w:lineRule="auto"/>
        <w:tabs>
          <w:tab w:leader="none" w:pos="512"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512" w:hanging="512"/>
        <w:spacing w:after="0" w:line="180" w:lineRule="auto"/>
        <w:tabs>
          <w:tab w:leader="none" w:pos="512"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flexible spending and payroll related accounts.</w:t>
      </w:r>
    </w:p>
    <w:p>
      <w:pPr>
        <w:ind w:left="512" w:hanging="512"/>
        <w:spacing w:after="0" w:line="181" w:lineRule="auto"/>
        <w:tabs>
          <w:tab w:leader="none" w:pos="512" w:val="left"/>
        </w:tabs>
        <w:numPr>
          <w:ilvl w:val="0"/>
          <w:numId w:val="22"/>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spacing w:after="0" w:line="2" w:lineRule="exact"/>
        <w:rPr>
          <w:rFonts w:ascii="Arial" w:cs="Arial" w:eastAsia="Arial" w:hAnsi="Arial"/>
          <w:sz w:val="25"/>
          <w:szCs w:val="25"/>
          <w:color w:val="auto"/>
          <w:vertAlign w:val="superscript"/>
        </w:rPr>
      </w:pPr>
    </w:p>
    <w:p>
      <w:pPr>
        <w:ind w:left="512" w:hanging="512"/>
        <w:spacing w:after="0" w:line="186" w:lineRule="auto"/>
        <w:tabs>
          <w:tab w:leader="none" w:pos="512"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As of December 31, 2012, this CLO Fund Security was not providing a dividend distribution.</w:t>
      </w:r>
    </w:p>
    <w:p>
      <w:pPr>
        <w:spacing w:after="0" w:line="200" w:lineRule="exact"/>
        <w:rPr>
          <w:sz w:val="20"/>
          <w:szCs w:val="20"/>
          <w:color w:val="auto"/>
        </w:rPr>
      </w:pPr>
    </w:p>
    <w:p>
      <w:pPr>
        <w:spacing w:after="0" w:line="2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881" w:right="27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2012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Per Share Data:</w:t>
            </w:r>
          </w:p>
        </w:tc>
        <w:tc>
          <w:tcPr>
            <w:tcW w:w="13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7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7.85</w:t>
            </w:r>
          </w:p>
        </w:tc>
        <w:tc>
          <w:tcPr>
            <w:tcW w:w="60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80" w:type="dxa"/>
            <w:vAlign w:val="bottom"/>
            <w:shd w:val="clear" w:color="auto" w:fill="CCFFCC"/>
          </w:tcPr>
          <w:p>
            <w:pPr>
              <w:ind w:left="160"/>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138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FFCC"/>
          </w:tcPr>
          <w:p>
            <w:pPr>
              <w:spacing w:after="0"/>
              <w:rPr>
                <w:sz w:val="22"/>
                <w:szCs w:val="22"/>
                <w:color w:val="auto"/>
              </w:rPr>
            </w:pPr>
          </w:p>
        </w:tc>
        <w:tc>
          <w:tcPr>
            <w:tcW w:w="540" w:type="dxa"/>
            <w:vAlign w:val="bottom"/>
            <w:shd w:val="clear" w:color="auto" w:fill="CCFFCC"/>
          </w:tcPr>
          <w:p>
            <w:pPr>
              <w:spacing w:after="0"/>
              <w:rPr>
                <w:sz w:val="22"/>
                <w:szCs w:val="22"/>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80" w:type="dxa"/>
            <w:vAlign w:val="bottom"/>
          </w:tcPr>
          <w:p>
            <w:pPr>
              <w:ind w:left="160"/>
              <w:spacing w:after="0" w:line="256" w:lineRule="exact"/>
              <w:rPr>
                <w:sz w:val="20"/>
                <w:szCs w:val="20"/>
                <w:color w:val="auto"/>
              </w:rPr>
            </w:pPr>
            <w:r>
              <w:rPr>
                <w:rFonts w:ascii="Arial" w:cs="Arial" w:eastAsia="Arial" w:hAnsi="Arial"/>
                <w:sz w:val="18"/>
                <w:szCs w:val="18"/>
                <w:color w:val="auto"/>
              </w:rPr>
              <w:t>Net realized gains (losses)</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from investment transactions</w:t>
            </w: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80" w:type="dxa"/>
            <w:vAlign w:val="bottom"/>
            <w:shd w:val="clear" w:color="auto" w:fill="CCFFCC"/>
          </w:tcPr>
          <w:p>
            <w:pPr>
              <w:ind w:left="160"/>
              <w:spacing w:after="0" w:line="269" w:lineRule="exact"/>
              <w:rPr>
                <w:sz w:val="20"/>
                <w:szCs w:val="20"/>
                <w:color w:val="auto"/>
              </w:rPr>
            </w:pPr>
            <w:r>
              <w:rPr>
                <w:rFonts w:ascii="Arial" w:cs="Arial" w:eastAsia="Arial" w:hAnsi="Arial"/>
                <w:sz w:val="18"/>
                <w:szCs w:val="18"/>
                <w:color w:val="auto"/>
              </w:rPr>
              <w:t>Net change in unrealized appreciation (depreciation) on investments</w:t>
            </w:r>
            <w:r>
              <w:rPr>
                <w:rFonts w:ascii="Arial" w:cs="Arial" w:eastAsia="Arial" w:hAnsi="Arial"/>
                <w:sz w:val="30"/>
                <w:szCs w:val="30"/>
                <w:color w:val="auto"/>
                <w:vertAlign w:val="superscript"/>
              </w:rPr>
              <w:t>1</w:t>
            </w:r>
          </w:p>
        </w:tc>
        <w:tc>
          <w:tcPr>
            <w:tcW w:w="138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0.12</w:t>
            </w:r>
          </w:p>
        </w:tc>
        <w:tc>
          <w:tcPr>
            <w:tcW w:w="60" w:type="dxa"/>
            <w:vAlign w:val="bottom"/>
            <w:shd w:val="clear" w:color="auto" w:fill="CCFFCC"/>
          </w:tcPr>
          <w:p>
            <w:pPr>
              <w:spacing w:after="0"/>
              <w:rPr>
                <w:sz w:val="23"/>
                <w:szCs w:val="23"/>
                <w:color w:val="auto"/>
              </w:rPr>
            </w:pPr>
          </w:p>
        </w:tc>
        <w:tc>
          <w:tcPr>
            <w:tcW w:w="540" w:type="dxa"/>
            <w:vAlign w:val="bottom"/>
            <w:shd w:val="clear" w:color="auto" w:fill="CCFFCC"/>
          </w:tcPr>
          <w:p>
            <w:pPr>
              <w:spacing w:after="0"/>
              <w:rPr>
                <w:sz w:val="23"/>
                <w:szCs w:val="23"/>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13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Arial" w:cs="Arial" w:eastAsia="Arial" w:hAnsi="Arial"/>
                <w:sz w:val="18"/>
                <w:szCs w:val="18"/>
                <w:color w:val="auto"/>
              </w:rPr>
              <w:t>Net decrease in net assets resulting from distributions</w:t>
            </w:r>
          </w:p>
        </w:tc>
        <w:tc>
          <w:tcPr>
            <w:tcW w:w="13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Dividends from net investment income</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Net decrease in net assets resulting from distributions</w:t>
            </w:r>
          </w:p>
        </w:tc>
        <w:tc>
          <w:tcPr>
            <w:tcW w:w="138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(0.28)</w:t>
            </w:r>
          </w:p>
        </w:tc>
        <w:tc>
          <w:tcPr>
            <w:tcW w:w="2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5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Issuance of common stock (not including dividend reinvestment plan)</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Issuance of common stock under dividend reinvestment plan</w:t>
            </w:r>
          </w:p>
        </w:tc>
        <w:tc>
          <w:tcPr>
            <w:tcW w:w="13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Stock based compensation expense</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Net increase in net assets from distributions</w:t>
            </w:r>
          </w:p>
        </w:tc>
        <w:tc>
          <w:tcPr>
            <w:tcW w:w="138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5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Borders>
              <w:bottom w:val="single" w:sz="8" w:color="CCFFCC"/>
            </w:tcBorders>
          </w:tcPr>
          <w:p>
            <w:pPr>
              <w:spacing w:after="0"/>
              <w:rPr>
                <w:sz w:val="19"/>
                <w:szCs w:val="19"/>
                <w:color w:val="auto"/>
              </w:rPr>
            </w:pPr>
          </w:p>
        </w:tc>
        <w:tc>
          <w:tcPr>
            <w:tcW w:w="138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asset value, end of period</w:t>
            </w:r>
          </w:p>
        </w:tc>
        <w:tc>
          <w:tcPr>
            <w:tcW w:w="1380" w:type="dxa"/>
            <w:vAlign w:val="bottom"/>
            <w:tcBorders>
              <w:bottom w:val="single" w:sz="8" w:color="CCFFCC"/>
            </w:tcBorders>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8.24</w:t>
            </w:r>
          </w:p>
        </w:tc>
        <w:tc>
          <w:tcPr>
            <w:tcW w:w="220" w:type="dxa"/>
            <w:vAlign w:val="bottom"/>
            <w:tcBorders>
              <w:bottom w:val="single" w:sz="8" w:color="CCFFCC"/>
            </w:tcBorders>
            <w:shd w:val="clear" w:color="auto" w:fill="CCFFCC"/>
          </w:tcPr>
          <w:p>
            <w:pPr>
              <w:spacing w:after="0"/>
              <w:rPr>
                <w:sz w:val="19"/>
                <w:szCs w:val="19"/>
                <w:color w:val="auto"/>
              </w:rPr>
            </w:pPr>
          </w:p>
        </w:tc>
        <w:tc>
          <w:tcPr>
            <w:tcW w:w="60" w:type="dxa"/>
            <w:vAlign w:val="bottom"/>
            <w:tcBorders>
              <w:bottom w:val="single" w:sz="8" w:color="CCFFCC"/>
            </w:tcBorders>
            <w:shd w:val="clear" w:color="auto" w:fill="CCFFCC"/>
          </w:tcPr>
          <w:p>
            <w:pPr>
              <w:spacing w:after="0"/>
              <w:rPr>
                <w:sz w:val="19"/>
                <w:szCs w:val="19"/>
                <w:color w:val="auto"/>
              </w:rPr>
            </w:pPr>
          </w:p>
        </w:tc>
        <w:tc>
          <w:tcPr>
            <w:tcW w:w="540" w:type="dxa"/>
            <w:vAlign w:val="bottom"/>
            <w:tcBorders>
              <w:bottom w:val="single" w:sz="8" w:color="auto"/>
            </w:tcBorders>
            <w:shd w:val="clear" w:color="auto" w:fill="CCFFCC"/>
          </w:tcPr>
          <w:p>
            <w:pPr>
              <w:jc w:val="right"/>
              <w:ind w:right="3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7.66</w:t>
            </w:r>
          </w:p>
        </w:tc>
        <w:tc>
          <w:tcPr>
            <w:tcW w:w="22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tcPr>
          <w:p>
            <w:pPr>
              <w:spacing w:after="0" w:line="250" w:lineRule="exact"/>
              <w:rPr>
                <w:sz w:val="20"/>
                <w:szCs w:val="20"/>
                <w:color w:val="auto"/>
              </w:rPr>
            </w:pPr>
            <w:r>
              <w:rPr>
                <w:rFonts w:ascii="Arial" w:cs="Arial" w:eastAsia="Arial" w:hAnsi="Arial"/>
                <w:sz w:val="17"/>
                <w:szCs w:val="17"/>
                <w:color w:val="auto"/>
              </w:rPr>
              <w:t>Total net asset value return</w:t>
            </w:r>
            <w:r>
              <w:rPr>
                <w:rFonts w:ascii="Arial" w:cs="Arial" w:eastAsia="Arial" w:hAnsi="Arial"/>
                <w:sz w:val="28"/>
                <w:szCs w:val="28"/>
                <w:color w:val="auto"/>
                <w:vertAlign w:val="superscript"/>
              </w:rPr>
              <w:t>2</w:t>
            </w:r>
          </w:p>
        </w:tc>
        <w:tc>
          <w:tcPr>
            <w:tcW w:w="1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Arial" w:cs="Arial" w:eastAsia="Arial" w:hAnsi="Arial"/>
                <w:sz w:val="18"/>
                <w:szCs w:val="18"/>
                <w:color w:val="auto"/>
              </w:rPr>
              <w:t>Per share market value at beginning of period</w:t>
            </w:r>
          </w:p>
        </w:tc>
        <w:tc>
          <w:tcPr>
            <w:tcW w:w="17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9.19</w:t>
            </w:r>
          </w:p>
        </w:tc>
        <w:tc>
          <w:tcPr>
            <w:tcW w:w="600" w:type="dxa"/>
            <w:vAlign w:val="bottom"/>
            <w:gridSpan w:val="2"/>
            <w:shd w:val="clear" w:color="auto" w:fill="CCFFCC"/>
          </w:tcPr>
          <w:p>
            <w:pPr>
              <w:jc w:val="right"/>
              <w:ind w:right="3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17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11.26</w:t>
            </w:r>
          </w:p>
        </w:tc>
        <w:tc>
          <w:tcPr>
            <w:tcW w:w="60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8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Total market return</w:t>
            </w:r>
            <w:r>
              <w:rPr>
                <w:rFonts w:ascii="Arial" w:cs="Arial" w:eastAsia="Arial" w:hAnsi="Arial"/>
                <w:sz w:val="29"/>
                <w:szCs w:val="29"/>
                <w:color w:val="auto"/>
                <w:vertAlign w:val="superscript"/>
              </w:rPr>
              <w:t>3</w:t>
            </w:r>
          </w:p>
        </w:tc>
        <w:tc>
          <w:tcPr>
            <w:tcW w:w="138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FFCC"/>
          </w:tcPr>
          <w:p>
            <w:pPr>
              <w:spacing w:after="0"/>
              <w:rPr>
                <w:sz w:val="22"/>
                <w:szCs w:val="22"/>
                <w:color w:val="auto"/>
              </w:rPr>
            </w:pPr>
          </w:p>
        </w:tc>
        <w:tc>
          <w:tcPr>
            <w:tcW w:w="540" w:type="dxa"/>
            <w:vAlign w:val="bottom"/>
            <w:shd w:val="clear" w:color="auto" w:fill="CCFFCC"/>
          </w:tcPr>
          <w:p>
            <w:pPr>
              <w:spacing w:after="0"/>
              <w:rPr>
                <w:sz w:val="22"/>
                <w:szCs w:val="22"/>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33,298,674</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26,664,132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Arial" w:cs="Arial" w:eastAsia="Arial" w:hAnsi="Arial"/>
                <w:sz w:val="18"/>
                <w:szCs w:val="18"/>
                <w:color w:val="auto"/>
              </w:rPr>
              <w:t>Net assets at end of period</w:t>
            </w:r>
          </w:p>
        </w:tc>
        <w:tc>
          <w:tcPr>
            <w:tcW w:w="17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274,307,840</w:t>
            </w:r>
          </w:p>
        </w:tc>
        <w:tc>
          <w:tcPr>
            <w:tcW w:w="600" w:type="dxa"/>
            <w:vAlign w:val="bottom"/>
            <w:gridSpan w:val="2"/>
            <w:shd w:val="clear" w:color="auto" w:fill="CCFFCC"/>
          </w:tcPr>
          <w:p>
            <w:pPr>
              <w:jc w:val="right"/>
              <w:ind w:right="3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204,160,309</w:t>
            </w: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80" w:type="dxa"/>
            <w:vAlign w:val="bottom"/>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4</w:t>
            </w: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Arial" w:cs="Arial" w:eastAsia="Arial" w:hAnsi="Arial"/>
                <w:sz w:val="18"/>
                <w:szCs w:val="18"/>
                <w:color w:val="auto"/>
              </w:rPr>
              <w:t>Average debt outstanding</w:t>
            </w:r>
          </w:p>
        </w:tc>
        <w:tc>
          <w:tcPr>
            <w:tcW w:w="17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104,537,912</w:t>
            </w:r>
          </w:p>
        </w:tc>
        <w:tc>
          <w:tcPr>
            <w:tcW w:w="600" w:type="dxa"/>
            <w:vAlign w:val="bottom"/>
            <w:gridSpan w:val="2"/>
            <w:shd w:val="clear" w:color="auto" w:fill="CCFFCC"/>
          </w:tcPr>
          <w:p>
            <w:pPr>
              <w:jc w:val="right"/>
              <w:ind w:right="3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67,604,396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Weighted average debt outstanding</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Arial" w:cs="Arial" w:eastAsia="Arial" w:hAnsi="Arial"/>
                <w:sz w:val="18"/>
                <w:szCs w:val="18"/>
                <w:color w:val="auto"/>
              </w:rPr>
              <w:t>Asset coverage ratio</w:t>
            </w:r>
          </w:p>
        </w:tc>
        <w:tc>
          <w:tcPr>
            <w:tcW w:w="13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239%</w:t>
            </w:r>
          </w:p>
        </w:tc>
        <w:tc>
          <w:tcPr>
            <w:tcW w:w="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80" w:type="dxa"/>
            <w:vAlign w:val="bottom"/>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5</w:t>
            </w: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8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9"/>
                <w:szCs w:val="29"/>
                <w:color w:val="auto"/>
                <w:vertAlign w:val="superscript"/>
              </w:rPr>
              <w:t>5</w:t>
            </w:r>
          </w:p>
        </w:tc>
        <w:tc>
          <w:tcPr>
            <w:tcW w:w="138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FFCC"/>
          </w:tcPr>
          <w:p>
            <w:pPr>
              <w:spacing w:after="0"/>
              <w:rPr>
                <w:sz w:val="22"/>
                <w:szCs w:val="22"/>
                <w:color w:val="auto"/>
              </w:rPr>
            </w:pPr>
          </w:p>
        </w:tc>
        <w:tc>
          <w:tcPr>
            <w:tcW w:w="540" w:type="dxa"/>
            <w:vAlign w:val="bottom"/>
            <w:shd w:val="clear" w:color="auto" w:fill="CCFFCC"/>
          </w:tcPr>
          <w:p>
            <w:pPr>
              <w:spacing w:after="0"/>
              <w:rPr>
                <w:sz w:val="22"/>
                <w:szCs w:val="22"/>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80" w:type="dxa"/>
            <w:vAlign w:val="bottom"/>
          </w:tcPr>
          <w:p>
            <w:pPr>
              <w:spacing w:after="0" w:line="256" w:lineRule="exact"/>
              <w:rPr>
                <w:sz w:val="20"/>
                <w:szCs w:val="20"/>
                <w:color w:val="auto"/>
              </w:rPr>
            </w:pPr>
            <w:r>
              <w:rPr>
                <w:rFonts w:ascii="Arial" w:cs="Arial" w:eastAsia="Arial" w:hAnsi="Arial"/>
                <w:sz w:val="18"/>
                <w:szCs w:val="18"/>
                <w:color w:val="auto"/>
              </w:rPr>
              <w:t>Ratio of interest expense to average net assets</w:t>
            </w:r>
            <w:r>
              <w:rPr>
                <w:rFonts w:ascii="Arial" w:cs="Arial" w:eastAsia="Arial" w:hAnsi="Arial"/>
                <w:sz w:val="29"/>
                <w:szCs w:val="29"/>
                <w:color w:val="auto"/>
                <w:vertAlign w:val="superscript"/>
              </w:rPr>
              <w:t>5</w:t>
            </w: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8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Ratio of non-interest expenses to average net assets</w:t>
            </w:r>
            <w:r>
              <w:rPr>
                <w:rFonts w:ascii="Arial" w:cs="Arial" w:eastAsia="Arial" w:hAnsi="Arial"/>
                <w:sz w:val="29"/>
                <w:szCs w:val="29"/>
                <w:color w:val="auto"/>
                <w:vertAlign w:val="superscript"/>
              </w:rPr>
              <w:t>5</w:t>
            </w:r>
          </w:p>
        </w:tc>
        <w:tc>
          <w:tcPr>
            <w:tcW w:w="138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FFCC"/>
          </w:tcPr>
          <w:p>
            <w:pPr>
              <w:spacing w:after="0"/>
              <w:rPr>
                <w:sz w:val="22"/>
                <w:szCs w:val="22"/>
                <w:color w:val="auto"/>
              </w:rPr>
            </w:pPr>
          </w:p>
        </w:tc>
        <w:tc>
          <w:tcPr>
            <w:tcW w:w="540" w:type="dxa"/>
            <w:vAlign w:val="bottom"/>
            <w:shd w:val="clear" w:color="auto" w:fill="CCFFCC"/>
          </w:tcPr>
          <w:p>
            <w:pPr>
              <w:spacing w:after="0"/>
              <w:rPr>
                <w:sz w:val="22"/>
                <w:szCs w:val="22"/>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Based on average number of common shares outstanding for the period.</w:t>
      </w:r>
    </w:p>
    <w:p>
      <w:pPr>
        <w:spacing w:after="0" w:line="26" w:lineRule="exact"/>
        <w:rPr>
          <w:sz w:val="20"/>
          <w:szCs w:val="20"/>
          <w:color w:val="auto"/>
        </w:rPr>
      </w:pPr>
    </w:p>
    <w:p>
      <w:pPr>
        <w:ind w:right="120" w:firstLine="8"/>
        <w:spacing w:after="0" w:line="194" w:lineRule="auto"/>
        <w:tabs>
          <w:tab w:leader="none" w:pos="342"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Total net asset value return (not annualized) equals the change in the net asset value per share over the beginning of period net asset value per share plus dividends, divided by the beginning net asset value per share less proceeds from issuance of common shares.</w:t>
      </w:r>
    </w:p>
    <w:p>
      <w:pPr>
        <w:spacing w:after="0" w:line="243" w:lineRule="exact"/>
        <w:rPr>
          <w:sz w:val="20"/>
          <w:szCs w:val="20"/>
          <w:color w:val="auto"/>
        </w:rPr>
      </w:pPr>
    </w:p>
    <w:p>
      <w:pPr>
        <w:ind w:right="100" w:firstLine="8"/>
        <w:spacing w:after="0" w:line="194" w:lineRule="auto"/>
        <w:tabs>
          <w:tab w:leader="none" w:pos="297"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Total market return (not annualized) equals the change in the ending market price over the beginning of period price per share plus dividends, divided by the beginning price.</w:t>
      </w:r>
    </w:p>
    <w:p>
      <w:pPr>
        <w:spacing w:after="0" w:line="128" w:lineRule="exact"/>
        <w:rPr>
          <w:sz w:val="20"/>
          <w:szCs w:val="20"/>
          <w:color w:val="auto"/>
        </w:rPr>
      </w:pPr>
    </w:p>
    <w:p>
      <w:pPr>
        <w:ind w:left="300" w:hanging="292"/>
        <w:spacing w:after="0"/>
        <w:tabs>
          <w:tab w:leader="none" w:pos="30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Not annualized. Portfolio turnover rate equals the year-to-date sales and paydowns over the average of the invested assets at fair value.</w:t>
      </w:r>
    </w:p>
    <w:p>
      <w:pPr>
        <w:spacing w:after="0" w:line="128" w:lineRule="exact"/>
        <w:rPr>
          <w:sz w:val="20"/>
          <w:szCs w:val="20"/>
          <w:color w:val="auto"/>
        </w:rPr>
      </w:pPr>
    </w:p>
    <w:p>
      <w:pPr>
        <w:ind w:left="300" w:hanging="292"/>
        <w:spacing w:after="0"/>
        <w:tabs>
          <w:tab w:leader="none" w:pos="30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Annualized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firstLine="270"/>
        <w:spacing w:after="0" w:line="269" w:lineRule="auto"/>
        <w:rPr>
          <w:sz w:val="20"/>
          <w:szCs w:val="20"/>
          <w:color w:val="auto"/>
        </w:rPr>
      </w:pPr>
      <w:r>
        <w:rPr>
          <w:rFonts w:ascii="Arial" w:cs="Arial" w:eastAsia="Arial" w:hAnsi="Arial"/>
          <w:sz w:val="17"/>
          <w:szCs w:val="17"/>
          <w:color w:val="auto"/>
        </w:rPr>
        <w:t>KCAP Financial, Inc. (“KCAP” or the “Company”) is an internally managed, non-diversified closed-end investment company that is regulated as a business development company (“BDC”) under the Investment Company Act of 1940. The Company originates, structures, and invests in senior secured term loans, mezzanine debt and selected equity securities primarily in privately-held middle market companies. The Company defines the middle market as comprising of companies with earnings before interest, taxes, depreciation and amortization (“EBITDA”), of $10 million to $50 million and/or total debt of $25 million to $150 million. The Company was formed as a Delaware limited liability company on August 8, 2006 and, prior to the issuance of shares of the Company’s common stock in its initial public offering (“IPO”), converted to a corporation incorporated in Delaware on December 11, 2006. Prior to its IPO, the Company did not have material operations. The Company’s IPO of 14,462,000 shares of common stock raised net proceeds of approximately $200 million. Prior to the IPO, the Company issued 3,484,333 shares to affiliates of Kohlberg &amp; Co., L.L.C., a leading middle market private equity firm, in exchange for the contribution to the Company of their ownership interests in Katonah Debt Advisors, L.L.C., and related affiliates controlled by the company (collectively, “Katonah Debt Advisors”) and in securities issued by collateralized loan obligation funds (“CLO Funds”) managed by Katonah Debt Advisors and two other asset managers.</w:t>
      </w:r>
    </w:p>
    <w:p>
      <w:pPr>
        <w:spacing w:after="0" w:line="183" w:lineRule="exact"/>
        <w:rPr>
          <w:sz w:val="20"/>
          <w:szCs w:val="20"/>
          <w:color w:val="auto"/>
        </w:rPr>
      </w:pPr>
    </w:p>
    <w:p>
      <w:pPr>
        <w:ind w:right="20" w:firstLine="270"/>
        <w:spacing w:after="0" w:line="272" w:lineRule="auto"/>
        <w:rPr>
          <w:sz w:val="20"/>
          <w:szCs w:val="20"/>
          <w:color w:val="auto"/>
        </w:rPr>
      </w:pPr>
      <w:r>
        <w:rPr>
          <w:rFonts w:ascii="Arial" w:cs="Arial" w:eastAsia="Arial" w:hAnsi="Arial"/>
          <w:sz w:val="17"/>
          <w:szCs w:val="17"/>
          <w:color w:val="auto"/>
        </w:rPr>
        <w:t>On February 29, 2012, the Company purchased Trimaran Advisors, L.L.C. (“Trimaran Advisors”), a CLO manager similar to Katonah Debt Advisors with assets under management of approximately $1.5 billion, for total consideration of $13.0 million in cash and 3,600,000 shares of the Company’s common stock. Contemporaneously with the acquisition of Trimaran Advisors, the Company acquired from Trimaran Advisors equity interests in certain CLO Funds managed by Trimaran Advisors for an aggregate purchase price of $12.0 million in cash. As of June 30, 2013, Katonah Debt Advisors and Trimaran Advisors are the Company’s only wholly-owned portfolio companies (collectively, “Asset Manager Affiliates”) and have approximately $3.7 billion of par value assets under management. The Asset Manager Affiliates are registered under the Investment Advisers Act of 1940 and are managed independently from the Company by separate management teams and investment committees.</w:t>
      </w:r>
    </w:p>
    <w:p>
      <w:pPr>
        <w:spacing w:after="0" w:line="178" w:lineRule="exact"/>
        <w:rPr>
          <w:sz w:val="20"/>
          <w:szCs w:val="20"/>
          <w:color w:val="auto"/>
        </w:rPr>
      </w:pPr>
    </w:p>
    <w:p>
      <w:pPr>
        <w:ind w:right="20" w:firstLine="270"/>
        <w:spacing w:after="0" w:line="279" w:lineRule="auto"/>
        <w:rPr>
          <w:sz w:val="20"/>
          <w:szCs w:val="20"/>
          <w:color w:val="auto"/>
        </w:rPr>
      </w:pPr>
      <w:r>
        <w:rPr>
          <w:rFonts w:ascii="Arial" w:cs="Arial" w:eastAsia="Arial" w:hAnsi="Arial"/>
          <w:sz w:val="17"/>
          <w:szCs w:val="17"/>
          <w:color w:val="auto"/>
        </w:rPr>
        <w:t>The Company’s investment objective is to generate current income and capital appreciation from investments made in senior secured term loans, mezzanine debt and selected equity investments in privately-held middle market companies. The Company also expects to continue to receive distributions of recurring fee income and to generate capital appreciation from its investment in the asset management business of the Asset Manager Affiliates. The Asset Manager Affiliates manage CLO Funds which invest in broadly syndicated loans, high-yield bonds and other credit instruments.</w:t>
      </w:r>
    </w:p>
    <w:p>
      <w:pPr>
        <w:spacing w:after="0" w:line="171" w:lineRule="exact"/>
        <w:rPr>
          <w:sz w:val="20"/>
          <w:szCs w:val="20"/>
          <w:color w:val="auto"/>
        </w:rPr>
      </w:pPr>
    </w:p>
    <w:p>
      <w:pPr>
        <w:ind w:right="80" w:firstLine="270"/>
        <w:spacing w:after="0" w:line="279" w:lineRule="auto"/>
        <w:rPr>
          <w:sz w:val="20"/>
          <w:szCs w:val="20"/>
          <w:color w:val="auto"/>
        </w:rPr>
      </w:pPr>
      <w:r>
        <w:rPr>
          <w:rFonts w:ascii="Arial" w:cs="Arial" w:eastAsia="Arial" w:hAnsi="Arial"/>
          <w:sz w:val="17"/>
          <w:szCs w:val="17"/>
          <w:color w:val="auto"/>
        </w:rPr>
        <w:t>While the Company’s primary investment focus is on making loans to, and selected equity investments in, privately-held middle market companies, the Company may also invest in other investments such as loans to larger, publicly-traded companies, high-yield bonds and distressed debt securities. The Company may also receive warrants or options to purchase common stock in connection with its debt investments. In addition, the Company may also invest in debt and equity securities issued by the CLO Funds managed by our Asset Manager Affiliates or by other asset managers.</w:t>
      </w:r>
    </w:p>
    <w:p>
      <w:pPr>
        <w:spacing w:after="0" w:line="171"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taxes on any income that it distributes in a timely manner to its stockholders.</w:t>
      </w:r>
    </w:p>
    <w:p>
      <w:pPr>
        <w:spacing w:after="0" w:line="18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Company consolidated the results of KCAP Senior Funding I, LLC and KCAP Senior Funding I Holdings, LLC in its consolidated financial statements as KCAP Senior Funding I, LLC and KCAP Senior Funding I Holdings, LLC are operated solely for investment activities of the Company. The creditors of KCAP Senior Funding I, LLC have received security interests in the assets owned by KCAP Senior Funding I, LLC and such assets are not intended to be available to the creditors of KCAP Financial, Inc., or any other affiliate.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8" w:name="page29"/>
    <w:bookmarkEnd w:id="28"/>
    <w:p>
      <w:pPr>
        <w:ind w:left="340" w:right="7820" w:hanging="332"/>
        <w:spacing w:after="0" w:line="503" w:lineRule="auto"/>
        <w:tabs>
          <w:tab w:leader="none" w:pos="196"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180" w:firstLine="414"/>
        <w:spacing w:after="0" w:line="257" w:lineRule="auto"/>
        <w:rPr>
          <w:sz w:val="20"/>
          <w:szCs w:val="20"/>
          <w:color w:val="auto"/>
        </w:rPr>
      </w:pPr>
      <w:r>
        <w:rPr>
          <w:rFonts w:ascii="Arial" w:cs="Arial" w:eastAsia="Arial" w:hAnsi="Arial"/>
          <w:sz w:val="18"/>
          <w:szCs w:val="18"/>
          <w:color w:val="auto"/>
        </w:rPr>
        <w:t>The accompanying unaudited financial statements have been prepared on the accrual basis of accounting in conformity with accounting principles generally accepted in the United States of America (“GAAP”) for interim financial information. Accordingly, they do not include all of the information and footnotes required for annual financial statements. The unaudited interim financial statements and notes thereto should be read in conjunction with the financial statements and notes thereto in the Company’s Form 10-K for the year ended December 31, 2012, as filed with the U.S. Securities and Exchange Commission (the “Commission” or the “SEC”).</w:t>
      </w:r>
    </w:p>
    <w:p>
      <w:pPr>
        <w:spacing w:after="0" w:line="188"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financial statements reflect all adjustments, both normal and recurring which, in the opinion of management, are necessary for the fair presentation of the Company’s results of operations and financial condition for the periods presented. Furthermore, the preparation of the financial statements requires management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w:t>
      </w:r>
    </w:p>
    <w:p>
      <w:pPr>
        <w:spacing w:after="0" w:line="1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accompanying financial statements reflect the consolidated accounts of the Company and its special purpose financing subsidiaries, KCAP Funding, KCAP Senior Funding I, LLC and KCAP Senior Funding I Holdings, LLC, (see Note 4) with all significant intercompany balances eliminated. 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The Asset Manager Affiliates are subject to Accounting Standards Codification Topic 810, “Consolidation” and although the Company cannot consolidate portfolio company investments, this guidance impacted the required disclosures relating to the Asset Manager Affiliates, as it requires the Asset Manager Affiliates to consolidate their managed CLO Funds. As a result of the consolidation of these CLOs into the Asset Manager Affiliates, the Asset Manager Affiliates qualify as a “significant subsidiary” and, as a result, the Company is required to include additional disclosures regarding the Asset Manager Affiliates in its filings with the SEC. The additional financial information regarding the Asset Manager Affiliates do not directly impact the financial position or results of operations of the Company.</w:t>
      </w:r>
    </w:p>
    <w:p>
      <w:pPr>
        <w:spacing w:after="0" w:line="17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addition, Katonah 2007-I Ltd. qualifies as a “significant subsidiary” and the Company is also required to provide additional disclosures relating to it. Katonah 2007-I CLO Ltd is an exempted company incorporated in November 15, 2006 with limited liability under the laws of the Cayman Islands for the sole purpose of investing in broadly syndicated loans, high-yield bonds and other credit instruments. The fund is what is commonly known as a collateralized loan obligation fund (“CLO Fund”). The additional disclosures regarding Katonah 2007-I Ltd. do not directly impact the financial position or results of operations of the Company.</w:t>
      </w:r>
    </w:p>
    <w:p>
      <w:pPr>
        <w:spacing w:after="0" w:line="18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additional financial information regarding the Asset Manager Affiliates and Katonah 2007-I CLO Ltd. (“Katonah 2007-I CLO”) can be found in Note 5 – Asset Manager Affiliates, below.</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248" w:lineRule="exact"/>
        <w:rPr>
          <w:sz w:val="20"/>
          <w:szCs w:val="20"/>
          <w:color w:val="auto"/>
        </w:rPr>
      </w:pPr>
    </w:p>
    <w:p>
      <w:pPr>
        <w:ind w:right="40" w:firstLine="414"/>
        <w:spacing w:after="0" w:line="270" w:lineRule="auto"/>
        <w:rPr>
          <w:sz w:val="20"/>
          <w:szCs w:val="20"/>
          <w:color w:val="auto"/>
        </w:rPr>
      </w:pPr>
      <w:r>
        <w:rPr>
          <w:rFonts w:ascii="Arial" w:cs="Arial" w:eastAsia="Arial" w:hAnsi="Arial"/>
          <w:sz w:val="17"/>
          <w:szCs w:val="17"/>
          <w:i w:val="1"/>
          <w:iCs w:val="1"/>
          <w:color w:val="auto"/>
        </w:rPr>
        <w:t>Valuation of Portfolio Investments</w:t>
      </w:r>
      <w:r>
        <w:rPr>
          <w:rFonts w:ascii="Arial" w:cs="Arial" w:eastAsia="Arial" w:hAnsi="Arial"/>
          <w:sz w:val="17"/>
          <w:szCs w:val="17"/>
          <w:color w:val="auto"/>
        </w:rPr>
        <w:t>. The Company’s Board of Directors is ultimately and solely responsible for making a good faith determination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the Valuation Committee of the Board of Directors, and, in certain circumstances, third parties with valuation expertise. Valuations are conducted by management on 100% of the investment portfolio at the end of each quarter. The Company follows the provisions of ASC Fair Value Measurements and Disclosures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 This standard defines fair value, establishes a framework for measuring fair value, and expands disclosures about assets and liabilities measured at fair value.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defines “fair value” as the price that would be received to sell an asset or paid to transfer a liability in an orderly transaction between market participants at the measurement date. Subsequent to the adoption of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the FASB has issued various staff positions clarifying the initial standard as noted below.</w:t>
      </w:r>
    </w:p>
    <w:p>
      <w:pPr>
        <w:spacing w:after="0" w:line="178" w:lineRule="exact"/>
        <w:rPr>
          <w:sz w:val="20"/>
          <w:szCs w:val="20"/>
          <w:color w:val="auto"/>
        </w:rPr>
      </w:pPr>
    </w:p>
    <w:p>
      <w:pPr>
        <w:ind w:right="200" w:firstLine="414"/>
        <w:spacing w:after="0" w:line="259" w:lineRule="auto"/>
        <w:rPr>
          <w:sz w:val="20"/>
          <w:szCs w:val="20"/>
          <w:color w:val="auto"/>
        </w:rPr>
      </w:pPr>
      <w:r>
        <w:rPr>
          <w:rFonts w:ascii="Arial" w:cs="Arial" w:eastAsia="Arial" w:hAnsi="Arial"/>
          <w:sz w:val="18"/>
          <w:szCs w:val="18"/>
          <w:color w:val="auto"/>
        </w:rPr>
        <w:t>The FASB issued guidance that clarified and required disclosures about fair value measurements. The clarifications and requirement to disclose the amounts and reasons for significant transfers between Level I and Level II, as well as significant transfers in and out of Level III of the fair value hierarchy. Note 4 - Investments below reflects the amended disclosure requirements. The guidance also required that purchases, sales, issuances and settlements be presented gross in the Level III reconciliation.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9" w:name="page30"/>
    <w:bookmarkEnd w:id="29"/>
    <w:p>
      <w:pPr>
        <w:ind w:right="120" w:firstLine="414"/>
        <w:spacing w:after="0" w:line="277" w:lineRule="auto"/>
        <w:rPr>
          <w:sz w:val="20"/>
          <w:szCs w:val="20"/>
          <w:color w:val="auto"/>
        </w:rPr>
      </w:pP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requires the disclosure in interim and annual periods of the inputs and valuation techniques used to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and a discussion of changes in valuation techniques and related inputs, if any, during the period.</w:t>
      </w:r>
    </w:p>
    <w:p>
      <w:pPr>
        <w:spacing w:after="0" w:line="170"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Since 2010, the Company engaged an independent valuation firm to provide a third-party review of the CLO fair value model relative to its functionality, model inputs and calculations as a reasonable method to determine CLO fair values, in the absence of Level 1 or Level 2 trading activity or observable market inputs. The independent valuation firm concluded that the Company’s CLO model appropriately factors in all the necessary inputs required to build a CLO equity cash flow model for fair value purposes and that the inputs were being employed correctly.</w:t>
      </w:r>
    </w:p>
    <w:p>
      <w:pPr>
        <w:spacing w:after="0" w:line="187" w:lineRule="exact"/>
        <w:rPr>
          <w:sz w:val="20"/>
          <w:szCs w:val="20"/>
          <w:color w:val="auto"/>
        </w:rPr>
      </w:pPr>
    </w:p>
    <w:p>
      <w:pPr>
        <w:ind w:right="120" w:firstLine="414"/>
        <w:spacing w:after="0" w:line="255" w:lineRule="auto"/>
        <w:rPr>
          <w:sz w:val="20"/>
          <w:szCs w:val="20"/>
          <w:color w:val="auto"/>
        </w:rPr>
      </w:pPr>
      <w:r>
        <w:rPr>
          <w:rFonts w:ascii="Arial" w:cs="Arial" w:eastAsia="Arial" w:hAnsi="Arial"/>
          <w:sz w:val="18"/>
          <w:szCs w:val="18"/>
          <w:color w:val="auto"/>
        </w:rPr>
        <w:t>The Company has engaged an independent valuation firm to provide third party valuation consulting services to the Company’s Board of Directors. Each quarter the independent valuation firm will perform third party valuations of the Company’s investments on illiquid securities such that they are reviewed at least once during a trailing 12 month period. Third party valuations were performed on approximately 5% of investments at fair value excluding our investments in the Asset Manager Affiliates and CLO Fund Securities for the three months ended June 30, 2013. These third party valuation estimates were considered as one of the relevant data inputs in the Company’s determination of fair value. The Board of Directors intends to continue to engage an independent valuation firm in the future to provide certain valuation services, including the review of certain portfolio assets, as part of the quarterly and annual year-end valuation process.</w:t>
      </w:r>
    </w:p>
    <w:p>
      <w:pPr>
        <w:spacing w:after="0" w:line="189" w:lineRule="exact"/>
        <w:rPr>
          <w:sz w:val="20"/>
          <w:szCs w:val="20"/>
          <w:color w:val="auto"/>
        </w:rPr>
      </w:pPr>
    </w:p>
    <w:p>
      <w:pPr>
        <w:ind w:right="20" w:firstLine="414"/>
        <w:spacing w:after="0" w:line="255" w:lineRule="auto"/>
        <w:rPr>
          <w:sz w:val="20"/>
          <w:szCs w:val="20"/>
          <w:color w:val="auto"/>
        </w:rPr>
      </w:pPr>
      <w:r>
        <w:rPr>
          <w:rFonts w:ascii="Arial" w:cs="Arial" w:eastAsia="Arial" w:hAnsi="Arial"/>
          <w:sz w:val="18"/>
          <w:szCs w:val="18"/>
          <w:color w:val="auto"/>
        </w:rPr>
        <w:t>The Board of Directors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ready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valuation methodology and procedures are as follows:</w:t>
      </w:r>
    </w:p>
    <w:p>
      <w:pPr>
        <w:spacing w:after="0" w:line="225" w:lineRule="exact"/>
        <w:rPr>
          <w:sz w:val="20"/>
          <w:szCs w:val="20"/>
          <w:color w:val="auto"/>
        </w:rPr>
      </w:pPr>
    </w:p>
    <w:p>
      <w:pPr>
        <w:ind w:left="1960" w:right="80" w:hanging="804"/>
        <w:spacing w:after="0" w:line="276" w:lineRule="auto"/>
        <w:tabs>
          <w:tab w:leader="none" w:pos="1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Each portfolio company or investment is cross-referenced to an independent pricing service to determine if a current market quote is available. The nature and quality of such quote is reviewed to determine reliability and relevance of the quote. Factors considered in this determination include whether the quote is from a transaction or is a broker quote, the date and aging of such quote, whether the transaction is arms-length, whether it is of a liquidation or distressed nature and certain other factors judged to be relevant by management within the framework of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jc w:val="both"/>
        <w:ind w:left="1960" w:right="180" w:hanging="804"/>
        <w:spacing w:after="0" w:line="264"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an investment does not have a market quotation on either a broad market exchange or from an independent pricing service, the investment is initially valued by the Company’s investment professionals responsible for the portfolio investment in conjunction with the portfolio management team.</w:t>
      </w:r>
    </w:p>
    <w:p>
      <w:pPr>
        <w:spacing w:after="0" w:line="181" w:lineRule="exact"/>
        <w:rPr>
          <w:rFonts w:ascii="Arial" w:cs="Arial" w:eastAsia="Arial" w:hAnsi="Arial"/>
          <w:sz w:val="18"/>
          <w:szCs w:val="18"/>
          <w:color w:val="auto"/>
        </w:rPr>
      </w:pPr>
    </w:p>
    <w:p>
      <w:pPr>
        <w:ind w:left="1960" w:hanging="804"/>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Preliminary valuation conclusions are discussed and documented by management.</w:t>
      </w:r>
    </w:p>
    <w:p>
      <w:pPr>
        <w:spacing w:after="0" w:line="225" w:lineRule="exact"/>
        <w:rPr>
          <w:rFonts w:ascii="Arial" w:cs="Arial" w:eastAsia="Arial" w:hAnsi="Arial"/>
          <w:sz w:val="18"/>
          <w:szCs w:val="18"/>
          <w:color w:val="auto"/>
        </w:rPr>
      </w:pPr>
    </w:p>
    <w:p>
      <w:pPr>
        <w:ind w:left="1960" w:right="360" w:hanging="804"/>
        <w:spacing w:after="0" w:line="286" w:lineRule="auto"/>
        <w:tabs>
          <w:tab w:leader="none" w:pos="1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Debt securities, equity securities, CLO Fund securities and the Asset Manager Affiliates will be selected for review by an independent valuation firm, which is engaged by the Company’s Board of Directors. Such independent valuation firm reviews management’s preliminary valuations and makes their own independent valuation assessment.</w:t>
      </w:r>
    </w:p>
    <w:p>
      <w:pPr>
        <w:spacing w:after="0" w:line="165" w:lineRule="exact"/>
        <w:rPr>
          <w:rFonts w:ascii="Arial" w:cs="Arial" w:eastAsia="Arial" w:hAnsi="Arial"/>
          <w:sz w:val="17"/>
          <w:szCs w:val="17"/>
          <w:color w:val="auto"/>
        </w:rPr>
      </w:pPr>
    </w:p>
    <w:p>
      <w:pPr>
        <w:ind w:left="1960" w:right="580" w:hanging="804"/>
        <w:spacing w:after="0" w:line="277"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Valuation Committee of the Board of Directors reviews the portfolio valuations, as well as the input and report of such independent valuation firm, as applicable.</w:t>
      </w:r>
    </w:p>
    <w:p>
      <w:pPr>
        <w:spacing w:after="0" w:line="170" w:lineRule="exact"/>
        <w:rPr>
          <w:rFonts w:ascii="Arial" w:cs="Arial" w:eastAsia="Arial" w:hAnsi="Arial"/>
          <w:sz w:val="18"/>
          <w:szCs w:val="18"/>
          <w:color w:val="auto"/>
        </w:rPr>
      </w:pPr>
    </w:p>
    <w:p>
      <w:pPr>
        <w:ind w:left="1960" w:right="300" w:hanging="804"/>
        <w:spacing w:after="0" w:line="342" w:lineRule="auto"/>
        <w:tabs>
          <w:tab w:leader="none" w:pos="1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Upon approval of the investment valuations by the Valuation Committee of the Board of Directors, the Audit Committee of the Board of Directors reviews the results for inclusion in the Company’s quarterly and annual financial statements, as applicable.</w:t>
      </w:r>
    </w:p>
    <w:p>
      <w:pPr>
        <w:spacing w:after="0" w:line="123" w:lineRule="exact"/>
        <w:rPr>
          <w:rFonts w:ascii="Arial" w:cs="Arial" w:eastAsia="Arial" w:hAnsi="Arial"/>
          <w:sz w:val="16"/>
          <w:szCs w:val="16"/>
          <w:color w:val="auto"/>
        </w:rPr>
      </w:pPr>
    </w:p>
    <w:p>
      <w:pPr>
        <w:ind w:left="1960" w:hanging="804"/>
        <w:spacing w:after="0" w:line="286" w:lineRule="auto"/>
        <w:tabs>
          <w:tab w:leader="none" w:pos="1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Board of Directors discusses the valuations and determines in good faith that the fair values of each investment in the portfolio is reasonable based upon any applicable independent pricing service, input of management, estimates from independent valuation firms (if any) and the recommendations of the Valuation Committee of the Board of Directors.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0" w:name="page31"/>
    <w:bookmarkEnd w:id="30"/>
    <w:p>
      <w:pPr>
        <w:ind w:right="180" w:firstLine="414"/>
        <w:spacing w:after="0" w:line="302" w:lineRule="auto"/>
        <w:rPr>
          <w:sz w:val="20"/>
          <w:szCs w:val="20"/>
          <w:color w:val="auto"/>
        </w:rPr>
      </w:pPr>
      <w:r>
        <w:rPr>
          <w:rFonts w:ascii="Arial" w:cs="Arial" w:eastAsia="Arial" w:hAnsi="Arial"/>
          <w:sz w:val="16"/>
          <w:szCs w:val="16"/>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including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54" w:lineRule="exact"/>
        <w:rPr>
          <w:sz w:val="20"/>
          <w:szCs w:val="20"/>
          <w:color w:val="auto"/>
        </w:rPr>
      </w:pPr>
    </w:p>
    <w:p>
      <w:pPr>
        <w:ind w:firstLine="414"/>
        <w:spacing w:after="0" w:line="272" w:lineRule="auto"/>
        <w:rPr>
          <w:sz w:val="20"/>
          <w:szCs w:val="20"/>
          <w:color w:val="auto"/>
        </w:rPr>
      </w:pPr>
      <w:r>
        <w:rPr>
          <w:rFonts w:ascii="Arial" w:cs="Arial" w:eastAsia="Arial" w:hAnsi="Arial"/>
          <w:sz w:val="17"/>
          <w:szCs w:val="17"/>
          <w:i w:val="1"/>
          <w:iCs w:val="1"/>
          <w:color w:val="auto"/>
        </w:rPr>
        <w:t xml:space="preserve">Debt Securities. </w:t>
      </w:r>
      <w:r>
        <w:rPr>
          <w:rFonts w:ascii="Arial" w:cs="Arial" w:eastAsia="Arial" w:hAnsi="Arial"/>
          <w:sz w:val="17"/>
          <w:szCs w:val="17"/>
          <w:color w:val="auto"/>
        </w:rPr>
        <w:t>To the extent that the Company’s investments are exchange traded and are priced or have sufficient price indications from normal</w:t>
      </w:r>
      <w:r>
        <w:rPr>
          <w:rFonts w:ascii="Arial" w:cs="Arial" w:eastAsia="Arial" w:hAnsi="Arial"/>
          <w:sz w:val="17"/>
          <w:szCs w:val="17"/>
          <w:i w:val="1"/>
          <w:iCs w:val="1"/>
          <w:color w:val="auto"/>
        </w:rPr>
        <w:t xml:space="preserve"> </w:t>
      </w:r>
      <w:r>
        <w:rPr>
          <w:rFonts w:ascii="Arial" w:cs="Arial" w:eastAsia="Arial" w:hAnsi="Arial"/>
          <w:sz w:val="17"/>
          <w:szCs w:val="17"/>
          <w:color w:val="auto"/>
        </w:rPr>
        <w:t>course trading at or around the valuation date (financial reporting date), such pricing will determine fair value. Pricing service marks from third party pricing services may be used as an indication of fair value, depending on the volume and reliability of the marks, sufficient and reasonable correlation of bid and ask quotes, and, most importantly, the level of actual trading activity. However, the Company has been unable to identify directly comparable market indices or other market guidance that correlate directly to the types of investments the Company owns. As a result, for most of its assets, the Company determines fair value using alternative methodologies using available market data, as adjusted, to reflect the types of assets the Company owns, their structure, qualitative and credit attributes and other asset specific characteristics.</w:t>
      </w:r>
    </w:p>
    <w:p>
      <w:pPr>
        <w:spacing w:after="0" w:line="178" w:lineRule="exact"/>
        <w:rPr>
          <w:sz w:val="20"/>
          <w:szCs w:val="20"/>
          <w:color w:val="auto"/>
        </w:rPr>
      </w:pPr>
    </w:p>
    <w:p>
      <w:pPr>
        <w:ind w:firstLine="41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underlying assets with discount rates imputed by broad market indices, bond spreads and yields for comparable issuers relative to the subject assets (the “Market Yield Approach”) and also considers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 two benchmark indices, these market indices may require significant adjustment to better correlate such market data for the calculation of fair value of the investment under the Market Yield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Schedules of Investments.</w:t>
      </w:r>
    </w:p>
    <w:p>
      <w:pPr>
        <w:spacing w:after="0" w:line="175" w:lineRule="exact"/>
        <w:rPr>
          <w:sz w:val="20"/>
          <w:szCs w:val="20"/>
          <w:color w:val="auto"/>
        </w:rPr>
      </w:pPr>
    </w:p>
    <w:p>
      <w:pPr>
        <w:ind w:right="60" w:firstLine="414"/>
        <w:spacing w:after="0" w:line="255"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enterprise value of the portfolio company, which is determined using various factors, including EBITDA (earnings before interest, taxes, depreciation and amortization) and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The values of the Company’s equity securities in public companies for which market quotations are readily available are based upon the closing public market prices on the balance sheet date. Securities that carry certain restrictions on sale are typically valued at a discount from the public market value of the security.</w:t>
      </w:r>
    </w:p>
    <w:p>
      <w:pPr>
        <w:spacing w:after="0" w:line="189" w:lineRule="exact"/>
        <w:rPr>
          <w:sz w:val="20"/>
          <w:szCs w:val="20"/>
          <w:color w:val="auto"/>
        </w:rPr>
      </w:pPr>
    </w:p>
    <w:p>
      <w:pPr>
        <w:jc w:val="both"/>
        <w:ind w:right="160" w:firstLine="414"/>
        <w:spacing w:after="0" w:line="288" w:lineRule="auto"/>
        <w:rPr>
          <w:sz w:val="20"/>
          <w:szCs w:val="20"/>
          <w:color w:val="auto"/>
        </w:rPr>
      </w:pPr>
      <w:r>
        <w:rPr>
          <w:rFonts w:ascii="Arial" w:cs="Arial" w:eastAsia="Arial" w:hAnsi="Arial"/>
          <w:sz w:val="16"/>
          <w:szCs w:val="16"/>
          <w:color w:val="auto"/>
        </w:rPr>
        <w:t>The significant inputs used to determine the fair value of equity securities include prices, earnings, EBITDA and cash flows after capital expenditures for similar peer comparables and the investment entity itself. Equity securities are classified as Level III, as described in Note 4 below, when there is limited activity or less transparency around inputs to the valuation given the lack of information related to such equity investments held in nonpublic companies.</w:t>
      </w:r>
    </w:p>
    <w:p>
      <w:pPr>
        <w:ind w:right="40"/>
        <w:spacing w:after="0" w:line="277" w:lineRule="auto"/>
        <w:rPr>
          <w:sz w:val="20"/>
          <w:szCs w:val="20"/>
          <w:color w:val="auto"/>
        </w:rPr>
      </w:pPr>
      <w:r>
        <w:rPr>
          <w:rFonts w:ascii="Arial" w:cs="Arial" w:eastAsia="Arial" w:hAnsi="Arial"/>
          <w:sz w:val="17"/>
          <w:szCs w:val="17"/>
          <w:color w:val="auto"/>
        </w:rPr>
        <w:t>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73" w:lineRule="exact"/>
        <w:rPr>
          <w:sz w:val="20"/>
          <w:szCs w:val="20"/>
          <w:color w:val="auto"/>
        </w:rPr>
      </w:pPr>
    </w:p>
    <w:p>
      <w:pPr>
        <w:ind w:right="80" w:firstLine="414"/>
        <w:spacing w:after="0" w:line="255" w:lineRule="auto"/>
        <w:rPr>
          <w:sz w:val="20"/>
          <w:szCs w:val="20"/>
          <w:color w:val="auto"/>
        </w:rPr>
      </w:pPr>
      <w:r>
        <w:rPr>
          <w:rFonts w:ascii="Arial" w:cs="Arial" w:eastAsia="Arial" w:hAnsi="Arial"/>
          <w:sz w:val="18"/>
          <w:szCs w:val="18"/>
          <w:i w:val="1"/>
          <w:iCs w:val="1"/>
          <w:color w:val="auto"/>
        </w:rPr>
        <w:t xml:space="preserve">Asset Manager Affiliates. </w:t>
      </w:r>
      <w:r>
        <w:rPr>
          <w:rFonts w:ascii="Arial" w:cs="Arial" w:eastAsia="Arial" w:hAnsi="Arial"/>
          <w:sz w:val="18"/>
          <w:szCs w:val="18"/>
          <w:color w:val="auto"/>
        </w:rPr>
        <w:t>The Company’s investments in its wholly-owned asset management companies, the Asset Manager Affiliates, are carried at</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which is determined after taking into consideration a percentage of assets under management and a discounted cash flow model incorporating different levels of discount rates depending on the hierarchy of fees earned (including the likelihood of realization of senior, subordinate and incentive fees) and prospective modeled performance. Such valuation includes an analysis of comparable asset management companies. The Asset Manager Affiliates are classified as a Level III investment (as described below). Any change in value from period to period is recognized as net change in unrealized appreciation or depreciation.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ind w:right="80" w:firstLine="414"/>
        <w:spacing w:after="0" w:line="286" w:lineRule="auto"/>
        <w:rPr>
          <w:sz w:val="20"/>
          <w:szCs w:val="20"/>
          <w:color w:val="auto"/>
        </w:rPr>
      </w:pPr>
      <w:r>
        <w:rPr>
          <w:rFonts w:ascii="Arial" w:cs="Arial" w:eastAsia="Arial" w:hAnsi="Arial"/>
          <w:sz w:val="17"/>
          <w:szCs w:val="17"/>
          <w:i w:val="1"/>
          <w:iCs w:val="1"/>
          <w:color w:val="auto"/>
        </w:rPr>
        <w:t xml:space="preserve">CLO Fund Securities. </w:t>
      </w:r>
      <w:r>
        <w:rPr>
          <w:rFonts w:ascii="Arial" w:cs="Arial" w:eastAsia="Arial" w:hAnsi="Arial"/>
          <w:sz w:val="17"/>
          <w:szCs w:val="17"/>
          <w:color w:val="auto"/>
        </w:rPr>
        <w:t>The Company typically makes a minority investment in the most junior class of securities of CLO Funds raised and managed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Asset Manager Affiliates and may selectively invest in securities issued by funds managed by other asset management companies (collectively, “CLO Fund securities”). The securities held by CLO Funds generally relate to credit instruments issued by corporations.</w:t>
      </w:r>
    </w:p>
    <w:p>
      <w:pPr>
        <w:spacing w:after="0" w:line="166" w:lineRule="exact"/>
        <w:rPr>
          <w:sz w:val="20"/>
          <w:szCs w:val="20"/>
          <w:color w:val="auto"/>
        </w:rPr>
      </w:pPr>
    </w:p>
    <w:p>
      <w:pPr>
        <w:ind w:right="20" w:firstLine="415"/>
        <w:spacing w:after="0" w:line="269" w:lineRule="auto"/>
        <w:rPr>
          <w:sz w:val="20"/>
          <w:szCs w:val="20"/>
          <w:color w:val="auto"/>
        </w:rPr>
      </w:pPr>
      <w:r>
        <w:rPr>
          <w:rFonts w:ascii="Arial" w:cs="Arial" w:eastAsia="Arial" w:hAnsi="Arial"/>
          <w:sz w:val="17"/>
          <w:szCs w:val="17"/>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or (ii) a discounted cash flow model for more recent CLO Funds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180" w:lineRule="exact"/>
        <w:rPr>
          <w:sz w:val="20"/>
          <w:szCs w:val="20"/>
          <w:color w:val="auto"/>
        </w:rPr>
      </w:pPr>
    </w:p>
    <w:p>
      <w:pPr>
        <w:ind w:firstLine="41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67" w:lineRule="exact"/>
        <w:rPr>
          <w:sz w:val="20"/>
          <w:szCs w:val="20"/>
          <w:color w:val="auto"/>
        </w:rPr>
      </w:pPr>
    </w:p>
    <w:p>
      <w:pPr>
        <w:ind w:right="80" w:firstLine="414"/>
        <w:spacing w:after="0" w:line="255" w:lineRule="auto"/>
        <w:rPr>
          <w:sz w:val="20"/>
          <w:szCs w:val="20"/>
          <w:color w:val="auto"/>
        </w:rPr>
      </w:pPr>
      <w:r>
        <w:rPr>
          <w:rFonts w:ascii="Arial" w:cs="Arial" w:eastAsia="Arial" w:hAnsi="Arial"/>
          <w:sz w:val="18"/>
          <w:szCs w:val="18"/>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 Such adjustments require judgment and may be material to the calculation of fair value.</w:t>
      </w:r>
    </w:p>
    <w:p>
      <w:pPr>
        <w:spacing w:after="0" w:line="193" w:lineRule="exact"/>
        <w:rPr>
          <w:sz w:val="20"/>
          <w:szCs w:val="20"/>
          <w:color w:val="auto"/>
        </w:rPr>
      </w:pPr>
    </w:p>
    <w:p>
      <w:pPr>
        <w:ind w:right="460" w:firstLine="414"/>
        <w:spacing w:after="0" w:line="277" w:lineRule="auto"/>
        <w:rPr>
          <w:sz w:val="20"/>
          <w:szCs w:val="20"/>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 The Company defines cash as demand deposits. The Company places its cash with financial institutions and, at times, cash held in checking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may exceed the Federal Deposit Insurance Corporation insured limit.</w:t>
      </w:r>
    </w:p>
    <w:p>
      <w:pPr>
        <w:spacing w:after="0" w:line="170" w:lineRule="exact"/>
        <w:rPr>
          <w:sz w:val="20"/>
          <w:szCs w:val="20"/>
          <w:color w:val="auto"/>
        </w:rPr>
      </w:pPr>
    </w:p>
    <w:p>
      <w:pPr>
        <w:ind w:right="60" w:firstLine="414"/>
        <w:spacing w:after="0" w:line="264" w:lineRule="auto"/>
        <w:rPr>
          <w:sz w:val="20"/>
          <w:szCs w:val="20"/>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The Company defines cash as demand deposits. The Company places its cash with financial institutions and, at times, cash held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checking accounts may exceed the Federal Deposit Insurance Corporation insured limit. As of June 30, 2013, the Company had approximately $79 million of restricted cash, all of which related to the KCAP Senior Funding I Notes.</w:t>
      </w:r>
    </w:p>
    <w:p>
      <w:pPr>
        <w:spacing w:after="0" w:line="181" w:lineRule="exact"/>
        <w:rPr>
          <w:sz w:val="20"/>
          <w:szCs w:val="20"/>
          <w:color w:val="auto"/>
        </w:rPr>
      </w:pPr>
    </w:p>
    <w:p>
      <w:pPr>
        <w:ind w:right="20" w:firstLine="414"/>
        <w:spacing w:after="0" w:line="264" w:lineRule="auto"/>
        <w:rPr>
          <w:sz w:val="20"/>
          <w:szCs w:val="20"/>
          <w:color w:val="auto"/>
        </w:rPr>
      </w:pPr>
      <w:r>
        <w:rPr>
          <w:rFonts w:ascii="Arial" w:cs="Arial" w:eastAsia="Arial" w:hAnsi="Arial"/>
          <w:sz w:val="18"/>
          <w:szCs w:val="18"/>
          <w:b w:val="1"/>
          <w:bCs w:val="1"/>
          <w:i w:val="1"/>
          <w:iCs w:val="1"/>
          <w:color w:val="auto"/>
        </w:rPr>
        <w:t>Time Deposits and Money Market Accounts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deposits primarily represent investments of cash held in a demand deposit accounts. Money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primarily represent short term interest-bearing deposit accounts including an account that contains restricted cash held for employee flexible spending accounts.</w:t>
      </w:r>
    </w:p>
    <w:p>
      <w:pPr>
        <w:spacing w:after="0" w:line="181"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b w:val="1"/>
          <w:bCs w:val="1"/>
          <w:i w:val="1"/>
          <w:iCs w:val="1"/>
          <w:color w:val="auto"/>
        </w:rPr>
        <w:t>Interest Income</w:t>
      </w:r>
      <w:r>
        <w:rPr>
          <w:rFonts w:ascii="Arial" w:cs="Arial" w:eastAsia="Arial" w:hAnsi="Arial"/>
          <w:sz w:val="16"/>
          <w:szCs w:val="16"/>
          <w:color w:val="auto"/>
        </w:rPr>
        <w:t>. Interest income, including the amortization of premium and accretion of discount, is recorded on the accrual basis to the extent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amounts are expected to be collected. The Company generally places a loan or security on non-accrual status and ceases recognizing cash interest income on such loan or security when a loan or security becomes 90 days or more past due or if the Company otherwise does not expect the debtor to be able to service its debt obligations. Non-accrual loans remain in such status until the borrower has demonstrated the ability and intent to pay contractual amounts due or such loans become current. As of June 30, 2013, five issuers representing less than 1% of total investments at fair value were on a non-accrual status.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ind w:right="420" w:firstLine="324"/>
        <w:spacing w:after="0" w:line="277" w:lineRule="auto"/>
        <w:rPr>
          <w:sz w:val="20"/>
          <w:szCs w:val="20"/>
          <w:color w:val="auto"/>
        </w:rPr>
      </w:pPr>
      <w:r>
        <w:rPr>
          <w:rFonts w:ascii="Arial" w:cs="Arial" w:eastAsia="Arial" w:hAnsi="Arial"/>
          <w:sz w:val="18"/>
          <w:szCs w:val="18"/>
          <w:b w:val="1"/>
          <w:bCs w:val="1"/>
          <w:i w:val="1"/>
          <w:iCs w:val="1"/>
          <w:color w:val="auto"/>
        </w:rPr>
        <w:t>Dividends from Asset Manager Affiliates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records dividend income from its Asset Manager Affiliates on the declaration date,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represents the ex-dividend date.</w:t>
      </w:r>
    </w:p>
    <w:p>
      <w:pPr>
        <w:spacing w:after="0" w:line="17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b w:val="1"/>
          <w:bCs w:val="1"/>
          <w:i w:val="1"/>
          <w:iCs w:val="1"/>
          <w:color w:val="auto"/>
        </w:rPr>
        <w:t>Dividend Income from CLO Fund Securities</w:t>
      </w:r>
      <w:r>
        <w:rPr>
          <w:rFonts w:ascii="Arial" w:cs="Arial" w:eastAsia="Arial" w:hAnsi="Arial"/>
          <w:sz w:val="16"/>
          <w:szCs w:val="16"/>
          <w:color w:val="auto"/>
        </w:rPr>
        <w:t>. The Company generates dividend income from its investments in the most junior class of securities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 Funds (typically preferred shares or subordinated securities) managed by the Asset Manager Affiliates and selective investments in securities issued by funds managed by other asset management companies. The Company’s CLO Fund junior class securities are subordinated to senior note holders who typically receive a fixed rate of return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Company makes estimated interim accruals of such dividend income based on recent historical distributions and CLO Fund performance and adjusts such accruals on a quarterly basis to reflect actual distributions.</w:t>
      </w:r>
    </w:p>
    <w:p>
      <w:pPr>
        <w:spacing w:after="0" w:line="16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For non-junior class CLO Fund securities, such as the Company’s investment in the Class B-2L Notes of the Katonah 2007-I CLO and Class F Notes of the Catamaran 2012-1 CLO, interest is earned at a fixed spread relative to the LIBOR index.</w:t>
      </w:r>
    </w:p>
    <w:p>
      <w:pPr>
        <w:spacing w:after="0" w:line="170" w:lineRule="exact"/>
        <w:rPr>
          <w:sz w:val="20"/>
          <w:szCs w:val="20"/>
          <w:color w:val="auto"/>
        </w:rPr>
      </w:pPr>
    </w:p>
    <w:p>
      <w:pPr>
        <w:ind w:right="80" w:firstLine="414"/>
        <w:spacing w:after="0" w:line="259" w:lineRule="auto"/>
        <w:rPr>
          <w:sz w:val="20"/>
          <w:szCs w:val="20"/>
          <w:color w:val="auto"/>
        </w:rPr>
      </w:pPr>
      <w:r>
        <w:rPr>
          <w:rFonts w:ascii="Arial" w:cs="Arial" w:eastAsia="Arial" w:hAnsi="Arial"/>
          <w:sz w:val="18"/>
          <w:szCs w:val="18"/>
          <w:b w:val="1"/>
          <w:bCs w:val="1"/>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recognizes prepayment and liquidation fees upon receipt and equity structuring fees as earned, which generally occurs when an investment transaction closes.</w:t>
      </w:r>
    </w:p>
    <w:p>
      <w:pPr>
        <w:spacing w:after="0" w:line="187" w:lineRule="exact"/>
        <w:rPr>
          <w:sz w:val="20"/>
          <w:szCs w:val="20"/>
          <w:color w:val="auto"/>
        </w:rPr>
      </w:pPr>
    </w:p>
    <w:p>
      <w:pPr>
        <w:ind w:right="100" w:firstLine="414"/>
        <w:spacing w:after="0" w:line="277" w:lineRule="auto"/>
        <w:rPr>
          <w:sz w:val="20"/>
          <w:szCs w:val="20"/>
          <w:color w:val="auto"/>
        </w:rPr>
      </w:pPr>
      <w:r>
        <w:rPr>
          <w:rFonts w:ascii="Arial" w:cs="Arial" w:eastAsia="Arial" w:hAnsi="Arial"/>
          <w:sz w:val="18"/>
          <w:szCs w:val="18"/>
          <w:b w:val="1"/>
          <w:bCs w:val="1"/>
          <w:i w:val="1"/>
          <w:iCs w:val="1"/>
          <w:color w:val="auto"/>
        </w:rPr>
        <w:t>Debt Issuance Costs</w:t>
      </w:r>
      <w:r>
        <w:rPr>
          <w:rFonts w:ascii="Arial" w:cs="Arial" w:eastAsia="Arial" w:hAnsi="Arial"/>
          <w:sz w:val="18"/>
          <w:szCs w:val="18"/>
          <w:color w:val="auto"/>
        </w:rPr>
        <w:t>. Debt issuance costs represent fees and other direct costs incurred in connection with the Company’s borrowings. These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capitalized and amortized ratably over the contractual term of the borrowing.</w:t>
      </w:r>
    </w:p>
    <w:p>
      <w:pPr>
        <w:spacing w:after="0" w:line="170" w:lineRule="exact"/>
        <w:rPr>
          <w:sz w:val="20"/>
          <w:szCs w:val="20"/>
          <w:color w:val="auto"/>
        </w:rPr>
      </w:pPr>
    </w:p>
    <w:p>
      <w:pPr>
        <w:ind w:firstLine="414"/>
        <w:spacing w:after="0" w:line="273" w:lineRule="auto"/>
        <w:rPr>
          <w:sz w:val="20"/>
          <w:szCs w:val="20"/>
          <w:color w:val="auto"/>
        </w:rPr>
      </w:pPr>
      <w:r>
        <w:rPr>
          <w:rFonts w:ascii="Arial" w:cs="Arial" w:eastAsia="Arial" w:hAnsi="Arial"/>
          <w:sz w:val="17"/>
          <w:szCs w:val="17"/>
          <w:color w:val="auto"/>
        </w:rPr>
        <w:t>During March 2011, the Company issued $60 million of Convertible Notes (the “Convertible Notes”) and incurred debt issuance costs of approximately $2.4 million which are being amortized over a five-year period. During October 2012, the Company issued $41.4 million of 7.375% Notes due 2019 (the “Retail Notes”) and incurred debt issuance costs of approximately $1.5 million, which are being amortized over a seven year period. At June 30, 2013, there was an unamortized debt issuance cost of approximately $2.4 million included in other assets in the accompanying balance sheet. Amortization expense related to the Convertible Notes and Retail Notes for the six months ended June 30, 2013 and 2012 was approximately $285,000 and $354,000, respectively, and is included in interest and amortization of debt issuance costs on the statement of operations.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June 18, 2013, the Company completed the sale of notes in a $140,000,000 debt securitization financing transaction. The notes offered in this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transaction (the “Notes”) were issued by KCAP Senior Funding I, LLC, a newly formed special purpose vehicle (the “Issuer”), in which KCAP Senior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Funding I Holdings, LLC, a wholly-owned subsidiary of the Company (the “Depositor”), owns all of the equity, and are backed by a diversified portfolio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bank loans. The secured Notes (the “Secured Notes”) were issued as Class A-1 senior secured floating rate notes which have an initial face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$77,250,000; and bear interest at the three-month London Interbank Offered Rate (“LIBOR”) plus 1.50%, Class B-1 senior secured floating rate notes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an initial face amount of $9,000,000, bear interest at three-month LIBOR plus 3.25%, Class C-1 secured deferrable floating rate notes which have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initial face amount of $10,000,000, bear interest at three-month LIBOR plus 4.25%, and Class D-1 secured deferrable floating rate notes which have an initial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face amount of $9,000,000 bear interest at three-month LIBOR plus 5.25%. The Depositor retained all of the subordinated notes of the Issuer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“Subordinated Notes”), which have an initial face amount of $34,750,000. The Subordinated Notes do not bear interest. Both the Secured Notes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Subordinated Notes have a stated maturity on the payment date occurring in July, 2024 and are subject to a two year non-call period. The Issuer has a four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reinvestment period. At June 30, 2013, there were unamortized issuance costs of approximately $3.9 million and unamortized original issue discount,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(“OID”) costs of approximately $3.3 million included in other assets in the accompanying balance sheet. Amortization expense for the six months ended June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2013 was approximately $46,000 and $15,000, for issuance costs and OID respectively, and is included in interest and amortization of debt issuance costs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 statement of operations.</w:t>
      </w:r>
    </w:p>
    <w:p>
      <w:pPr>
        <w:spacing w:after="0" w:line="211" w:lineRule="exact"/>
        <w:rPr>
          <w:sz w:val="20"/>
          <w:szCs w:val="20"/>
          <w:color w:val="auto"/>
        </w:rPr>
      </w:pPr>
    </w:p>
    <w:p>
      <w:pPr>
        <w:ind w:firstLine="414"/>
        <w:spacing w:after="0" w:line="255" w:lineRule="auto"/>
        <w:rPr>
          <w:sz w:val="20"/>
          <w:szCs w:val="20"/>
          <w:color w:val="auto"/>
        </w:rPr>
      </w:pPr>
      <w:r>
        <w:rPr>
          <w:rFonts w:ascii="Arial" w:cs="Arial" w:eastAsia="Arial" w:hAnsi="Arial"/>
          <w:sz w:val="18"/>
          <w:szCs w:val="18"/>
          <w:b w:val="1"/>
          <w:bCs w:val="1"/>
          <w:i w:val="1"/>
          <w:iCs w:val="1"/>
          <w:color w:val="auto"/>
        </w:rPr>
        <w:t>Expenses</w:t>
      </w:r>
      <w:r>
        <w:rPr>
          <w:rFonts w:ascii="Arial" w:cs="Arial" w:eastAsia="Arial" w:hAnsi="Arial"/>
          <w:sz w:val="18"/>
          <w:szCs w:val="18"/>
          <w:color w:val="auto"/>
        </w:rPr>
        <w:t>. The Company is internally managed and expenses costs, as incurred, with regard to the running of its operations. Primary operating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employee salaries and benefits, the costs of identifying, evaluating, negotiating, closing, monitoring and servicing the Company’s investments and related overhead charges and expenses, including rental expense, and any interest expense incurred in connection with borrowings. The Company and the Asset Manager Affiliates share office space and certain other operating expenses. The Company has entered into an Overhead Allocation Agreement with the Asset Manager Affiliates which provides for the sharing of such expenses based on an equal sharing of office lease costs and the ratable usage of other shared resources.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33" w:name="page34"/>
    <w:bookmarkEnd w:id="33"/>
    <w:p>
      <w:pPr>
        <w:ind w:right="140" w:firstLine="414"/>
        <w:spacing w:after="0" w:line="264"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Dividends and distributions to common stockholders are recorded on the ex-dividend date. The amount to be paid out as a dividend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the Board of Directors each quarter and is generally based upon the distributable taxable income estimated by management for the period and year.</w:t>
      </w:r>
    </w:p>
    <w:p>
      <w:pPr>
        <w:spacing w:after="0" w:line="181" w:lineRule="exact"/>
        <w:rPr>
          <w:sz w:val="20"/>
          <w:szCs w:val="20"/>
          <w:color w:val="auto"/>
        </w:rPr>
      </w:pPr>
    </w:p>
    <w:p>
      <w:pPr>
        <w:jc w:val="both"/>
        <w:ind w:right="560" w:firstLine="414"/>
        <w:spacing w:after="0" w:line="264" w:lineRule="auto"/>
        <w:rPr>
          <w:sz w:val="20"/>
          <w:szCs w:val="20"/>
          <w:color w:val="auto"/>
        </w:rPr>
      </w:pPr>
      <w:r>
        <w:rPr>
          <w:rFonts w:ascii="Arial" w:cs="Arial" w:eastAsia="Arial" w:hAnsi="Arial"/>
          <w:sz w:val="18"/>
          <w:szCs w:val="18"/>
          <w:color w:val="auto"/>
        </w:rPr>
        <w:t>The Company has adopted a dividend reinvestment plan that provides for reinvestment of its distributions on behalf of its stockholders, unless a stockholder “opts out” of the plan to receive cash in lieu of having their cash dividends automatically reinvested in additional shares of the Company’s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three and six months ended June 30, 2013 and 2012 (unaudited):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20"/>
                <w:szCs w:val="20"/>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6"/>
          </w:tcPr>
          <w:p>
            <w:pPr>
              <w:jc w:val="right"/>
              <w:ind w:right="240"/>
              <w:spacing w:after="0"/>
              <w:rPr>
                <w:sz w:val="20"/>
                <w:szCs w:val="20"/>
                <w:color w:val="auto"/>
              </w:rPr>
            </w:pPr>
            <w:r>
              <w:rPr>
                <w:rFonts w:ascii="Arial" w:cs="Arial" w:eastAsia="Arial" w:hAnsi="Arial"/>
                <w:sz w:val="16"/>
                <w:szCs w:val="16"/>
                <w:b w:val="1"/>
                <w:bCs w:val="1"/>
                <w:color w:val="auto"/>
                <w:w w:val="92"/>
              </w:rPr>
              <w:t>Three Months Ended June 30,</w:t>
            </w:r>
          </w:p>
        </w:tc>
        <w:tc>
          <w:tcPr>
            <w:tcW w:w="100" w:type="dxa"/>
            <w:vAlign w:val="bottom"/>
          </w:tcPr>
          <w:p>
            <w:pPr>
              <w:spacing w:after="0"/>
              <w:rPr>
                <w:sz w:val="18"/>
                <w:szCs w:val="18"/>
                <w:color w:val="auto"/>
              </w:rPr>
            </w:pPr>
          </w:p>
        </w:tc>
        <w:tc>
          <w:tcPr>
            <w:tcW w:w="2340" w:type="dxa"/>
            <w:vAlign w:val="bottom"/>
            <w:gridSpan w:val="6"/>
          </w:tcPr>
          <w:p>
            <w:pPr>
              <w:jc w:val="right"/>
              <w:ind w:right="280"/>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2013</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2013</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6"/>
                <w:szCs w:val="16"/>
                <w:color w:val="auto"/>
              </w:rPr>
              <w:t>Net increase in net assets from operations</w:t>
            </w:r>
          </w:p>
        </w:tc>
        <w:tc>
          <w:tcPr>
            <w:tcW w:w="3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8,528,825</w:t>
            </w:r>
          </w:p>
        </w:tc>
        <w:tc>
          <w:tcPr>
            <w:tcW w:w="24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1,617,456</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   15,742,105</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2,194,109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Net decrease in net assets allocated to unvested share awards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(47,138)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(19,531)</w:t>
            </w: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(53,665)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(27,971)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6"/>
                <w:szCs w:val="16"/>
                <w:color w:val="auto"/>
              </w:rPr>
              <w:t>Add: Interest on Convertible Notes</w:t>
            </w:r>
          </w:p>
        </w:tc>
        <w:tc>
          <w:tcPr>
            <w:tcW w:w="3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1,122,357</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2,434,857</w:t>
            </w: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Add: Amortization of Capitalized Costs on Convertible Notes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92,360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198,475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220" w:type="dxa"/>
            <w:vAlign w:val="bottom"/>
            <w:tcBorders>
              <w:top w:val="single" w:sz="8" w:color="CCFFCC"/>
            </w:tcBorders>
            <w:shd w:val="clear" w:color="auto" w:fill="CCFFCC"/>
          </w:tcPr>
          <w:p>
            <w:pPr>
              <w:spacing w:after="0"/>
              <w:rPr>
                <w:sz w:val="17"/>
                <w:szCs w:val="17"/>
                <w:color w:val="auto"/>
              </w:rPr>
            </w:pPr>
          </w:p>
        </w:tc>
        <w:tc>
          <w:tcPr>
            <w:tcW w:w="30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auto"/>
            </w:tcBorders>
            <w:shd w:val="clear" w:color="auto" w:fill="CCFFCC"/>
          </w:tcPr>
          <w:p>
            <w:pPr>
              <w:spacing w:after="0"/>
              <w:rPr>
                <w:sz w:val="17"/>
                <w:szCs w:val="17"/>
                <w:color w:val="auto"/>
              </w:rPr>
            </w:pPr>
          </w:p>
        </w:tc>
        <w:tc>
          <w:tcPr>
            <w:tcW w:w="96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90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00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Net increase in net assets available to common stockholders</w:t>
            </w: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9,696,404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1,597,925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18,321,772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2,166,138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6"/>
                <w:szCs w:val="16"/>
                <w:color w:val="auto"/>
                <w:w w:val="99"/>
              </w:rPr>
              <w:t>Weighted average number of common shares outstanding for basic shares computation</w:t>
            </w:r>
          </w:p>
        </w:tc>
        <w:tc>
          <w:tcPr>
            <w:tcW w:w="30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auto"/>
            </w:tcBorders>
            <w:shd w:val="clear" w:color="auto" w:fill="CCFFCC"/>
          </w:tcPr>
          <w:p>
            <w:pPr>
              <w:spacing w:after="0"/>
              <w:rPr>
                <w:sz w:val="17"/>
                <w:szCs w:val="17"/>
                <w:color w:val="auto"/>
              </w:rPr>
            </w:pP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33,040,155</w:t>
            </w:r>
          </w:p>
        </w:tc>
        <w:tc>
          <w:tcPr>
            <w:tcW w:w="14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26,633,122</w:t>
            </w:r>
          </w:p>
        </w:tc>
        <w:tc>
          <w:tcPr>
            <w:tcW w:w="12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000" w:type="dxa"/>
            <w:vAlign w:val="bottom"/>
            <w:tcBorders>
              <w:top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31,163,596</w:t>
            </w:r>
          </w:p>
        </w:tc>
        <w:tc>
          <w:tcPr>
            <w:tcW w:w="14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95"/>
              </w:rPr>
              <w:t>25,451,974</w:t>
            </w: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Effect of dilutive securities - stock options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16,330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8,966</w:t>
            </w: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15,717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10,469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6"/>
                <w:szCs w:val="16"/>
                <w:color w:val="auto"/>
              </w:rPr>
              <w:t>Effect of dilutive Convertible Notes</w:t>
            </w: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6,338,639</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6,843,429</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6"/>
                <w:szCs w:val="16"/>
                <w:color w:val="auto"/>
                <w:w w:val="95"/>
              </w:rPr>
              <w:t>Weighted average number of common and common stock equivalent shares outstanding for</w:t>
            </w:r>
          </w:p>
        </w:tc>
        <w:tc>
          <w:tcPr>
            <w:tcW w:w="30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96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6"/>
                <w:szCs w:val="16"/>
                <w:color w:val="auto"/>
              </w:rPr>
              <w:t>diluted shares computation</w:t>
            </w:r>
          </w:p>
        </w:tc>
        <w:tc>
          <w:tcPr>
            <w:tcW w:w="3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39,395,124</w:t>
            </w: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26,642,088</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38,022,742</w:t>
            </w:r>
          </w:p>
        </w:tc>
        <w:tc>
          <w:tcPr>
            <w:tcW w:w="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25,462,443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6"/>
                <w:szCs w:val="16"/>
                <w:color w:val="auto"/>
              </w:rPr>
              <w:t>Net increase in net assets per basic common shares:</w:t>
            </w:r>
          </w:p>
        </w:tc>
        <w:tc>
          <w:tcPr>
            <w:tcW w:w="3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Net increase in net assets from operations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0.06</w:t>
            </w: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0.51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6"/>
                <w:szCs w:val="16"/>
                <w:color w:val="auto"/>
              </w:rPr>
              <w:t>Net increase in net assets per diluted shares:</w:t>
            </w:r>
          </w:p>
        </w:tc>
        <w:tc>
          <w:tcPr>
            <w:tcW w:w="3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Net increase in net assets from operations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0.06</w:t>
            </w: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0.48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0" w:firstLine="414"/>
        <w:spacing w:after="0" w:line="297" w:lineRule="auto"/>
        <w:rPr>
          <w:sz w:val="20"/>
          <w:szCs w:val="20"/>
          <w:color w:val="auto"/>
        </w:rPr>
      </w:pPr>
      <w:r>
        <w:rPr>
          <w:rFonts w:ascii="Arial" w:cs="Arial" w:eastAsia="Arial" w:hAnsi="Arial"/>
          <w:sz w:val="16"/>
          <w:szCs w:val="16"/>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 Subsequent to June 30, 2013, 14,360 shares were issued under the Company’s Dividend Reinvestment Plan. Had these shares been issued during the quarter, their impact would have been immaterial to earning per share.</w:t>
      </w:r>
    </w:p>
    <w:p>
      <w:pPr>
        <w:spacing w:after="0" w:line="158" w:lineRule="exact"/>
        <w:rPr>
          <w:sz w:val="20"/>
          <w:szCs w:val="20"/>
          <w:color w:val="auto"/>
        </w:rPr>
      </w:pPr>
    </w:p>
    <w:p>
      <w:pPr>
        <w:ind w:right="40" w:firstLine="414"/>
        <w:spacing w:after="0" w:line="255" w:lineRule="auto"/>
        <w:rPr>
          <w:sz w:val="20"/>
          <w:szCs w:val="20"/>
          <w:color w:val="auto"/>
        </w:rPr>
      </w:pPr>
      <w:r>
        <w:rPr>
          <w:rFonts w:ascii="Arial" w:cs="Arial" w:eastAsia="Arial" w:hAnsi="Arial"/>
          <w:sz w:val="18"/>
          <w:szCs w:val="18"/>
          <w:color w:val="auto"/>
        </w:rPr>
        <w:t>The Company’s Convertible Notes are included in the computation of the diluted net increase or decrease in net assets resulting from operations per share in accordance with ASC 261-10-45-40-b by application of the “if-converted method.” Under the if-converted method, interest charges applicable to the convertible debt for the period are added to the reported net increase or decrease in net assets resulting from operations and the full amount of shares (pro-rata if not outstanding for the full period) that would be issued are added to weighted average basic shares. Convertible debt is considered anti-dilutive only when its interest per share upon conversion exceeds the basic net increase or decrease in net assets resulting from operations per share. For the three and six months ended June 30, 2013, the effect of the convertible debt was dilutive. For the three and six months ended June 30, 2012, the effect of the convertible debt was antidilutive.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ind w:right="20" w:firstLine="414"/>
        <w:spacing w:after="0" w:line="273" w:lineRule="auto"/>
        <w:rPr>
          <w:sz w:val="20"/>
          <w:szCs w:val="20"/>
          <w:color w:val="auto"/>
        </w:rPr>
      </w:pPr>
      <w:r>
        <w:rPr>
          <w:rFonts w:ascii="Arial" w:cs="Arial" w:eastAsia="Arial" w:hAnsi="Arial"/>
          <w:sz w:val="17"/>
          <w:szCs w:val="17"/>
          <w:color w:val="auto"/>
        </w:rPr>
        <w:t>The if-converted method of computing the dilutive effects on convertible debt assumes a conversion even if the contracted conversion price exceeds the market value of the shares. As of June 30, 2013 the conversion price of the convertible senior is approximately 123.8203 shares of our common stock per $1,000 principal amount of the conversion rate, equivalent to a conversion price of approximately $8.08 per share of the Company’s common stock. Subsequent to the reporting period, the Convertible Notes is approximately 125.0814 shares of the Company’s common stock per $1,000 principal amount of the Convertible Notes, equivalent to a conversion price of approximately $7.99 per share of our common stock. Upon conversion, the Company may issue the full amount of common stock and retire the full amount of debt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ind w:right="260" w:firstLine="414"/>
        <w:spacing w:after="0" w:line="286" w:lineRule="auto"/>
        <w:rPr>
          <w:sz w:val="20"/>
          <w:szCs w:val="20"/>
          <w:color w:val="auto"/>
        </w:rPr>
      </w:pPr>
      <w:r>
        <w:rPr>
          <w:rFonts w:ascii="Arial" w:cs="Arial" w:eastAsia="Arial" w:hAnsi="Arial"/>
          <w:sz w:val="17"/>
          <w:szCs w:val="17"/>
          <w:color w:val="auto"/>
        </w:rPr>
        <w:t>The Company invests in senior secured loans and mezzanine debt and, to a lesser extent, equity capital of middle market companies in a variety of industries. The Company generally targets companies that generate positive cash flows because the Company looks to cash flows as the primary source for servicing debt. However, the Company may invest in other companies if it is presented with attractive opportunities.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June 30, 2013 and December 31, 2012: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1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ind w:left="640"/>
              <w:spacing w:after="0"/>
              <w:rPr>
                <w:sz w:val="20"/>
                <w:szCs w:val="20"/>
                <w:color w:val="auto"/>
              </w:rPr>
            </w:pPr>
            <w:r>
              <w:rPr>
                <w:rFonts w:ascii="Arial" w:cs="Arial" w:eastAsia="Arial" w:hAnsi="Arial"/>
                <w:sz w:val="18"/>
                <w:szCs w:val="18"/>
                <w:b w:val="1"/>
                <w:bCs w:val="1"/>
                <w:color w:val="auto"/>
                <w:w w:val="94"/>
              </w:rPr>
              <w:t>June 30, 2013 (unaudited)</w:t>
            </w: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ind w:left="920"/>
              <w:spacing w:after="0"/>
              <w:rPr>
                <w:sz w:val="20"/>
                <w:szCs w:val="20"/>
                <w:color w:val="auto"/>
              </w:rPr>
            </w:pPr>
            <w:r>
              <w:rPr>
                <w:rFonts w:ascii="Arial" w:cs="Arial" w:eastAsia="Arial" w:hAnsi="Arial"/>
                <w:sz w:val="18"/>
                <w:szCs w:val="18"/>
                <w:b w:val="1"/>
                <w:bCs w:val="1"/>
                <w:color w:val="auto"/>
              </w:rPr>
              <w:t>December 31, 2012</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60" w:type="dxa"/>
            <w:vAlign w:val="bottom"/>
            <w:tcBorders>
              <w:bottom w:val="single" w:sz="8" w:color="CCFFCC"/>
            </w:tcBorders>
            <w:vMerge w:val="continue"/>
          </w:tcPr>
          <w:p>
            <w:pPr>
              <w:spacing w:after="0"/>
              <w:rPr>
                <w:sz w:val="19"/>
                <w:szCs w:val="19"/>
                <w:color w:val="auto"/>
              </w:rPr>
            </w:pPr>
          </w:p>
        </w:tc>
        <w:tc>
          <w:tcPr>
            <w:tcW w:w="1060" w:type="dxa"/>
            <w:vAlign w:val="bottom"/>
            <w:tcBorders>
              <w:bottom w:val="single" w:sz="8" w:color="CCFF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FF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CCFF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%¹</w:t>
            </w: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CCFF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FF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CCFFCC"/>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%¹</w:t>
            </w:r>
          </w:p>
        </w:tc>
        <w:tc>
          <w:tcPr>
            <w:tcW w:w="20" w:type="dxa"/>
            <w:vAlign w:val="bottom"/>
            <w:tcBorders>
              <w:bottom w:val="single" w:sz="8" w:color="CCFFCC"/>
            </w:tcBorders>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1,942,834</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1,942,834</w:t>
            </w:r>
          </w:p>
        </w:tc>
        <w:tc>
          <w:tcPr>
            <w:tcW w:w="220" w:type="dxa"/>
            <w:vAlign w:val="bottom"/>
            <w:shd w:val="clear" w:color="auto" w:fill="CCFFCC"/>
          </w:tcPr>
          <w:p>
            <w:pPr>
              <w:spacing w:after="0"/>
              <w:rPr>
                <w:sz w:val="18"/>
                <w:szCs w:val="18"/>
                <w:color w:val="auto"/>
              </w:rPr>
            </w:pPr>
          </w:p>
        </w:tc>
        <w:tc>
          <w:tcPr>
            <w:tcW w:w="9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Money Market Account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67,494,608</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67,494,608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30,543,824</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30,543,824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FFCC"/>
          </w:tcPr>
          <w:p>
            <w:pPr>
              <w:spacing w:after="0"/>
              <w:rPr>
                <w:sz w:val="20"/>
                <w:szCs w:val="20"/>
                <w:color w:val="auto"/>
              </w:rPr>
            </w:pPr>
            <w:r>
              <w:rPr>
                <w:rFonts w:ascii="Arial" w:cs="Arial" w:eastAsia="Arial" w:hAnsi="Arial"/>
                <w:sz w:val="18"/>
                <w:szCs w:val="18"/>
                <w:color w:val="auto"/>
              </w:rPr>
              <w:t>Senior Secured Loan</w:t>
            </w: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9"/>
              </w:rPr>
              <w:t>143,450,925</w:t>
            </w: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136,475,845</w:t>
            </w:r>
          </w:p>
        </w:tc>
        <w:tc>
          <w:tcPr>
            <w:tcW w:w="1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67,874,565</w:t>
            </w: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60,258,885</w:t>
            </w: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Junior Secured Loan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51,226,118</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38,393,950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49,646,273</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33,486,956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FFCC"/>
          </w:tcPr>
          <w:p>
            <w:pPr>
              <w:spacing w:after="0"/>
              <w:rPr>
                <w:sz w:val="20"/>
                <w:szCs w:val="20"/>
                <w:color w:val="auto"/>
              </w:rPr>
            </w:pPr>
            <w:r>
              <w:rPr>
                <w:rFonts w:ascii="Arial" w:cs="Arial" w:eastAsia="Arial" w:hAnsi="Arial"/>
                <w:sz w:val="18"/>
                <w:szCs w:val="18"/>
                <w:color w:val="auto"/>
              </w:rPr>
              <w:t>First Lien Bond</w:t>
            </w: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2,932,604</w:t>
            </w: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2,550,300</w:t>
            </w:r>
          </w:p>
        </w:tc>
        <w:tc>
          <w:tcPr>
            <w:tcW w:w="1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2,928,762</w:t>
            </w: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3,000,000</w:t>
            </w: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Senior Subordinated Bond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2,838,822</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2,017,899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2,729,088</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2,735,881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FFCC"/>
          </w:tcPr>
          <w:p>
            <w:pPr>
              <w:spacing w:after="0"/>
              <w:rPr>
                <w:sz w:val="20"/>
                <w:szCs w:val="20"/>
                <w:color w:val="auto"/>
              </w:rPr>
            </w:pPr>
            <w:r>
              <w:rPr>
                <w:rFonts w:ascii="Arial" w:cs="Arial" w:eastAsia="Arial" w:hAnsi="Arial"/>
                <w:sz w:val="18"/>
                <w:szCs w:val="18"/>
                <w:color w:val="auto"/>
              </w:rPr>
              <w:t>Senior Unsecured Bond</w:t>
            </w: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10,812,702</w:t>
            </w: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11,293,900</w:t>
            </w:r>
          </w:p>
        </w:tc>
        <w:tc>
          <w:tcPr>
            <w:tcW w:w="1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10,798,463</w:t>
            </w: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11,185,000</w:t>
            </w: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CLO Fund Securities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97,909,419</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81,484,885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90,146,410</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83,257,507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18,841,238</w:t>
            </w: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9,485,307</w:t>
            </w:r>
          </w:p>
        </w:tc>
        <w:tc>
          <w:tcPr>
            <w:tcW w:w="1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18,375,588</w:t>
            </w: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8,020,716</w:t>
            </w: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Preferred Stock</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371,160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FFCC"/>
          </w:tcPr>
          <w:p>
            <w:pPr>
              <w:spacing w:after="0"/>
              <w:rPr>
                <w:sz w:val="20"/>
                <w:szCs w:val="20"/>
                <w:color w:val="auto"/>
              </w:rPr>
            </w:pPr>
            <w:r>
              <w:rPr>
                <w:rFonts w:ascii="Arial" w:cs="Arial" w:eastAsia="Arial" w:hAnsi="Arial"/>
                <w:sz w:val="18"/>
                <w:szCs w:val="18"/>
                <w:color w:val="auto"/>
              </w:rPr>
              <w:t>Asset Manager Affiliates</w:t>
            </w:r>
          </w:p>
        </w:tc>
        <w:tc>
          <w:tcPr>
            <w:tcW w:w="10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83,234,131</w:t>
            </w:r>
          </w:p>
        </w:tc>
        <w:tc>
          <w:tcPr>
            <w:tcW w:w="14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87,300,000</w:t>
            </w:r>
          </w:p>
        </w:tc>
        <w:tc>
          <w:tcPr>
            <w:tcW w:w="14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5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83,161,529</w:t>
            </w:r>
          </w:p>
        </w:tc>
        <w:tc>
          <w:tcPr>
            <w:tcW w:w="14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77,242,000</w:t>
            </w: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479,140,566</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436,497,694</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358,547,336</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312,044,763</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Calculated as a percentage of net asset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4707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ind w:left="340"/>
        <w:spacing w:after="0"/>
        <w:rPr>
          <w:sz w:val="20"/>
          <w:szCs w:val="20"/>
          <w:color w:val="auto"/>
        </w:rPr>
      </w:pPr>
      <w:r>
        <w:rPr>
          <w:rFonts w:ascii="Arial" w:cs="Arial" w:eastAsia="Arial" w:hAnsi="Arial"/>
          <w:sz w:val="16"/>
          <w:szCs w:val="16"/>
          <w:color w:val="auto"/>
        </w:rPr>
        <w:t>The industry concentrations based on the fair value of the Company’s investment portfolio as of June 30, 2013 and December 31, 2012, were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520"/>
              <w:spacing w:after="0"/>
              <w:rPr>
                <w:sz w:val="20"/>
                <w:szCs w:val="20"/>
                <w:color w:val="auto"/>
              </w:rPr>
            </w:pPr>
            <w:r>
              <w:rPr>
                <w:rFonts w:ascii="Arial" w:cs="Arial" w:eastAsia="Arial" w:hAnsi="Arial"/>
                <w:sz w:val="18"/>
                <w:szCs w:val="18"/>
                <w:b w:val="1"/>
                <w:bCs w:val="1"/>
                <w:color w:val="auto"/>
                <w:w w:val="92"/>
              </w:rPr>
              <w:t>June 30, 2013 (unaudited)</w:t>
            </w: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8"/>
                <w:szCs w:val="18"/>
                <w:b w:val="1"/>
                <w:bCs w:val="1"/>
                <w:color w:val="auto"/>
              </w:rPr>
              <w:t>December 31, 2012</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Industry Classification</w:t>
            </w:r>
          </w:p>
        </w:tc>
        <w:tc>
          <w:tcPr>
            <w:tcW w:w="120" w:type="dxa"/>
            <w:vAlign w:val="bottom"/>
            <w:tcBorders>
              <w:bottom w:val="single" w:sz="8" w:color="CCFFC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FFC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200" w:type="dxa"/>
            <w:vAlign w:val="bottom"/>
            <w:tcBorders>
              <w:bottom w:val="single" w:sz="8" w:color="CCFFCC"/>
            </w:tcBorders>
          </w:tcPr>
          <w:p>
            <w:pPr>
              <w:spacing w:after="0"/>
              <w:rPr>
                <w:sz w:val="21"/>
                <w:szCs w:val="21"/>
                <w:color w:val="auto"/>
              </w:rPr>
            </w:pPr>
          </w:p>
        </w:tc>
        <w:tc>
          <w:tcPr>
            <w:tcW w:w="680" w:type="dxa"/>
            <w:vAlign w:val="bottom"/>
            <w:tcBorders>
              <w:bottom w:val="single" w:sz="8" w:color="auto"/>
            </w:tcBorders>
          </w:tcPr>
          <w:p>
            <w:pPr>
              <w:jc w:val="right"/>
              <w:ind w:right="11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220" w:type="dxa"/>
            <w:vAlign w:val="bottom"/>
            <w:tcBorders>
              <w:bottom w:val="single" w:sz="8" w:color="CCFFCC"/>
            </w:tcBorders>
          </w:tcPr>
          <w:p>
            <w:pPr>
              <w:spacing w:after="0"/>
              <w:rPr>
                <w:sz w:val="21"/>
                <w:szCs w:val="21"/>
                <w:color w:val="auto"/>
              </w:rPr>
            </w:pPr>
          </w:p>
        </w:tc>
        <w:tc>
          <w:tcPr>
            <w:tcW w:w="6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FFC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FFCC"/>
            </w:tcBorders>
          </w:tcPr>
          <w:p>
            <w:pPr>
              <w:spacing w:after="0"/>
              <w:rPr>
                <w:sz w:val="21"/>
                <w:szCs w:val="21"/>
                <w:color w:val="auto"/>
              </w:rPr>
            </w:pPr>
          </w:p>
        </w:tc>
        <w:tc>
          <w:tcPr>
            <w:tcW w:w="680" w:type="dxa"/>
            <w:vAlign w:val="bottom"/>
            <w:tcBorders>
              <w:bottom w:val="single" w:sz="8" w:color="auto"/>
            </w:tcBorders>
          </w:tcPr>
          <w:p>
            <w:pPr>
              <w:jc w:val="right"/>
              <w:ind w:right="13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160" w:type="dxa"/>
            <w:vAlign w:val="bottom"/>
            <w:tcBorders>
              <w:bottom w:val="single" w:sz="8" w:color="CCFFCC"/>
            </w:tcBorders>
          </w:tcPr>
          <w:p>
            <w:pPr>
              <w:spacing w:after="0"/>
              <w:rPr>
                <w:sz w:val="21"/>
                <w:szCs w:val="21"/>
                <w:color w:val="auto"/>
              </w:rPr>
            </w:pPr>
          </w:p>
        </w:tc>
      </w:tr>
      <w:tr>
        <w:trPr>
          <w:trHeight w:val="210"/>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Aerospace and Defense</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9,250,122</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7,918,491</w:t>
            </w:r>
          </w:p>
        </w:tc>
        <w:tc>
          <w:tcPr>
            <w:tcW w:w="2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5,278,896</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3,874,742</w:t>
            </w:r>
          </w:p>
        </w:tc>
        <w:tc>
          <w:tcPr>
            <w:tcW w:w="22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w:t>
            </w:r>
          </w:p>
        </w:tc>
      </w:tr>
      <w:tr>
        <w:trPr>
          <w:trHeight w:val="257"/>
        </w:trPr>
        <w:tc>
          <w:tcPr>
            <w:tcW w:w="4120" w:type="dxa"/>
            <w:vAlign w:val="bottom"/>
          </w:tcPr>
          <w:p>
            <w:pPr>
              <w:spacing w:after="0" w:line="256" w:lineRule="exact"/>
              <w:rPr>
                <w:sz w:val="20"/>
                <w:szCs w:val="20"/>
                <w:color w:val="auto"/>
              </w:rPr>
            </w:pPr>
            <w:r>
              <w:rPr>
                <w:rFonts w:ascii="Arial" w:cs="Arial" w:eastAsia="Arial" w:hAnsi="Arial"/>
                <w:sz w:val="18"/>
                <w:szCs w:val="18"/>
                <w:color w:val="auto"/>
              </w:rPr>
              <w:t>Asset Management Companies</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83,234,131</w:t>
            </w: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87,300,000</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83,161,529</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77,242,000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Automobile</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14,533,445</w:t>
            </w:r>
          </w:p>
        </w:tc>
        <w:tc>
          <w:tcPr>
            <w:tcW w:w="1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14,586,994</w:t>
            </w:r>
          </w:p>
        </w:tc>
        <w:tc>
          <w:tcPr>
            <w:tcW w:w="90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4,945,695</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5,011,608</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26,528,685</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26,571,120</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18,112,772</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18,285,421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Broadcasting and Entertainment</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5,959,919</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5,953,016</w:t>
            </w:r>
          </w:p>
        </w:tc>
        <w:tc>
          <w:tcPr>
            <w:tcW w:w="2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1,978,846</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1,990,930</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Buildings and Real Estate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18,535,511</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492,555</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18,535,511</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455,524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Cargo Transport</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3,550,969</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3,551,437</w:t>
            </w:r>
          </w:p>
        </w:tc>
        <w:tc>
          <w:tcPr>
            <w:tcW w:w="2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2,939,892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2,875,624</w:t>
            </w:r>
          </w:p>
        </w:tc>
        <w:tc>
          <w:tcPr>
            <w:tcW w:w="20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2,954,773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2,950,577</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CLO Fund Securities</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97,909,420</w:t>
            </w:r>
          </w:p>
        </w:tc>
        <w:tc>
          <w:tcPr>
            <w:tcW w:w="1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81,484,885</w:t>
            </w:r>
          </w:p>
        </w:tc>
        <w:tc>
          <w:tcPr>
            <w:tcW w:w="90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90,146,410</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83,257,507</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Containers, Packaging and Glass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1,949,168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1,969,183</w:t>
            </w:r>
          </w:p>
        </w:tc>
        <w:tc>
          <w:tcPr>
            <w:tcW w:w="20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1,949,236</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1,971,898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Diversified/Conglomerate Service</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3,721,600</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3,757,521</w:t>
            </w:r>
          </w:p>
        </w:tc>
        <w:tc>
          <w:tcPr>
            <w:tcW w:w="2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5,520,217</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3,536,426</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Ecological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2,970,000</w:t>
            </w:r>
          </w:p>
        </w:tc>
        <w:tc>
          <w:tcPr>
            <w:tcW w:w="20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Electronics</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14,901,328</w:t>
            </w:r>
          </w:p>
        </w:tc>
        <w:tc>
          <w:tcPr>
            <w:tcW w:w="1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14,864,381</w:t>
            </w:r>
          </w:p>
        </w:tc>
        <w:tc>
          <w:tcPr>
            <w:tcW w:w="90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6,137,592</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6,252,380</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Finance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4,773,995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4,955,920</w:t>
            </w:r>
          </w:p>
        </w:tc>
        <w:tc>
          <w:tcPr>
            <w:tcW w:w="20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4,748,767</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4,891,710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Healthcare, Education and Childcare</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30,541,220</w:t>
            </w:r>
          </w:p>
        </w:tc>
        <w:tc>
          <w:tcPr>
            <w:tcW w:w="1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20,094,990</w:t>
            </w:r>
          </w:p>
        </w:tc>
        <w:tc>
          <w:tcPr>
            <w:tcW w:w="90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15,981,824</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4,618,521</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0"/>
              </w:rPr>
              <w:t>Home and Office Furnishings, Housewares, and Durable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Consumer 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14,658,179</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15,408,937</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10,820,467</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11,613,621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Hotels, Motels, Inns, and Gaming</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2,713,392</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2,711,416</w:t>
            </w:r>
          </w:p>
        </w:tc>
        <w:tc>
          <w:tcPr>
            <w:tcW w:w="90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Insurance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2,016,406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1,973,831</w:t>
            </w:r>
          </w:p>
        </w:tc>
        <w:tc>
          <w:tcPr>
            <w:tcW w:w="20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6,970,307</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6,433,130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w w:val="97"/>
              </w:rPr>
              <w:t>Leisure, Amusement, Motion Pictures, Entertainment</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2,600,922</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955,408</w:t>
            </w:r>
          </w:p>
        </w:tc>
        <w:tc>
          <w:tcPr>
            <w:tcW w:w="90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2,491,007</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2,053,481</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8"/>
              </w:rPr>
              <w:t>Machinery (Non-Agriculture, Non-Construction, Non-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Electronic)</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11,415,102</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11,420,638</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11,408,091</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11,581,245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Mining, Steel, Iron and Non-Precious Metals</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521,414</w:t>
            </w:r>
          </w:p>
        </w:tc>
        <w:tc>
          <w:tcPr>
            <w:tcW w:w="1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1,995</w:t>
            </w:r>
          </w:p>
        </w:tc>
        <w:tc>
          <w:tcPr>
            <w:tcW w:w="90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773,718</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264,864</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Oil and Gas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11,713,564</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12,390,094</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11,692,913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11,692,000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r>
      <w:tr>
        <w:trPr>
          <w:trHeight w:val="202"/>
        </w:trPr>
        <w:tc>
          <w:tcPr>
            <w:tcW w:w="4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7"/>
              </w:rPr>
              <w:t>Personal and Non Durable Consumer Products (Mfg.</w:t>
            </w: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30"/>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Only)</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6,962,959</w:t>
            </w:r>
          </w:p>
        </w:tc>
        <w:tc>
          <w:tcPr>
            <w:tcW w:w="2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6,921,418</w:t>
            </w:r>
          </w:p>
        </w:tc>
        <w:tc>
          <w:tcPr>
            <w:tcW w:w="20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5,000,000</w:t>
            </w:r>
          </w:p>
        </w:tc>
        <w:tc>
          <w:tcPr>
            <w:tcW w:w="16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3,977,100</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Personal, Food and Miscellaneous Services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4,622,969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4,625,442</w:t>
            </w:r>
          </w:p>
        </w:tc>
        <w:tc>
          <w:tcPr>
            <w:tcW w:w="20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3,574,421</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3,640,835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Personal Transportation</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2,015,845</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1,986,975</w:t>
            </w:r>
          </w:p>
        </w:tc>
        <w:tc>
          <w:tcPr>
            <w:tcW w:w="2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2,012,685</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2,005,353</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Printing and Publishing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10,998,071</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11,184,798</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2,961,395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3,231,314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Retail Stores</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5,351,506</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5,361,758</w:t>
            </w:r>
          </w:p>
        </w:tc>
        <w:tc>
          <w:tcPr>
            <w:tcW w:w="2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5,781,672</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5,772,767</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Telecommunications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14,756,224</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14,714,259</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2,952,654</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2,783,195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Time Deposit and Money Market Accounts</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67,494,608</w:t>
            </w:r>
          </w:p>
        </w:tc>
        <w:tc>
          <w:tcPr>
            <w:tcW w:w="1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67,494,608</w:t>
            </w:r>
          </w:p>
        </w:tc>
        <w:tc>
          <w:tcPr>
            <w:tcW w:w="90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32,486,658</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32,486,658</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Utilities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169,280</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169,956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9"/>
              </w:rPr>
              <w:t>479,140,566</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436,497,694</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7"/>
              </w:rPr>
              <w:t>358,547,336</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312,044,763</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840" w:type="dxa"/>
            <w:vAlign w:val="bottom"/>
            <w:tcBorders>
              <w:top w:val="single" w:sz="8" w:color="CCFFCC"/>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150%</w:t>
            </w: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tabs>
          <w:tab w:leader="none" w:pos="22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Calculated as a percentage of net asset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tabs>
          <w:tab w:leader="none" w:pos="220" w:val="left"/>
        </w:tabs>
        <w:rPr>
          <w:sz w:val="20"/>
          <w:szCs w:val="20"/>
          <w:color w:val="auto"/>
        </w:rPr>
      </w:pPr>
      <w:r>
        <w:rPr>
          <w:rFonts w:ascii="Arial" w:cs="Arial" w:eastAsia="Arial" w:hAnsi="Arial"/>
          <w:sz w:val="15"/>
          <w:szCs w:val="15"/>
          <w:color w:val="auto"/>
        </w:rPr>
        <w:t>2</w:t>
      </w:r>
      <w:r>
        <w:rPr>
          <w:sz w:val="20"/>
          <w:szCs w:val="20"/>
          <w:color w:val="auto"/>
        </w:rPr>
        <w:tab/>
      </w:r>
      <w:r>
        <w:rPr>
          <w:rFonts w:ascii="Arial" w:cs="Arial" w:eastAsia="Arial" w:hAnsi="Arial"/>
          <w:sz w:val="18"/>
          <w:szCs w:val="18"/>
          <w:color w:val="auto"/>
        </w:rPr>
        <w:t>Represents the Asset Manager Affiliates.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ind w:right="300" w:firstLine="414"/>
        <w:spacing w:after="0" w:line="286" w:lineRule="auto"/>
        <w:rPr>
          <w:sz w:val="20"/>
          <w:szCs w:val="20"/>
          <w:color w:val="auto"/>
        </w:rPr>
      </w:pPr>
      <w:r>
        <w:rPr>
          <w:rFonts w:ascii="Arial" w:cs="Arial" w:eastAsia="Arial" w:hAnsi="Arial"/>
          <w:sz w:val="17"/>
          <w:szCs w:val="17"/>
          <w:color w:val="auto"/>
        </w:rPr>
        <w:t>The Company may invest up to 30% of the investment portfolio in opportunistic investments in high-yield bonds, debt and equity securities of CLO Funds, distressed debt or equity securities of public companies. The Company expects that these public companies generally will have debt that is non-investment grade. The Company also may invest in debt of middle market companies located outside of the United States.</w:t>
      </w:r>
    </w:p>
    <w:p>
      <w:pPr>
        <w:spacing w:after="0" w:line="166"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At June 30, 2013 and December 31, 2012, approximately 20% and 27% of the Company’s investments were foreign assets (including the Company’s investments in CLO Funds, which are typically domiciled outside the U.S. and represented approximately 19% and 27% of its portfolio on such dates), respectively.</w:t>
      </w:r>
    </w:p>
    <w:p>
      <w:pPr>
        <w:spacing w:after="0" w:line="181"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At June 30, 2013 and December 31, 2012, the Company’s ten largest portfolio companies represented approximately 55% and 62%, respectively, of the total fair value of its investments. The Company’s largest investment, the Asset Manager Affiliates which are its wholly owned asset manager affiliates represented 20% and 25% of the total fair value of the Company’s investments at June 30, 2013 and December 31, 2012, respectively. Excluding the Asset Manager Affiliates and CLO Fund securities, the Company’s ten largest portfolio companies represented approximately 12% and 17% of the total fair value of the Company’s investments at June 30, 2013 and December 31, 2012,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CLO Fund Securities</w:t>
      </w:r>
    </w:p>
    <w:p>
      <w:pPr>
        <w:spacing w:after="0" w:line="229" w:lineRule="exact"/>
        <w:rPr>
          <w:sz w:val="20"/>
          <w:szCs w:val="20"/>
          <w:color w:val="auto"/>
        </w:rPr>
      </w:pPr>
    </w:p>
    <w:p>
      <w:pPr>
        <w:ind w:right="20" w:firstLine="414"/>
        <w:spacing w:after="0" w:line="270" w:lineRule="auto"/>
        <w:rPr>
          <w:sz w:val="20"/>
          <w:szCs w:val="20"/>
          <w:color w:val="auto"/>
        </w:rPr>
      </w:pPr>
      <w:r>
        <w:rPr>
          <w:rFonts w:ascii="Arial" w:cs="Arial" w:eastAsia="Arial" w:hAnsi="Arial"/>
          <w:sz w:val="17"/>
          <w:szCs w:val="17"/>
          <w:color w:val="auto"/>
        </w:rPr>
        <w:t>The Company typically makes a minority investment in the most junior class of securities of CLO Funds (typically preferred shares or subordinated securities) managed by the Asset Manager Affiliates and may selectively invest in securities issued by funds managed by other asset management companies. Preferred shares or subordinated securities issued by CLO Funds are entitled to recurring dividend distributions which generally equal the net remaining cash flow of the payments made by the underlying CLO Fund’s securities less contractual payments to senior bond holders and CLO Fund expenses. CLO Funds managed by the Asset Manager Affiliates (“CLO Fund securities managed by affiliates”)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82"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The subordinated securities and preferred share securities are considered equity positions in the CLO Funds and, as of June 30, 2013 and December 31, 2012, the Company had approximately $81 million and $83 million, respectively, of CLO Fund securities at fair value. The cost basis of the Company’s investment in CLO Fund securities as of June 30, 2013 was approximately $98 million and aggregate unrealized depreciation on the CLO Fund securities totaled approximately $16 million. The cost basis of the Company’s investment in CLO Fund equity securities as of December 31, 2012, was approximately $90 million and aggregate unrealized depreciation on the CLO Fund securities totaled approximately $7 million.</w:t>
      </w:r>
    </w:p>
    <w:p>
      <w:pPr>
        <w:spacing w:after="0" w:line="173"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December 2012, the Company purchased $4.5 million par value of the class F Notes and $8.9 million par value of the Subordinated Notes of Catamaran 2012-1 CLO (“Catamaran 2012-1”) managed by Trimaran Advisors. The Company purchased the class F and Subordinated Notes for 84% and 100% of the par value, respectively.</w:t>
      </w:r>
    </w:p>
    <w:p>
      <w:pPr>
        <w:spacing w:after="0" w:line="18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In June 2013, the Company purchased $9 million of 100% par value of the Subordinated Notes of Catamaran 2013-1 CLO (“Catamaran 2013-1”) managed by Trimaran Advisors.</w:t>
      </w:r>
    </w:p>
    <w:p>
      <w:pPr>
        <w:spacing w:after="0" w:line="170"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All CLO Funds managed by the Asset Manager Affiliates are currently making quarterly dividend distributions to the Company and are paying all senior and subordinate management fees to the Asset Manager Affiliates. With the exception of the Katonah III, Ltd. and the Katonah V, Ltd. CLO Funds, all third-party managed CLO Funds are making quarterly dividend distributions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firstLine="414"/>
        <w:spacing w:after="0" w:line="269" w:lineRule="auto"/>
        <w:rPr>
          <w:sz w:val="20"/>
          <w:szCs w:val="20"/>
          <w:color w:val="auto"/>
        </w:rPr>
      </w:pPr>
      <w:r>
        <w:rPr>
          <w:rFonts w:ascii="Arial" w:cs="Arial" w:eastAsia="Arial" w:hAnsi="Arial"/>
          <w:sz w:val="17"/>
          <w:szCs w:val="17"/>
          <w:color w:val="auto"/>
        </w:rPr>
        <w:t xml:space="preserve">The Company follows the provisions of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the FASB has issued various staff positions clarifying the initial standard (see Note 2. “Significant Accounting Policies—Investments”).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37" w:name="page38"/>
    <w:bookmarkEnd w:id="37"/>
    <w:p>
      <w:pPr>
        <w:ind w:right="580" w:firstLine="414"/>
        <w:spacing w:after="0" w:line="277" w:lineRule="auto"/>
        <w:rPr>
          <w:sz w:val="20"/>
          <w:szCs w:val="20"/>
          <w:color w:val="auto"/>
        </w:rPr>
      </w:pP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establishes the following three-level hierarchy, based upon the transparency of inputs to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an asset or liability as of the measurement date:</w:t>
      </w:r>
    </w:p>
    <w:p>
      <w:pPr>
        <w:spacing w:after="0" w:line="170" w:lineRule="exact"/>
        <w:rPr>
          <w:sz w:val="20"/>
          <w:szCs w:val="20"/>
          <w:color w:val="auto"/>
        </w:rPr>
      </w:pPr>
    </w:p>
    <w:p>
      <w:pPr>
        <w:ind w:left="420" w:right="100" w:firstLine="414"/>
        <w:spacing w:after="0" w:line="312" w:lineRule="auto"/>
        <w:rPr>
          <w:sz w:val="20"/>
          <w:szCs w:val="20"/>
          <w:color w:val="auto"/>
        </w:rPr>
      </w:pPr>
      <w:r>
        <w:rPr>
          <w:rFonts w:ascii="Arial" w:cs="Arial" w:eastAsia="Arial" w:hAnsi="Arial"/>
          <w:sz w:val="16"/>
          <w:szCs w:val="16"/>
          <w:color w:val="auto"/>
        </w:rPr>
        <w:t xml:space="preserve">Level I – Unadjusted quoted prices are available in active markets for identical investments as of the reporting date. The type of investments included in Level I include listed equities and listed securities. As required by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the Company does not adjust the quoted price for these investments, even in situations where the Company holds a large position and a sale could reasonably affect the quoted price.</w:t>
      </w:r>
    </w:p>
    <w:p>
      <w:pPr>
        <w:spacing w:after="0" w:line="147" w:lineRule="exact"/>
        <w:rPr>
          <w:sz w:val="20"/>
          <w:szCs w:val="20"/>
          <w:color w:val="auto"/>
        </w:rPr>
      </w:pPr>
    </w:p>
    <w:p>
      <w:pPr>
        <w:ind w:left="420" w:right="160" w:firstLine="414"/>
        <w:spacing w:after="0" w:line="276"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3" w:lineRule="exact"/>
        <w:rPr>
          <w:sz w:val="20"/>
          <w:szCs w:val="20"/>
          <w:color w:val="auto"/>
        </w:rPr>
      </w:pPr>
    </w:p>
    <w:p>
      <w:pPr>
        <w:ind w:left="420" w:right="140" w:firstLine="414"/>
        <w:spacing w:after="0" w:line="293"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right="20" w:firstLine="41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are based on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following table summarizes the fair value of investments by the above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fair value hierarchy levels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2013 (unaudited) and December 31, 2012,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72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As of June 30, 2013 (unaudited)</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b w:val="1"/>
                <w:bCs w:val="1"/>
                <w:color w:val="auto"/>
              </w:rPr>
              <w:t>Level I</w:t>
            </w: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II</w:t>
            </w:r>
          </w:p>
        </w:tc>
        <w:tc>
          <w:tcPr>
            <w:tcW w:w="160" w:type="dxa"/>
            <w:vAlign w:val="bottom"/>
          </w:tcPr>
          <w:p>
            <w:pPr>
              <w:spacing w:after="0"/>
              <w:rPr>
                <w:sz w:val="20"/>
                <w:szCs w:val="20"/>
                <w:color w:val="auto"/>
              </w:rPr>
            </w:pPr>
          </w:p>
        </w:tc>
        <w:tc>
          <w:tcPr>
            <w:tcW w:w="1320" w:type="dxa"/>
            <w:vAlign w:val="bottom"/>
            <w:gridSpan w:val="3"/>
          </w:tcPr>
          <w:p>
            <w:pPr>
              <w:jc w:val="right"/>
              <w:ind w:right="505"/>
              <w:spacing w:after="0"/>
              <w:rPr>
                <w:sz w:val="20"/>
                <w:szCs w:val="20"/>
                <w:color w:val="auto"/>
              </w:rPr>
            </w:pPr>
            <w:r>
              <w:rPr>
                <w:rFonts w:ascii="Arial" w:cs="Arial" w:eastAsia="Arial" w:hAnsi="Arial"/>
                <w:sz w:val="18"/>
                <w:szCs w:val="18"/>
                <w:b w:val="1"/>
                <w:bCs w:val="1"/>
                <w:color w:val="auto"/>
              </w:rPr>
              <w:t>Level III</w:t>
            </w: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Money market account</w:t>
            </w:r>
          </w:p>
        </w:tc>
        <w:tc>
          <w:tcPr>
            <w:tcW w:w="218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FFCC"/>
          </w:tcPr>
          <w:p>
            <w:pPr>
              <w:ind w:left="7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67,494,608</w:t>
            </w:r>
          </w:p>
        </w:tc>
        <w:tc>
          <w:tcPr>
            <w:tcW w:w="1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67,494,608</w:t>
            </w:r>
          </w:p>
        </w:tc>
        <w:tc>
          <w:tcPr>
            <w:tcW w:w="100" w:type="dxa"/>
            <w:vAlign w:val="bottom"/>
            <w:tcBorders>
              <w:top w:val="single" w:sz="8" w:color="CCFFCC"/>
            </w:tcBorders>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Debt securities</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63,989,553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126,743,341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190,732,894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CLO Fund securities</w:t>
            </w:r>
          </w:p>
        </w:tc>
        <w:tc>
          <w:tcPr>
            <w:tcW w:w="2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40" w:type="dxa"/>
            <w:vAlign w:val="bottom"/>
            <w:gridSpan w:val="3"/>
            <w:shd w:val="clear" w:color="auto" w:fill="CCFFCC"/>
          </w:tcPr>
          <w:p>
            <w:pPr>
              <w:ind w:left="7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81,484,885</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81,484,885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Equity securities</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9,485,307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9,485,307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Asset Manager Affiliates</w:t>
            </w:r>
          </w:p>
        </w:tc>
        <w:tc>
          <w:tcPr>
            <w:tcW w:w="21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340" w:type="dxa"/>
            <w:vAlign w:val="bottom"/>
            <w:gridSpan w:val="3"/>
            <w:shd w:val="clear" w:color="auto" w:fill="CCFFCC"/>
          </w:tcPr>
          <w:p>
            <w:pPr>
              <w:ind w:left="7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87,300,000</w:t>
            </w:r>
          </w:p>
        </w:tc>
        <w:tc>
          <w:tcPr>
            <w:tcW w:w="16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87,300,000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2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40" w:type="dxa"/>
            <w:vAlign w:val="bottom"/>
            <w:gridSpan w:val="3"/>
            <w:shd w:val="clear" w:color="auto" w:fill="CCFFCC"/>
          </w:tcPr>
          <w:p>
            <w:pPr>
              <w:ind w:left="7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131,484,161</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305,013,533</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436,497,694</w:t>
            </w: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04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rPr>
              <w:t>As of December 31, 2012</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b w:val="1"/>
                <w:bCs w:val="1"/>
                <w:color w:val="auto"/>
              </w:rPr>
              <w:t>Level I</w:t>
            </w: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II</w:t>
            </w:r>
          </w:p>
        </w:tc>
        <w:tc>
          <w:tcPr>
            <w:tcW w:w="160" w:type="dxa"/>
            <w:vAlign w:val="bottom"/>
          </w:tcPr>
          <w:p>
            <w:pPr>
              <w:spacing w:after="0"/>
              <w:rPr>
                <w:sz w:val="20"/>
                <w:szCs w:val="20"/>
                <w:color w:val="auto"/>
              </w:rPr>
            </w:pPr>
          </w:p>
        </w:tc>
        <w:tc>
          <w:tcPr>
            <w:tcW w:w="1320" w:type="dxa"/>
            <w:vAlign w:val="bottom"/>
            <w:gridSpan w:val="3"/>
          </w:tcPr>
          <w:p>
            <w:pPr>
              <w:jc w:val="right"/>
              <w:ind w:right="505"/>
              <w:spacing w:after="0"/>
              <w:rPr>
                <w:sz w:val="20"/>
                <w:szCs w:val="20"/>
                <w:color w:val="auto"/>
              </w:rPr>
            </w:pPr>
            <w:r>
              <w:rPr>
                <w:rFonts w:ascii="Arial" w:cs="Arial" w:eastAsia="Arial" w:hAnsi="Arial"/>
                <w:sz w:val="18"/>
                <w:szCs w:val="18"/>
                <w:b w:val="1"/>
                <w:bCs w:val="1"/>
                <w:color w:val="auto"/>
              </w:rPr>
              <w:t>Level III</w:t>
            </w: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Time deposit and money market account</w:t>
            </w:r>
          </w:p>
        </w:tc>
        <w:tc>
          <w:tcPr>
            <w:tcW w:w="148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FFCC"/>
          </w:tcPr>
          <w:p>
            <w:pPr>
              <w:ind w:left="7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32,486,658</w:t>
            </w:r>
          </w:p>
        </w:tc>
        <w:tc>
          <w:tcPr>
            <w:tcW w:w="1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32,486,658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Debt securities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59,172,476</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51,865,406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111,037,882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CLO Fund securities</w:t>
            </w:r>
          </w:p>
        </w:tc>
        <w:tc>
          <w:tcPr>
            <w:tcW w:w="14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gridSpan w:val="3"/>
            <w:shd w:val="clear" w:color="auto" w:fill="CCFFCC"/>
          </w:tcPr>
          <w:p>
            <w:pPr>
              <w:ind w:lef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83,257,507</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83,257,507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Equity securities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8,020,716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8,020,716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Asset Manager Affiliates</w:t>
            </w:r>
          </w:p>
        </w:tc>
        <w:tc>
          <w:tcPr>
            <w:tcW w:w="14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360" w:type="dxa"/>
            <w:vAlign w:val="bottom"/>
            <w:gridSpan w:val="3"/>
            <w:shd w:val="clear" w:color="auto" w:fill="CCFFCC"/>
          </w:tcPr>
          <w:p>
            <w:pPr>
              <w:ind w:lef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77,242,000</w:t>
            </w:r>
          </w:p>
        </w:tc>
        <w:tc>
          <w:tcPr>
            <w:tcW w:w="16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77,242,000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gridSpan w:val="3"/>
            <w:shd w:val="clear" w:color="auto" w:fill="CCFFCC"/>
          </w:tcPr>
          <w:p>
            <w:pPr>
              <w:ind w:lef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91,659,134</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220,385,629</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312,044,763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324"/>
        <w:spacing w:after="0" w:line="297" w:lineRule="auto"/>
        <w:rPr>
          <w:sz w:val="20"/>
          <w:szCs w:val="20"/>
          <w:color w:val="auto"/>
        </w:rPr>
      </w:pPr>
      <w:r>
        <w:rPr>
          <w:rFonts w:ascii="Arial" w:cs="Arial" w:eastAsia="Arial" w:hAnsi="Arial"/>
          <w:sz w:val="16"/>
          <w:szCs w:val="16"/>
          <w:color w:val="auto"/>
        </w:rPr>
        <w:t xml:space="preserve">As a BDC, it is required that the Company invest primarily in the debt and equity of non-public companies for which there is little, if any, market-observable information. As a result a significant portion of the Company’s investments at any given time will likely be deemed Level III investments. The Company believes that investments classified as Level III for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have a further hierarchal framework which prioritizes and ranks such valuations based on the degree of independent and observable inputs, objectivity of data and models and the level of judgment required to adjust comparable data. The hierarchy of such methodologies are presented in the above table and discussed below in descending rank.</w:t>
      </w:r>
    </w:p>
    <w:p>
      <w:pPr>
        <w:spacing w:after="0" w:line="15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Investment values derived by a third party pricing service are generally deemed to be Level III values. For those that have observable trades, we consider them to be Level II.</w:t>
      </w:r>
    </w:p>
    <w:p>
      <w:pPr>
        <w:spacing w:after="0" w:line="170" w:lineRule="exact"/>
        <w:rPr>
          <w:sz w:val="20"/>
          <w:szCs w:val="20"/>
          <w:color w:val="auto"/>
        </w:rPr>
      </w:pPr>
    </w:p>
    <w:p>
      <w:pPr>
        <w:ind w:right="20" w:firstLine="414"/>
        <w:spacing w:after="0" w:line="268" w:lineRule="auto"/>
        <w:rPr>
          <w:sz w:val="20"/>
          <w:szCs w:val="20"/>
          <w:color w:val="auto"/>
        </w:rPr>
      </w:pPr>
      <w:r>
        <w:rPr>
          <w:rFonts w:ascii="Arial" w:cs="Arial" w:eastAsia="Arial" w:hAnsi="Arial"/>
          <w:sz w:val="17"/>
          <w:szCs w:val="17"/>
          <w:color w:val="auto"/>
        </w:rPr>
        <w:t>The Company derives fair value for its illiquid investments that do not have indicative fair values based upon active trades primarily by using the Market Yield Approach and also considers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investments. Because the Company has not identified any market index that directly correlates to the loan and debt investments held by the Company and therefore uses the two benchmark indices, these market indices may require significant adjustment to better correlate such market data for the calculation of fair value of the investment under the Market Yield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The appropriateness of specific valuation methods and techniques may change as market conditions and available data change.</w:t>
      </w:r>
    </w:p>
    <w:p>
      <w:pPr>
        <w:spacing w:after="0" w:line="181"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Since 2010, the Company engaged an independent valuation firm to provide a third-party review of our CLO fair value model relative to its functionality, model inputs, and calculations as a reasonable method to determine CLO fair values, in the absence of Level I or Level II trading activity or observable market inputs. The independent valuation firm concluded that the Company’s CLO model appropriately factors in all the necessary inputs required to build a CLO equity cash flow for fair value purposes and that the inputs were being employed correctly.</w:t>
      </w:r>
    </w:p>
    <w:p>
      <w:pPr>
        <w:spacing w:after="0" w:line="187" w:lineRule="exact"/>
        <w:rPr>
          <w:sz w:val="20"/>
          <w:szCs w:val="20"/>
          <w:color w:val="auto"/>
        </w:rPr>
      </w:pPr>
    </w:p>
    <w:p>
      <w:pPr>
        <w:ind w:right="240" w:firstLine="414"/>
        <w:spacing w:after="0" w:line="297" w:lineRule="auto"/>
        <w:rPr>
          <w:sz w:val="20"/>
          <w:szCs w:val="20"/>
          <w:color w:val="auto"/>
        </w:rPr>
      </w:pPr>
      <w:r>
        <w:rPr>
          <w:rFonts w:ascii="Arial" w:cs="Arial" w:eastAsia="Arial" w:hAnsi="Arial"/>
          <w:sz w:val="16"/>
          <w:szCs w:val="16"/>
          <w:color w:val="auto"/>
        </w:rPr>
        <w:t>The Company has engaged an independent valuation firm to provide third party valuation consulting services to the Company’s Board of Directors. Each quarter the independent valuation firm will perform third party valuations on the Company’s investments on illiquid securities such that they are reviewed at least once during a trailing 12 month period. These third party valuation estimates were considered as one of the relevant data inputs in the Company’s determination of fair value. The Board of Directors intends to continue to engage an independent valuation firm in the future to provide certain valuation services, including the review of certain portfolio assets, as part of the quarterly and annual year-end valuation process.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9" w:name="page40"/>
    <w:bookmarkEnd w:id="39"/>
    <w:p>
      <w:pPr>
        <w:ind w:right="260" w:firstLine="414"/>
        <w:spacing w:after="0" w:line="276" w:lineRule="auto"/>
        <w:rPr>
          <w:sz w:val="20"/>
          <w:szCs w:val="20"/>
          <w:color w:val="auto"/>
        </w:rPr>
      </w:pPr>
      <w:r>
        <w:rPr>
          <w:rFonts w:ascii="Arial" w:cs="Arial" w:eastAsia="Arial" w:hAnsi="Arial"/>
          <w:sz w:val="17"/>
          <w:szCs w:val="17"/>
          <w:color w:val="auto"/>
        </w:rPr>
        <w:t>Values derived for debt and equity securities using public/private company comparables generally utilize market-observable data from such comparables and specific, non-public and non-observable financial measures (such as earnings or cash flows) for the private, underlying company/issuer. Such non-observable company/issuer data is typically provided on a monthly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73" w:lineRule="exact"/>
        <w:rPr>
          <w:sz w:val="20"/>
          <w:szCs w:val="20"/>
          <w:color w:val="auto"/>
        </w:rPr>
      </w:pPr>
    </w:p>
    <w:p>
      <w:pPr>
        <w:ind w:right="40" w:firstLine="414"/>
        <w:spacing w:after="0" w:line="293" w:lineRule="auto"/>
        <w:rPr>
          <w:sz w:val="20"/>
          <w:szCs w:val="20"/>
          <w:color w:val="auto"/>
        </w:rPr>
      </w:pPr>
      <w:r>
        <w:rPr>
          <w:rFonts w:ascii="Arial" w:cs="Arial" w:eastAsia="Arial" w:hAnsi="Arial"/>
          <w:sz w:val="16"/>
          <w:szCs w:val="16"/>
          <w:color w:val="auto"/>
        </w:rPr>
        <w:t>Values derived for the Asset Manager Affiliates using public/private company comparables generally utilize market-observable data from such comparables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16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Investments measured at fair value for which the Company has used unobservable inputs to determine fair value are as follows: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8"/>
                <w:szCs w:val="18"/>
                <w:b w:val="1"/>
                <w:bCs w:val="1"/>
                <w:color w:val="auto"/>
                <w:w w:val="98"/>
              </w:rPr>
              <w:t>Six Months Ended June 30, 2013 (unaudited)</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CLO Fund</w:t>
            </w:r>
          </w:p>
        </w:tc>
        <w:tc>
          <w:tcPr>
            <w:tcW w:w="180" w:type="dxa"/>
            <w:vAlign w:val="bottom"/>
          </w:tcPr>
          <w:p>
            <w:pPr>
              <w:spacing w:after="0"/>
              <w:rPr>
                <w:sz w:val="16"/>
                <w:szCs w:val="16"/>
                <w:color w:val="auto"/>
              </w:rPr>
            </w:pPr>
          </w:p>
        </w:tc>
        <w:tc>
          <w:tcPr>
            <w:tcW w:w="1420" w:type="dxa"/>
            <w:vAlign w:val="bottom"/>
            <w:gridSpan w:val="2"/>
          </w:tcPr>
          <w:p>
            <w:pPr>
              <w:jc w:val="right"/>
              <w:ind w:right="700"/>
              <w:spacing w:after="0" w:line="191" w:lineRule="exact"/>
              <w:rPr>
                <w:sz w:val="20"/>
                <w:szCs w:val="20"/>
                <w:color w:val="auto"/>
              </w:rPr>
            </w:pPr>
            <w:r>
              <w:rPr>
                <w:rFonts w:ascii="Arial" w:cs="Arial" w:eastAsia="Arial" w:hAnsi="Arial"/>
                <w:sz w:val="18"/>
                <w:szCs w:val="18"/>
                <w:b w:val="1"/>
                <w:bCs w:val="1"/>
                <w:color w:val="auto"/>
              </w:rPr>
              <w:t>Equity</w:t>
            </w:r>
          </w:p>
        </w:tc>
        <w:tc>
          <w:tcPr>
            <w:tcW w:w="1560" w:type="dxa"/>
            <w:vAlign w:val="bottom"/>
            <w:gridSpan w:val="3"/>
          </w:tcPr>
          <w:p>
            <w:pPr>
              <w:jc w:val="right"/>
              <w:ind w:right="360"/>
              <w:spacing w:after="0" w:line="191" w:lineRule="exact"/>
              <w:rPr>
                <w:sz w:val="20"/>
                <w:szCs w:val="20"/>
                <w:color w:val="auto"/>
              </w:rPr>
            </w:pPr>
            <w:r>
              <w:rPr>
                <w:rFonts w:ascii="Arial" w:cs="Arial" w:eastAsia="Arial" w:hAnsi="Arial"/>
                <w:sz w:val="18"/>
                <w:szCs w:val="18"/>
                <w:b w:val="1"/>
                <w:bCs w:val="1"/>
                <w:color w:val="auto"/>
                <w:w w:val="92"/>
              </w:rPr>
              <w:t>Asset Manager</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3660" w:type="dxa"/>
            <w:vAlign w:val="bottom"/>
          </w:tcPr>
          <w:p>
            <w:pPr>
              <w:spacing w:after="0"/>
              <w:rPr>
                <w:sz w:val="20"/>
                <w:szCs w:val="20"/>
                <w:color w:val="auto"/>
              </w:rPr>
            </w:pPr>
          </w:p>
        </w:tc>
        <w:tc>
          <w:tcPr>
            <w:tcW w:w="16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1"/>
              </w:rPr>
              <w:t>Debt Securities</w:t>
            </w:r>
          </w:p>
        </w:tc>
        <w:tc>
          <w:tcPr>
            <w:tcW w:w="160" w:type="dxa"/>
            <w:vAlign w:val="bottom"/>
          </w:tcPr>
          <w:p>
            <w:pPr>
              <w:spacing w:after="0"/>
              <w:rPr>
                <w:sz w:val="20"/>
                <w:szCs w:val="20"/>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7"/>
              </w:rPr>
              <w:t>Securities</w:t>
            </w:r>
          </w:p>
        </w:tc>
        <w:tc>
          <w:tcPr>
            <w:tcW w:w="180" w:type="dxa"/>
            <w:vAlign w:val="bottom"/>
          </w:tcPr>
          <w:p>
            <w:pPr>
              <w:spacing w:after="0"/>
              <w:rPr>
                <w:sz w:val="20"/>
                <w:szCs w:val="20"/>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5"/>
              </w:rPr>
              <w:t>Securities</w:t>
            </w:r>
          </w:p>
        </w:tc>
        <w:tc>
          <w:tcPr>
            <w:tcW w:w="18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Affiliates</w:t>
            </w:r>
          </w:p>
        </w:tc>
        <w:tc>
          <w:tcPr>
            <w:tcW w:w="220" w:type="dxa"/>
            <w:vAlign w:val="bottom"/>
          </w:tcPr>
          <w:p>
            <w:pPr>
              <w:spacing w:after="0"/>
              <w:rPr>
                <w:sz w:val="20"/>
                <w:szCs w:val="20"/>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36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December 31, 2012</w:t>
            </w:r>
          </w:p>
        </w:tc>
        <w:tc>
          <w:tcPr>
            <w:tcW w:w="240" w:type="dxa"/>
            <w:vAlign w:val="bottom"/>
            <w:tcBorders>
              <w:top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51,865,406</w:t>
            </w:r>
          </w:p>
        </w:tc>
        <w:tc>
          <w:tcPr>
            <w:tcW w:w="3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83,257,507</w:t>
            </w:r>
          </w:p>
        </w:tc>
        <w:tc>
          <w:tcPr>
            <w:tcW w:w="34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8,020,716</w:t>
            </w:r>
          </w:p>
        </w:tc>
        <w:tc>
          <w:tcPr>
            <w:tcW w:w="3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77,242,000</w:t>
            </w:r>
          </w:p>
        </w:tc>
        <w:tc>
          <w:tcPr>
            <w:tcW w:w="3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220,385,629</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Transfers out of Level III¹</w:t>
            </w: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(2,783,195)</w:t>
            </w: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(2,783,195)</w:t>
            </w: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Transfers into Level III²</w:t>
            </w:r>
          </w:p>
        </w:tc>
        <w:tc>
          <w:tcPr>
            <w:tcW w:w="2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29,939,791</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29,939,791</w:t>
            </w:r>
          </w:p>
        </w:tc>
        <w:tc>
          <w:tcPr>
            <w:tcW w:w="80" w:type="dxa"/>
            <w:vAlign w:val="bottom"/>
            <w:shd w:val="clear" w:color="auto" w:fill="CCFFC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Net accretion of discount</w:t>
            </w:r>
          </w:p>
        </w:tc>
        <w:tc>
          <w:tcPr>
            <w:tcW w:w="24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62,091</w:t>
            </w: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88,392</w:t>
            </w:r>
          </w:p>
        </w:tc>
        <w:tc>
          <w:tcPr>
            <w:tcW w:w="1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150,483</w:t>
            </w:r>
          </w:p>
        </w:tc>
        <w:tc>
          <w:tcPr>
            <w:tcW w:w="80" w:type="dxa"/>
            <w:vAlign w:val="bottom"/>
          </w:tcPr>
          <w:p>
            <w:pPr>
              <w:spacing w:after="0"/>
              <w:rPr>
                <w:sz w:val="18"/>
                <w:szCs w:val="18"/>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42,163,398</w:t>
            </w: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9,000,000</w:t>
            </w:r>
          </w:p>
        </w:tc>
        <w:tc>
          <w:tcPr>
            <w:tcW w:w="3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1,128,647</w:t>
            </w: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52,292,045</w:t>
            </w:r>
          </w:p>
        </w:tc>
        <w:tc>
          <w:tcPr>
            <w:tcW w:w="80" w:type="dxa"/>
            <w:vAlign w:val="bottom"/>
            <w:shd w:val="clear" w:color="auto" w:fill="CCFFC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Sales/Paydowns</w:t>
            </w: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(1,812,161)</w:t>
            </w: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(603,332)</w:t>
            </w:r>
          </w:p>
        </w:tc>
        <w:tc>
          <w:tcPr>
            <w:tcW w:w="1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(404,213)</w:t>
            </w:r>
          </w:p>
        </w:tc>
        <w:tc>
          <w:tcPr>
            <w:tcW w:w="1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(2,819,706)</w:t>
            </w:r>
          </w:p>
        </w:tc>
      </w:tr>
      <w:tr>
        <w:trPr>
          <w:trHeight w:val="230"/>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Total realized gain (loss) included in earnings</w:t>
            </w:r>
          </w:p>
        </w:tc>
        <w:tc>
          <w:tcPr>
            <w:tcW w:w="24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20,246</w:t>
            </w:r>
          </w:p>
        </w:tc>
        <w:tc>
          <w:tcPr>
            <w:tcW w:w="16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(258,785)</w:t>
            </w:r>
          </w:p>
        </w:tc>
        <w:tc>
          <w:tcPr>
            <w:tcW w:w="18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9"/>
                <w:szCs w:val="19"/>
                <w:color w:val="auto"/>
              </w:rPr>
            </w:pPr>
          </w:p>
        </w:tc>
        <w:tc>
          <w:tcPr>
            <w:tcW w:w="11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(238,539)</w:t>
            </w: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Total unrealized gain (loss) included in</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4"/>
        </w:trPr>
        <w:tc>
          <w:tcPr>
            <w:tcW w:w="3660" w:type="dxa"/>
            <w:vAlign w:val="bottom"/>
          </w:tcPr>
          <w:p>
            <w:pPr>
              <w:ind w:left="180"/>
              <w:spacing w:after="0"/>
              <w:rPr>
                <w:sz w:val="20"/>
                <w:szCs w:val="20"/>
                <w:color w:val="auto"/>
              </w:rPr>
            </w:pPr>
            <w:r>
              <w:rPr>
                <w:rFonts w:ascii="Arial" w:cs="Arial" w:eastAsia="Arial" w:hAnsi="Arial"/>
                <w:sz w:val="18"/>
                <w:szCs w:val="18"/>
                <w:color w:val="auto"/>
              </w:rPr>
              <w:t>earnings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7,287,765</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(10,257,682)</w:t>
            </w:r>
          </w:p>
        </w:tc>
        <w:tc>
          <w:tcPr>
            <w:tcW w:w="18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998,942</w:t>
            </w:r>
          </w:p>
        </w:tc>
        <w:tc>
          <w:tcPr>
            <w:tcW w:w="18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10,058,000</w:t>
            </w:r>
          </w:p>
        </w:tc>
        <w:tc>
          <w:tcPr>
            <w:tcW w:w="2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8,087,025</w:t>
            </w:r>
          </w:p>
        </w:tc>
        <w:tc>
          <w:tcPr>
            <w:tcW w:w="80" w:type="dxa"/>
            <w:vAlign w:val="bottom"/>
          </w:tcPr>
          <w:p>
            <w:pPr>
              <w:spacing w:after="0"/>
              <w:rPr>
                <w:sz w:val="21"/>
                <w:szCs w:val="21"/>
                <w:color w:val="auto"/>
              </w:rPr>
            </w:pPr>
          </w:p>
        </w:tc>
      </w:tr>
      <w:tr>
        <w:trPr>
          <w:trHeight w:val="210"/>
        </w:trPr>
        <w:tc>
          <w:tcPr>
            <w:tcW w:w="36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June 30, 2013</w:t>
            </w:r>
          </w:p>
        </w:tc>
        <w:tc>
          <w:tcPr>
            <w:tcW w:w="24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126,743,341</w:t>
            </w:r>
          </w:p>
        </w:tc>
        <w:tc>
          <w:tcPr>
            <w:tcW w:w="3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81,484,885</w:t>
            </w:r>
          </w:p>
        </w:tc>
        <w:tc>
          <w:tcPr>
            <w:tcW w:w="34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9,485,307</w:t>
            </w:r>
          </w:p>
        </w:tc>
        <w:tc>
          <w:tcPr>
            <w:tcW w:w="3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87,300,000</w:t>
            </w:r>
          </w:p>
        </w:tc>
        <w:tc>
          <w:tcPr>
            <w:tcW w:w="3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305,013,533</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182"/>
        </w:trPr>
        <w:tc>
          <w:tcPr>
            <w:tcW w:w="3660" w:type="dxa"/>
            <w:vAlign w:val="bottom"/>
          </w:tcPr>
          <w:p>
            <w:pPr>
              <w:spacing w:after="0" w:line="182" w:lineRule="exact"/>
              <w:rPr>
                <w:sz w:val="20"/>
                <w:szCs w:val="20"/>
                <w:color w:val="auto"/>
              </w:rPr>
            </w:pPr>
            <w:r>
              <w:rPr>
                <w:rFonts w:ascii="Arial" w:cs="Arial" w:eastAsia="Arial" w:hAnsi="Arial"/>
                <w:sz w:val="18"/>
                <w:szCs w:val="18"/>
                <w:color w:val="auto"/>
                <w:w w:val="99"/>
              </w:rPr>
              <w:t>Changes in unrealized gains (losses) included</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w w:val="96"/>
              </w:rPr>
              <w:t>in earnings related to investments still held at</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3660" w:type="dxa"/>
            <w:vAlign w:val="bottom"/>
          </w:tcPr>
          <w:p>
            <w:pPr>
              <w:ind w:left="180"/>
              <w:spacing w:after="0"/>
              <w:rPr>
                <w:sz w:val="20"/>
                <w:szCs w:val="20"/>
                <w:color w:val="auto"/>
              </w:rPr>
            </w:pPr>
            <w:r>
              <w:rPr>
                <w:rFonts w:ascii="Arial" w:cs="Arial" w:eastAsia="Arial" w:hAnsi="Arial"/>
                <w:sz w:val="18"/>
                <w:szCs w:val="18"/>
                <w:color w:val="auto"/>
              </w:rPr>
              <w:t>reporting date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7,287,765</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(10,257,682)</w:t>
            </w:r>
          </w:p>
        </w:tc>
        <w:tc>
          <w:tcPr>
            <w:tcW w:w="180" w:type="dxa"/>
            <w:vAlign w:val="bottom"/>
          </w:tcPr>
          <w:p>
            <w:pPr>
              <w:spacing w:after="0"/>
              <w:rPr>
                <w:sz w:val="22"/>
                <w:szCs w:val="22"/>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998,942</w:t>
            </w:r>
          </w:p>
        </w:tc>
        <w:tc>
          <w:tcPr>
            <w:tcW w:w="180" w:type="dxa"/>
            <w:vAlign w:val="bottom"/>
          </w:tcPr>
          <w:p>
            <w:pPr>
              <w:spacing w:after="0"/>
              <w:rPr>
                <w:sz w:val="22"/>
                <w:szCs w:val="22"/>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10,058,000</w:t>
            </w:r>
          </w:p>
        </w:tc>
        <w:tc>
          <w:tcPr>
            <w:tcW w:w="22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8,087,025</w:t>
            </w:r>
          </w:p>
        </w:tc>
        <w:tc>
          <w:tcPr>
            <w:tcW w:w="80" w:type="dxa"/>
            <w:vAlign w:val="bottom"/>
          </w:tcPr>
          <w:p>
            <w:pPr>
              <w:spacing w:after="0"/>
              <w:rPr>
                <w:sz w:val="22"/>
                <w:szCs w:val="22"/>
                <w:color w:val="auto"/>
              </w:rPr>
            </w:pPr>
          </w:p>
        </w:tc>
      </w:tr>
      <w:tr>
        <w:trPr>
          <w:trHeight w:val="20"/>
        </w:trPr>
        <w:tc>
          <w:tcPr>
            <w:tcW w:w="3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8"/>
        <w:spacing w:after="0" w:line="194" w:lineRule="auto"/>
        <w:tabs>
          <w:tab w:leader="none" w:pos="133" w:val="left"/>
        </w:tabs>
        <w:numPr>
          <w:ilvl w:val="0"/>
          <w:numId w:val="31"/>
        </w:numPr>
        <w:rPr>
          <w:rFonts w:ascii="Arial" w:cs="Arial" w:eastAsia="Arial" w:hAnsi="Arial"/>
          <w:sz w:val="30"/>
          <w:szCs w:val="30"/>
          <w:color w:val="auto"/>
          <w:vertAlign w:val="superscript"/>
        </w:rPr>
      </w:pPr>
      <w:r>
        <w:rPr>
          <w:rFonts w:ascii="Arial" w:cs="Arial" w:eastAsia="Arial" w:hAnsi="Arial"/>
          <w:sz w:val="18"/>
          <w:szCs w:val="18"/>
          <w:color w:val="auto"/>
        </w:rPr>
        <w:t>The transfers to Level II from Level III in the six months ended June 30, 2013 were primarily due to the availability of observable market inputs and multiple quotes from pricing vendors and/or broker dealers as a result of the return of liquidity in the credit markets.</w:t>
      </w:r>
    </w:p>
    <w:p>
      <w:pPr>
        <w:spacing w:after="0" w:line="270" w:lineRule="exact"/>
        <w:rPr>
          <w:sz w:val="20"/>
          <w:szCs w:val="20"/>
          <w:color w:val="auto"/>
        </w:rPr>
      </w:pPr>
    </w:p>
    <w:p>
      <w:pPr>
        <w:ind w:right="20" w:firstLine="8"/>
        <w:spacing w:after="0" w:line="194" w:lineRule="auto"/>
        <w:tabs>
          <w:tab w:leader="none" w:pos="133"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Transfers into Level III represent a transfer of $29,939,791 relating to debt securities for which pricing inputs, other than their quoted prices in active markets were unobservable as of June 30, 2013.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 2012</w:t>
            </w: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CLO Fund</w:t>
            </w:r>
          </w:p>
        </w:tc>
        <w:tc>
          <w:tcPr>
            <w:tcW w:w="180" w:type="dxa"/>
            <w:vAlign w:val="bottom"/>
          </w:tcPr>
          <w:p>
            <w:pPr>
              <w:spacing w:after="0"/>
              <w:rPr>
                <w:sz w:val="16"/>
                <w:szCs w:val="16"/>
                <w:color w:val="auto"/>
              </w:rPr>
            </w:pPr>
          </w:p>
        </w:tc>
        <w:tc>
          <w:tcPr>
            <w:tcW w:w="1420" w:type="dxa"/>
            <w:vAlign w:val="bottom"/>
            <w:gridSpan w:val="2"/>
          </w:tcPr>
          <w:p>
            <w:pPr>
              <w:jc w:val="center"/>
              <w:ind w:right="500"/>
              <w:spacing w:after="0" w:line="191" w:lineRule="exact"/>
              <w:rPr>
                <w:sz w:val="20"/>
                <w:szCs w:val="20"/>
                <w:color w:val="auto"/>
              </w:rPr>
            </w:pPr>
            <w:r>
              <w:rPr>
                <w:rFonts w:ascii="Arial" w:cs="Arial" w:eastAsia="Arial" w:hAnsi="Arial"/>
                <w:sz w:val="18"/>
                <w:szCs w:val="18"/>
                <w:b w:val="1"/>
                <w:bCs w:val="1"/>
                <w:color w:val="auto"/>
                <w:w w:val="94"/>
              </w:rPr>
              <w:t>Equity</w:t>
            </w:r>
          </w:p>
        </w:tc>
        <w:tc>
          <w:tcPr>
            <w:tcW w:w="1560" w:type="dxa"/>
            <w:vAlign w:val="bottom"/>
            <w:gridSpan w:val="3"/>
          </w:tcPr>
          <w:p>
            <w:pPr>
              <w:jc w:val="right"/>
              <w:ind w:right="360"/>
              <w:spacing w:after="0" w:line="191" w:lineRule="exact"/>
              <w:rPr>
                <w:sz w:val="20"/>
                <w:szCs w:val="20"/>
                <w:color w:val="auto"/>
              </w:rPr>
            </w:pPr>
            <w:r>
              <w:rPr>
                <w:rFonts w:ascii="Arial" w:cs="Arial" w:eastAsia="Arial" w:hAnsi="Arial"/>
                <w:sz w:val="18"/>
                <w:szCs w:val="18"/>
                <w:b w:val="1"/>
                <w:bCs w:val="1"/>
                <w:color w:val="auto"/>
                <w:w w:val="92"/>
              </w:rPr>
              <w:t>Asset Manager</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660" w:type="dxa"/>
            <w:vAlign w:val="bottom"/>
          </w:tcPr>
          <w:p>
            <w:pPr>
              <w:spacing w:after="0"/>
              <w:rPr>
                <w:sz w:val="20"/>
                <w:szCs w:val="20"/>
                <w:color w:val="auto"/>
              </w:rPr>
            </w:pPr>
          </w:p>
        </w:tc>
        <w:tc>
          <w:tcPr>
            <w:tcW w:w="16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1"/>
              </w:rPr>
              <w:t>Debt Securities</w:t>
            </w:r>
          </w:p>
        </w:tc>
        <w:tc>
          <w:tcPr>
            <w:tcW w:w="160" w:type="dxa"/>
            <w:vAlign w:val="bottom"/>
          </w:tcPr>
          <w:p>
            <w:pPr>
              <w:spacing w:after="0"/>
              <w:rPr>
                <w:sz w:val="20"/>
                <w:szCs w:val="20"/>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7"/>
              </w:rPr>
              <w:t>Securities</w:t>
            </w:r>
          </w:p>
        </w:tc>
        <w:tc>
          <w:tcPr>
            <w:tcW w:w="180" w:type="dxa"/>
            <w:vAlign w:val="bottom"/>
          </w:tcPr>
          <w:p>
            <w:pPr>
              <w:spacing w:after="0"/>
              <w:rPr>
                <w:sz w:val="20"/>
                <w:szCs w:val="20"/>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Securities</w:t>
            </w:r>
          </w:p>
        </w:tc>
        <w:tc>
          <w:tcPr>
            <w:tcW w:w="24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Affiliates</w:t>
            </w:r>
          </w:p>
        </w:tc>
        <w:tc>
          <w:tcPr>
            <w:tcW w:w="2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36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December 31, 2011</w:t>
            </w:r>
          </w:p>
        </w:tc>
        <w:tc>
          <w:tcPr>
            <w:tcW w:w="260" w:type="dxa"/>
            <w:vAlign w:val="bottom"/>
            <w:tcBorders>
              <w:top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83,094,677</w:t>
            </w:r>
          </w:p>
        </w:tc>
        <w:tc>
          <w:tcPr>
            <w:tcW w:w="3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48,438,317</w:t>
            </w:r>
          </w:p>
        </w:tc>
        <w:tc>
          <w:tcPr>
            <w:tcW w:w="34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6,040,895</w:t>
            </w:r>
          </w:p>
        </w:tc>
        <w:tc>
          <w:tcPr>
            <w:tcW w:w="3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40,814,000</w:t>
            </w:r>
          </w:p>
        </w:tc>
        <w:tc>
          <w:tcPr>
            <w:tcW w:w="3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178,387,889</w:t>
            </w:r>
          </w:p>
        </w:tc>
        <w:tc>
          <w:tcPr>
            <w:tcW w:w="100" w:type="dxa"/>
            <w:vAlign w:val="bottom"/>
            <w:tcBorders>
              <w:top w:val="single" w:sz="8" w:color="CCFFCC"/>
            </w:tcBorders>
            <w:shd w:val="clear" w:color="auto" w:fill="CCFFCC"/>
          </w:tcPr>
          <w:p>
            <w:pPr>
              <w:spacing w:after="0"/>
              <w:rPr>
                <w:sz w:val="18"/>
                <w:szCs w:val="18"/>
                <w:color w:val="auto"/>
              </w:rPr>
            </w:pPr>
          </w:p>
        </w:tc>
      </w:tr>
      <w:tr>
        <w:trPr>
          <w:trHeight w:val="257"/>
        </w:trPr>
        <w:tc>
          <w:tcPr>
            <w:tcW w:w="3660" w:type="dxa"/>
            <w:vAlign w:val="bottom"/>
          </w:tcPr>
          <w:p>
            <w:pPr>
              <w:spacing w:after="0" w:line="256" w:lineRule="exact"/>
              <w:rPr>
                <w:sz w:val="20"/>
                <w:szCs w:val="20"/>
                <w:color w:val="auto"/>
              </w:rPr>
            </w:pPr>
            <w:r>
              <w:rPr>
                <w:rFonts w:ascii="Arial" w:cs="Arial" w:eastAsia="Arial" w:hAnsi="Arial"/>
                <w:sz w:val="18"/>
                <w:szCs w:val="18"/>
                <w:color w:val="auto"/>
              </w:rPr>
              <w:t>Transfers out of Level III</w:t>
            </w:r>
            <w:r>
              <w:rPr>
                <w:rFonts w:ascii="Arial" w:cs="Arial" w:eastAsia="Arial" w:hAnsi="Arial"/>
                <w:sz w:val="29"/>
                <w:szCs w:val="29"/>
                <w:color w:val="auto"/>
                <w:vertAlign w:val="superscript"/>
              </w:rPr>
              <w:t>1</w:t>
            </w:r>
          </w:p>
        </w:tc>
        <w:tc>
          <w:tcPr>
            <w:tcW w:w="260" w:type="dxa"/>
            <w:vAlign w:val="bottom"/>
          </w:tcPr>
          <w:p>
            <w:pPr>
              <w:spacing w:after="0"/>
              <w:rPr>
                <w:sz w:val="22"/>
                <w:szCs w:val="22"/>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(5,611,522)</w:t>
            </w:r>
          </w:p>
        </w:tc>
        <w:tc>
          <w:tcPr>
            <w:tcW w:w="160" w:type="dxa"/>
            <w:vAlign w:val="bottom"/>
          </w:tcPr>
          <w:p>
            <w:pPr>
              <w:spacing w:after="0"/>
              <w:rPr>
                <w:sz w:val="22"/>
                <w:szCs w:val="22"/>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(5,611,522)</w:t>
            </w:r>
          </w:p>
        </w:tc>
      </w:tr>
      <w:tr>
        <w:trPr>
          <w:trHeight w:val="257"/>
        </w:trPr>
        <w:tc>
          <w:tcPr>
            <w:tcW w:w="366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Transfers into Level III</w:t>
            </w:r>
            <w:r>
              <w:rPr>
                <w:rFonts w:ascii="Arial" w:cs="Arial" w:eastAsia="Arial" w:hAnsi="Arial"/>
                <w:sz w:val="29"/>
                <w:szCs w:val="29"/>
                <w:color w:val="auto"/>
                <w:vertAlign w:val="superscript"/>
              </w:rPr>
              <w:t>2</w:t>
            </w:r>
          </w:p>
        </w:tc>
        <w:tc>
          <w:tcPr>
            <w:tcW w:w="260" w:type="dxa"/>
            <w:vAlign w:val="bottom"/>
            <w:shd w:val="clear" w:color="auto" w:fill="CCFFCC"/>
          </w:tcPr>
          <w:p>
            <w:pPr>
              <w:spacing w:after="0"/>
              <w:rPr>
                <w:sz w:val="22"/>
                <w:szCs w:val="22"/>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5,978,696</w:t>
            </w:r>
          </w:p>
        </w:tc>
        <w:tc>
          <w:tcPr>
            <w:tcW w:w="34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4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22"/>
                <w:szCs w:val="22"/>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22"/>
                <w:szCs w:val="22"/>
                <w:color w:val="auto"/>
              </w:rPr>
            </w:pPr>
          </w:p>
        </w:tc>
        <w:tc>
          <w:tcPr>
            <w:tcW w:w="13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2"/>
                <w:szCs w:val="22"/>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5,978,696</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Net accretion of discount</w:t>
            </w:r>
          </w:p>
        </w:tc>
        <w:tc>
          <w:tcPr>
            <w:tcW w:w="2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96,275</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1,137,344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1,233,619</w:t>
            </w: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Purchases</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24,076,063</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24,715,500</w:t>
            </w:r>
          </w:p>
        </w:tc>
        <w:tc>
          <w:tcPr>
            <w:tcW w:w="1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1,815,978</w:t>
            </w:r>
          </w:p>
        </w:tc>
        <w:tc>
          <w:tcPr>
            <w:tcW w:w="2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13,263,228</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63,870,769</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Sales/Paydowns</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(34,476,308)</w:t>
            </w: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(2,234,916)</w:t>
            </w:r>
          </w:p>
        </w:tc>
        <w:tc>
          <w:tcPr>
            <w:tcW w:w="1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(36,711,224)</w:t>
            </w: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Total realized gain included in earnings</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467,320</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467,320</w:t>
            </w: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Total unrealized gain (loss) included in</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earnings</w:t>
            </w:r>
          </w:p>
        </w:tc>
        <w:tc>
          <w:tcPr>
            <w:tcW w:w="2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(21,759,795)</w:t>
            </w:r>
          </w:p>
        </w:tc>
        <w:tc>
          <w:tcPr>
            <w:tcW w:w="16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11,201,262</w:t>
            </w:r>
          </w:p>
        </w:tc>
        <w:tc>
          <w:tcPr>
            <w:tcW w:w="18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163,843</w:t>
            </w:r>
          </w:p>
        </w:tc>
        <w:tc>
          <w:tcPr>
            <w:tcW w:w="24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(2,395,228)</w:t>
            </w:r>
          </w:p>
        </w:tc>
        <w:tc>
          <w:tcPr>
            <w:tcW w:w="2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(12,789,918)</w:t>
            </w:r>
          </w:p>
        </w:tc>
      </w:tr>
      <w:tr>
        <w:trPr>
          <w:trHeight w:val="230"/>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Issuance of Common Stock</w:t>
            </w:r>
          </w:p>
        </w:tc>
        <w:tc>
          <w:tcPr>
            <w:tcW w:w="26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25,560,000</w:t>
            </w:r>
          </w:p>
        </w:tc>
        <w:tc>
          <w:tcPr>
            <w:tcW w:w="22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25,560,000</w:t>
            </w:r>
          </w:p>
        </w:tc>
      </w:tr>
      <w:tr>
        <w:trPr>
          <w:trHeight w:val="210"/>
        </w:trPr>
        <w:tc>
          <w:tcPr>
            <w:tcW w:w="36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Balance, December 31, 2012</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51,865,406</w:t>
            </w:r>
          </w:p>
        </w:tc>
        <w:tc>
          <w:tcPr>
            <w:tcW w:w="34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83,257,507</w:t>
            </w:r>
          </w:p>
        </w:tc>
        <w:tc>
          <w:tcPr>
            <w:tcW w:w="34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8,020,716</w:t>
            </w:r>
          </w:p>
        </w:tc>
        <w:tc>
          <w:tcPr>
            <w:tcW w:w="32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77,242,000</w:t>
            </w:r>
          </w:p>
        </w:tc>
        <w:tc>
          <w:tcPr>
            <w:tcW w:w="32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220,385,629</w:t>
            </w:r>
          </w:p>
        </w:tc>
        <w:tc>
          <w:tcPr>
            <w:tcW w:w="100" w:type="dxa"/>
            <w:vAlign w:val="bottom"/>
            <w:tcBorders>
              <w:bottom w:val="single" w:sz="8" w:color="CCFFCC"/>
            </w:tcBorders>
          </w:tcPr>
          <w:p>
            <w:pPr>
              <w:spacing w:after="0"/>
              <w:rPr>
                <w:sz w:val="18"/>
                <w:szCs w:val="18"/>
                <w:color w:val="auto"/>
              </w:rPr>
            </w:pPr>
          </w:p>
        </w:tc>
      </w:tr>
      <w:tr>
        <w:trPr>
          <w:trHeight w:val="182"/>
        </w:trPr>
        <w:tc>
          <w:tcPr>
            <w:tcW w:w="3660" w:type="dxa"/>
            <w:vAlign w:val="bottom"/>
            <w:shd w:val="clear" w:color="auto" w:fill="CCFFCC"/>
          </w:tcPr>
          <w:p>
            <w:pPr>
              <w:spacing w:after="0" w:line="182" w:lineRule="exact"/>
              <w:rPr>
                <w:sz w:val="20"/>
                <w:szCs w:val="20"/>
                <w:color w:val="auto"/>
              </w:rPr>
            </w:pPr>
            <w:r>
              <w:rPr>
                <w:rFonts w:ascii="Arial" w:cs="Arial" w:eastAsia="Arial" w:hAnsi="Arial"/>
                <w:sz w:val="18"/>
                <w:szCs w:val="18"/>
                <w:color w:val="auto"/>
                <w:w w:val="99"/>
              </w:rPr>
              <w:t>Changes in unrealized gains (losses) included</w:t>
            </w:r>
          </w:p>
        </w:tc>
        <w:tc>
          <w:tcPr>
            <w:tcW w:w="26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1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10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w w:val="96"/>
              </w:rPr>
              <w:t>in earnings related to investments still held at</w:t>
            </w: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57"/>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reporting date</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(8,246,695)</w:t>
            </w:r>
          </w:p>
        </w:tc>
        <w:tc>
          <w:tcPr>
            <w:tcW w:w="160" w:type="dxa"/>
            <w:vAlign w:val="bottom"/>
            <w:shd w:val="clear" w:color="auto" w:fill="CCFFCC"/>
          </w:tcPr>
          <w:p>
            <w:pPr>
              <w:spacing w:after="0"/>
              <w:rPr>
                <w:sz w:val="22"/>
                <w:szCs w:val="22"/>
                <w:color w:val="auto"/>
              </w:rPr>
            </w:pPr>
          </w:p>
        </w:tc>
        <w:tc>
          <w:tcPr>
            <w:tcW w:w="14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11,908,905</w:t>
            </w:r>
          </w:p>
        </w:tc>
        <w:tc>
          <w:tcPr>
            <w:tcW w:w="180" w:type="dxa"/>
            <w:vAlign w:val="bottom"/>
            <w:shd w:val="clear" w:color="auto" w:fill="CCFFCC"/>
          </w:tcPr>
          <w:p>
            <w:pPr>
              <w:spacing w:after="0"/>
              <w:rPr>
                <w:sz w:val="22"/>
                <w:szCs w:val="22"/>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163,843</w:t>
            </w:r>
          </w:p>
        </w:tc>
        <w:tc>
          <w:tcPr>
            <w:tcW w:w="240" w:type="dxa"/>
            <w:vAlign w:val="bottom"/>
            <w:shd w:val="clear" w:color="auto" w:fill="CCFFCC"/>
          </w:tcPr>
          <w:p>
            <w:pPr>
              <w:spacing w:after="0"/>
              <w:rPr>
                <w:sz w:val="22"/>
                <w:szCs w:val="22"/>
                <w:color w:val="auto"/>
              </w:rPr>
            </w:pPr>
          </w:p>
        </w:tc>
        <w:tc>
          <w:tcPr>
            <w:tcW w:w="13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(2,880,201)</w:t>
            </w:r>
          </w:p>
        </w:tc>
        <w:tc>
          <w:tcPr>
            <w:tcW w:w="220" w:type="dxa"/>
            <w:vAlign w:val="bottom"/>
            <w:shd w:val="clear" w:color="auto" w:fill="CCFFCC"/>
          </w:tcPr>
          <w:p>
            <w:pPr>
              <w:spacing w:after="0"/>
              <w:rPr>
                <w:sz w:val="22"/>
                <w:szCs w:val="22"/>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945,852</w:t>
            </w:r>
          </w:p>
        </w:tc>
      </w:tr>
      <w:tr>
        <w:trPr>
          <w:trHeight w:val="20"/>
        </w:trPr>
        <w:tc>
          <w:tcPr>
            <w:tcW w:w="366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69" w:lineRule="exact"/>
        <w:rPr>
          <w:sz w:val="20"/>
          <w:szCs w:val="20"/>
          <w:color w:val="auto"/>
        </w:rPr>
      </w:pPr>
    </w:p>
    <w:p>
      <w:pPr>
        <w:ind w:right="500" w:firstLine="8"/>
        <w:spacing w:after="0" w:line="194" w:lineRule="auto"/>
        <w:tabs>
          <w:tab w:leader="none" w:pos="12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Transfers out of Level III represent a transfer of $5,611,522 relating to debt securities for which pricing inputs, other than their quoted prices in active markets were observable as of December 31, 2013.</w:t>
      </w:r>
    </w:p>
    <w:p>
      <w:pPr>
        <w:spacing w:after="0" w:line="243" w:lineRule="exact"/>
        <w:rPr>
          <w:sz w:val="20"/>
          <w:szCs w:val="20"/>
          <w:color w:val="auto"/>
        </w:rPr>
      </w:pPr>
    </w:p>
    <w:p>
      <w:pPr>
        <w:ind w:right="20" w:firstLine="8"/>
        <w:spacing w:after="0" w:line="194" w:lineRule="auto"/>
        <w:tabs>
          <w:tab w:leader="none" w:pos="120" w:val="left"/>
        </w:tabs>
        <w:numPr>
          <w:ilvl w:val="0"/>
          <w:numId w:val="34"/>
        </w:numPr>
        <w:rPr>
          <w:rFonts w:ascii="Arial" w:cs="Arial" w:eastAsia="Arial" w:hAnsi="Arial"/>
          <w:sz w:val="30"/>
          <w:szCs w:val="30"/>
          <w:color w:val="auto"/>
          <w:vertAlign w:val="superscript"/>
        </w:rPr>
      </w:pPr>
      <w:r>
        <w:rPr>
          <w:rFonts w:ascii="Arial" w:cs="Arial" w:eastAsia="Arial" w:hAnsi="Arial"/>
          <w:sz w:val="18"/>
          <w:szCs w:val="18"/>
          <w:color w:val="auto"/>
        </w:rPr>
        <w:t>Transfers into Level III represent a transfer of $5,978,696 relating to debt securities for which pricing inputs, other than their quoted prices in active markets were unobservable as of December 31, 2012.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27" w:gutter="0" w:footer="0" w:header="0"/>
        </w:sectPr>
      </w:pPr>
    </w:p>
    <w:bookmarkStart w:id="40" w:name="page41"/>
    <w:bookmarkEnd w:id="40"/>
    <w:p>
      <w:pPr>
        <w:ind w:right="60" w:firstLine="324"/>
        <w:spacing w:after="0" w:line="259" w:lineRule="auto"/>
        <w:rPr>
          <w:sz w:val="20"/>
          <w:szCs w:val="20"/>
          <w:color w:val="auto"/>
        </w:rPr>
      </w:pPr>
      <w:r>
        <w:rPr>
          <w:rFonts w:ascii="Arial" w:cs="Arial" w:eastAsia="Arial" w:hAnsi="Arial"/>
          <w:sz w:val="18"/>
          <w:szCs w:val="18"/>
          <w:color w:val="auto"/>
        </w:rPr>
        <w:t>As of June 30, 2013, the Company’s Level II portfolio investments were valued by a third party pricing service for which the prices are not adjusted and for which inputs are observable or can be corroborated by observable market data for substantially the full character of the financial instrument, or inputs that are derived principally from, or corroborated by, observable market information. The fair value of the Company’s Level II portfolio investments was $131,484,161 as of June 30, 2013.</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2013,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880" w:type="dxa"/>
            <w:vAlign w:val="bottom"/>
            <w:tcBorders>
              <w:top w:val="single" w:sz="8" w:color="auto"/>
              <w:left w:val="single" w:sz="8" w:color="auto"/>
              <w:right w:val="single" w:sz="8" w:color="auto"/>
            </w:tcBorders>
            <w:vMerge w:val="restart"/>
            <w:shd w:val="clear" w:color="auto" w:fill="DAEEF3"/>
          </w:tcPr>
          <w:p>
            <w:pPr>
              <w:ind w:left="760"/>
              <w:spacing w:after="0"/>
              <w:rPr>
                <w:sz w:val="20"/>
                <w:szCs w:val="20"/>
                <w:color w:val="auto"/>
              </w:rPr>
            </w:pPr>
            <w:r>
              <w:rPr>
                <w:rFonts w:ascii="Arial" w:cs="Arial" w:eastAsia="Arial" w:hAnsi="Arial"/>
                <w:sz w:val="18"/>
                <w:szCs w:val="18"/>
                <w:b w:val="1"/>
                <w:bCs w:val="1"/>
                <w:color w:val="auto"/>
              </w:rPr>
              <w:t>Type</w:t>
            </w:r>
          </w:p>
        </w:tc>
        <w:tc>
          <w:tcPr>
            <w:tcW w:w="260" w:type="dxa"/>
            <w:vAlign w:val="bottom"/>
            <w:tcBorders>
              <w:top w:val="single" w:sz="8" w:color="auto"/>
            </w:tcBorders>
            <w:shd w:val="clear" w:color="auto" w:fill="DAEEF3"/>
          </w:tcPr>
          <w:p>
            <w:pPr>
              <w:spacing w:after="0"/>
              <w:rPr>
                <w:sz w:val="18"/>
                <w:szCs w:val="18"/>
                <w:color w:val="auto"/>
              </w:rPr>
            </w:pPr>
          </w:p>
        </w:tc>
        <w:tc>
          <w:tcPr>
            <w:tcW w:w="1240" w:type="dxa"/>
            <w:vAlign w:val="bottom"/>
            <w:tcBorders>
              <w:top w:val="single" w:sz="8" w:color="auto"/>
            </w:tcBorders>
            <w:vMerge w:val="restart"/>
            <w:shd w:val="clear" w:color="auto" w:fill="DAEEF3"/>
          </w:tcPr>
          <w:p>
            <w:pPr>
              <w:jc w:val="right"/>
              <w:ind w:right="15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Borders>
              <w:top w:val="single" w:sz="8" w:color="auto"/>
              <w:right w:val="single" w:sz="8" w:color="auto"/>
            </w:tcBorders>
            <w:shd w:val="clear" w:color="auto" w:fill="DAEEF3"/>
          </w:tcPr>
          <w:p>
            <w:pPr>
              <w:spacing w:after="0"/>
              <w:rPr>
                <w:sz w:val="18"/>
                <w:szCs w:val="18"/>
                <w:color w:val="auto"/>
              </w:rPr>
            </w:pPr>
          </w:p>
        </w:tc>
        <w:tc>
          <w:tcPr>
            <w:tcW w:w="2300" w:type="dxa"/>
            <w:vAlign w:val="bottom"/>
            <w:tcBorders>
              <w:top w:val="single" w:sz="8" w:color="auto"/>
              <w:right w:val="single" w:sz="8" w:color="auto"/>
            </w:tcBorders>
            <w:vMerge w:val="restart"/>
            <w:shd w:val="clear" w:color="auto" w:fill="DAEEF3"/>
          </w:tcPr>
          <w:p>
            <w:pPr>
              <w:ind w:left="340"/>
              <w:spacing w:after="0"/>
              <w:rPr>
                <w:sz w:val="20"/>
                <w:szCs w:val="20"/>
                <w:color w:val="auto"/>
              </w:rPr>
            </w:pPr>
            <w:r>
              <w:rPr>
                <w:rFonts w:ascii="Arial" w:cs="Arial" w:eastAsia="Arial" w:hAnsi="Arial"/>
                <w:sz w:val="18"/>
                <w:szCs w:val="18"/>
                <w:b w:val="1"/>
                <w:bCs w:val="1"/>
                <w:color w:val="auto"/>
              </w:rPr>
              <w:t>Valuation Technique</w:t>
            </w:r>
          </w:p>
        </w:tc>
        <w:tc>
          <w:tcPr>
            <w:tcW w:w="3000" w:type="dxa"/>
            <w:vAlign w:val="bottom"/>
            <w:tcBorders>
              <w:top w:val="single" w:sz="8" w:color="auto"/>
              <w:right w:val="single" w:sz="8" w:color="auto"/>
            </w:tcBorders>
            <w:vMerge w:val="restart"/>
            <w:shd w:val="clear" w:color="auto" w:fill="DAEEF3"/>
          </w:tcPr>
          <w:p>
            <w:pPr>
              <w:ind w:left="680"/>
              <w:spacing w:after="0"/>
              <w:rPr>
                <w:sz w:val="20"/>
                <w:szCs w:val="20"/>
                <w:color w:val="auto"/>
              </w:rPr>
            </w:pPr>
            <w:r>
              <w:rPr>
                <w:rFonts w:ascii="Arial" w:cs="Arial" w:eastAsia="Arial" w:hAnsi="Arial"/>
                <w:sz w:val="18"/>
                <w:szCs w:val="18"/>
                <w:b w:val="1"/>
                <w:bCs w:val="1"/>
                <w:color w:val="auto"/>
              </w:rPr>
              <w:t>Unobservable Inputs</w:t>
            </w:r>
          </w:p>
        </w:tc>
        <w:tc>
          <w:tcPr>
            <w:tcW w:w="2400" w:type="dxa"/>
            <w:vAlign w:val="bottom"/>
            <w:tcBorders>
              <w:top w:val="single" w:sz="8" w:color="auto"/>
              <w:right w:val="single" w:sz="8" w:color="auto"/>
            </w:tcBorders>
            <w:shd w:val="clear" w:color="auto" w:fill="DAEEF3"/>
          </w:tcPr>
          <w:p>
            <w:pPr>
              <w:ind w:left="560"/>
              <w:spacing w:after="0"/>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126"/>
        </w:trPr>
        <w:tc>
          <w:tcPr>
            <w:tcW w:w="1880" w:type="dxa"/>
            <w:vAlign w:val="bottom"/>
            <w:tcBorders>
              <w:left w:val="single" w:sz="8" w:color="auto"/>
              <w:right w:val="single" w:sz="8" w:color="auto"/>
            </w:tcBorders>
            <w:vMerge w:val="continue"/>
            <w:shd w:val="clear" w:color="auto" w:fill="DAEEF3"/>
          </w:tcPr>
          <w:p>
            <w:pPr>
              <w:spacing w:after="0"/>
              <w:rPr>
                <w:sz w:val="10"/>
                <w:szCs w:val="10"/>
                <w:color w:val="auto"/>
              </w:rPr>
            </w:pPr>
          </w:p>
        </w:tc>
        <w:tc>
          <w:tcPr>
            <w:tcW w:w="260" w:type="dxa"/>
            <w:vAlign w:val="bottom"/>
            <w:shd w:val="clear" w:color="auto" w:fill="DAEEF3"/>
          </w:tcPr>
          <w:p>
            <w:pPr>
              <w:spacing w:after="0"/>
              <w:rPr>
                <w:sz w:val="10"/>
                <w:szCs w:val="10"/>
                <w:color w:val="auto"/>
              </w:rPr>
            </w:pPr>
          </w:p>
        </w:tc>
        <w:tc>
          <w:tcPr>
            <w:tcW w:w="1240" w:type="dxa"/>
            <w:vAlign w:val="bottom"/>
            <w:vMerge w:val="continue"/>
            <w:shd w:val="clear" w:color="auto" w:fill="DAEEF3"/>
          </w:tcPr>
          <w:p>
            <w:pPr>
              <w:spacing w:after="0"/>
              <w:rPr>
                <w:sz w:val="10"/>
                <w:szCs w:val="10"/>
                <w:color w:val="auto"/>
              </w:rPr>
            </w:pPr>
          </w:p>
        </w:tc>
        <w:tc>
          <w:tcPr>
            <w:tcW w:w="260" w:type="dxa"/>
            <w:vAlign w:val="bottom"/>
            <w:tcBorders>
              <w:right w:val="single" w:sz="8" w:color="auto"/>
            </w:tcBorders>
            <w:shd w:val="clear" w:color="auto" w:fill="DAEEF3"/>
          </w:tcPr>
          <w:p>
            <w:pPr>
              <w:spacing w:after="0"/>
              <w:rPr>
                <w:sz w:val="10"/>
                <w:szCs w:val="10"/>
                <w:color w:val="auto"/>
              </w:rPr>
            </w:pPr>
          </w:p>
        </w:tc>
        <w:tc>
          <w:tcPr>
            <w:tcW w:w="2300" w:type="dxa"/>
            <w:vAlign w:val="bottom"/>
            <w:tcBorders>
              <w:right w:val="single" w:sz="8" w:color="auto"/>
            </w:tcBorders>
            <w:vMerge w:val="continue"/>
            <w:shd w:val="clear" w:color="auto" w:fill="DAEEF3"/>
          </w:tcPr>
          <w:p>
            <w:pPr>
              <w:spacing w:after="0"/>
              <w:rPr>
                <w:sz w:val="10"/>
                <w:szCs w:val="10"/>
                <w:color w:val="auto"/>
              </w:rPr>
            </w:pPr>
          </w:p>
        </w:tc>
        <w:tc>
          <w:tcPr>
            <w:tcW w:w="3000" w:type="dxa"/>
            <w:vAlign w:val="bottom"/>
            <w:tcBorders>
              <w:right w:val="single" w:sz="8" w:color="auto"/>
            </w:tcBorders>
            <w:vMerge w:val="continue"/>
            <w:shd w:val="clear" w:color="auto" w:fill="DAEEF3"/>
          </w:tcPr>
          <w:p>
            <w:pPr>
              <w:spacing w:after="0"/>
              <w:rPr>
                <w:sz w:val="10"/>
                <w:szCs w:val="10"/>
                <w:color w:val="auto"/>
              </w:rPr>
            </w:pPr>
          </w:p>
        </w:tc>
        <w:tc>
          <w:tcPr>
            <w:tcW w:w="2400" w:type="dxa"/>
            <w:vAlign w:val="bottom"/>
            <w:tcBorders>
              <w:right w:val="single" w:sz="8" w:color="auto"/>
            </w:tcBorders>
            <w:vMerge w:val="restart"/>
            <w:shd w:val="clear" w:color="auto" w:fill="DAEEF3"/>
          </w:tcPr>
          <w:p>
            <w:pPr>
              <w:ind w:left="42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108"/>
        </w:trPr>
        <w:tc>
          <w:tcPr>
            <w:tcW w:w="1880" w:type="dxa"/>
            <w:vAlign w:val="bottom"/>
            <w:tcBorders>
              <w:left w:val="single" w:sz="8" w:color="auto"/>
              <w:bottom w:val="single" w:sz="8" w:color="auto"/>
              <w:right w:val="single" w:sz="8" w:color="auto"/>
            </w:tcBorders>
            <w:shd w:val="clear" w:color="auto" w:fill="DAEEF3"/>
          </w:tcPr>
          <w:p>
            <w:pPr>
              <w:spacing w:after="0"/>
              <w:rPr>
                <w:sz w:val="9"/>
                <w:szCs w:val="9"/>
                <w:color w:val="auto"/>
              </w:rPr>
            </w:pPr>
          </w:p>
        </w:tc>
        <w:tc>
          <w:tcPr>
            <w:tcW w:w="260" w:type="dxa"/>
            <w:vAlign w:val="bottom"/>
            <w:tcBorders>
              <w:bottom w:val="single" w:sz="8" w:color="auto"/>
            </w:tcBorders>
            <w:shd w:val="clear" w:color="auto" w:fill="DAEEF3"/>
          </w:tcPr>
          <w:p>
            <w:pPr>
              <w:spacing w:after="0"/>
              <w:rPr>
                <w:sz w:val="9"/>
                <w:szCs w:val="9"/>
                <w:color w:val="auto"/>
              </w:rPr>
            </w:pPr>
          </w:p>
        </w:tc>
        <w:tc>
          <w:tcPr>
            <w:tcW w:w="1240" w:type="dxa"/>
            <w:vAlign w:val="bottom"/>
            <w:tcBorders>
              <w:bottom w:val="single" w:sz="8" w:color="auto"/>
            </w:tcBorders>
            <w:shd w:val="clear" w:color="auto" w:fill="DAEEF3"/>
          </w:tcPr>
          <w:p>
            <w:pPr>
              <w:spacing w:after="0"/>
              <w:rPr>
                <w:sz w:val="9"/>
                <w:szCs w:val="9"/>
                <w:color w:val="auto"/>
              </w:rPr>
            </w:pPr>
          </w:p>
        </w:tc>
        <w:tc>
          <w:tcPr>
            <w:tcW w:w="260" w:type="dxa"/>
            <w:vAlign w:val="bottom"/>
            <w:tcBorders>
              <w:bottom w:val="single" w:sz="8" w:color="auto"/>
              <w:right w:val="single" w:sz="8" w:color="auto"/>
            </w:tcBorders>
            <w:shd w:val="clear" w:color="auto" w:fill="DAEEF3"/>
          </w:tcPr>
          <w:p>
            <w:pPr>
              <w:spacing w:after="0"/>
              <w:rPr>
                <w:sz w:val="9"/>
                <w:szCs w:val="9"/>
                <w:color w:val="auto"/>
              </w:rPr>
            </w:pPr>
          </w:p>
        </w:tc>
        <w:tc>
          <w:tcPr>
            <w:tcW w:w="2300" w:type="dxa"/>
            <w:vAlign w:val="bottom"/>
            <w:tcBorders>
              <w:bottom w:val="single" w:sz="8" w:color="auto"/>
              <w:right w:val="single" w:sz="8" w:color="auto"/>
            </w:tcBorders>
            <w:shd w:val="clear" w:color="auto" w:fill="DAEEF3"/>
          </w:tcPr>
          <w:p>
            <w:pPr>
              <w:spacing w:after="0"/>
              <w:rPr>
                <w:sz w:val="9"/>
                <w:szCs w:val="9"/>
                <w:color w:val="auto"/>
              </w:rPr>
            </w:pPr>
          </w:p>
        </w:tc>
        <w:tc>
          <w:tcPr>
            <w:tcW w:w="3000" w:type="dxa"/>
            <w:vAlign w:val="bottom"/>
            <w:tcBorders>
              <w:bottom w:val="single" w:sz="8" w:color="auto"/>
              <w:right w:val="single" w:sz="8" w:color="auto"/>
            </w:tcBorders>
            <w:shd w:val="clear" w:color="auto" w:fill="DAEEF3"/>
          </w:tcPr>
          <w:p>
            <w:pPr>
              <w:spacing w:after="0"/>
              <w:rPr>
                <w:sz w:val="9"/>
                <w:szCs w:val="9"/>
                <w:color w:val="auto"/>
              </w:rPr>
            </w:pPr>
          </w:p>
        </w:tc>
        <w:tc>
          <w:tcPr>
            <w:tcW w:w="240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4,859,898</w:t>
            </w:r>
          </w:p>
        </w:tc>
        <w:tc>
          <w:tcPr>
            <w:tcW w:w="26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Enterprise Value</w:t>
            </w:r>
          </w:p>
        </w:tc>
        <w:tc>
          <w:tcPr>
            <w:tcW w:w="3000" w:type="dxa"/>
            <w:vAlign w:val="bottom"/>
            <w:tcBorders>
              <w:bottom w:val="single" w:sz="8" w:color="808080"/>
              <w:right w:val="single" w:sz="8" w:color="auto"/>
            </w:tcBorders>
          </w:tcPr>
          <w:p>
            <w:pPr>
              <w:ind w:left="100"/>
              <w:spacing w:after="0"/>
              <w:rPr>
                <w:sz w:val="20"/>
                <w:szCs w:val="20"/>
                <w:color w:val="auto"/>
              </w:rPr>
            </w:pPr>
            <w:r>
              <w:rPr>
                <w:rFonts w:ascii="Arial" w:cs="Arial" w:eastAsia="Arial" w:hAnsi="Arial"/>
                <w:sz w:val="18"/>
                <w:szCs w:val="18"/>
                <w:color w:val="auto"/>
              </w:rPr>
              <w:t>Average EBITDA Multiple</w:t>
            </w:r>
          </w:p>
        </w:tc>
        <w:tc>
          <w:tcPr>
            <w:tcW w:w="2400" w:type="dxa"/>
            <w:vAlign w:val="bottom"/>
            <w:tcBorders>
              <w:bottom w:val="single" w:sz="8" w:color="808080"/>
              <w:right w:val="single" w:sz="8" w:color="auto"/>
            </w:tcBorders>
          </w:tcPr>
          <w:p>
            <w:pPr>
              <w:ind w:left="100"/>
              <w:spacing w:after="0"/>
              <w:rPr>
                <w:sz w:val="20"/>
                <w:szCs w:val="20"/>
                <w:color w:val="auto"/>
              </w:rPr>
            </w:pPr>
            <w:r>
              <w:rPr>
                <w:rFonts w:ascii="Arial" w:cs="Arial" w:eastAsia="Arial" w:hAnsi="Arial"/>
                <w:sz w:val="18"/>
                <w:szCs w:val="18"/>
                <w:color w:val="auto"/>
              </w:rPr>
              <w:t>7.8x - 25.5x (17.4x)</w:t>
            </w: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57,009,357</w:t>
            </w:r>
          </w:p>
        </w:tc>
        <w:tc>
          <w:tcPr>
            <w:tcW w:w="26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Income Approach</w:t>
            </w:r>
          </w:p>
        </w:tc>
        <w:tc>
          <w:tcPr>
            <w:tcW w:w="3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Market Yield</w:t>
            </w:r>
          </w:p>
        </w:tc>
        <w:tc>
          <w:tcPr>
            <w:tcW w:w="2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3.7% - 11.9% (6.1%)</w:t>
            </w: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Debt Securities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64,380,536</w:t>
            </w:r>
          </w:p>
        </w:tc>
        <w:tc>
          <w:tcPr>
            <w:tcW w:w="26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Market Approach</w:t>
            </w:r>
          </w:p>
        </w:tc>
        <w:tc>
          <w:tcPr>
            <w:tcW w:w="3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Third Party Bid</w:t>
            </w:r>
          </w:p>
        </w:tc>
        <w:tc>
          <w:tcPr>
            <w:tcW w:w="2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95 - 101 (99)</w:t>
            </w:r>
          </w:p>
        </w:tc>
        <w:tc>
          <w:tcPr>
            <w:tcW w:w="0" w:type="dxa"/>
            <w:vAlign w:val="bottom"/>
          </w:tcPr>
          <w:p>
            <w:pPr>
              <w:spacing w:after="0"/>
              <w:rPr>
                <w:sz w:val="1"/>
                <w:szCs w:val="1"/>
                <w:color w:val="auto"/>
              </w:rPr>
            </w:pPr>
          </w:p>
        </w:tc>
      </w:tr>
      <w:tr>
        <w:trPr>
          <w:trHeight w:val="250"/>
        </w:trPr>
        <w:tc>
          <w:tcPr>
            <w:tcW w:w="1880" w:type="dxa"/>
            <w:vAlign w:val="bottom"/>
            <w:tcBorders>
              <w:left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190,090</w:t>
            </w:r>
          </w:p>
        </w:tc>
        <w:tc>
          <w:tcPr>
            <w:tcW w:w="26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Options Value</w:t>
            </w:r>
          </w:p>
        </w:tc>
        <w:tc>
          <w:tcPr>
            <w:tcW w:w="300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17"/>
                <w:szCs w:val="17"/>
                <w:color w:val="auto"/>
              </w:rPr>
              <w:t xml:space="preserve">Qualitative Inputs </w:t>
            </w:r>
            <w:r>
              <w:rPr>
                <w:rFonts w:ascii="Arial" w:cs="Arial" w:eastAsia="Arial" w:hAnsi="Arial"/>
                <w:sz w:val="28"/>
                <w:szCs w:val="28"/>
                <w:color w:val="auto"/>
                <w:vertAlign w:val="superscript"/>
              </w:rPr>
              <w:t>1</w:t>
            </w:r>
          </w:p>
        </w:tc>
        <w:tc>
          <w:tcPr>
            <w:tcW w:w="2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80" w:type="dxa"/>
            <w:vAlign w:val="bottom"/>
            <w:tcBorders>
              <w:left w:val="single" w:sz="8" w:color="auto"/>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303,460</w:t>
            </w:r>
          </w:p>
        </w:tc>
        <w:tc>
          <w:tcPr>
            <w:tcW w:w="26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Recovery Approach</w:t>
            </w:r>
          </w:p>
        </w:tc>
        <w:tc>
          <w:tcPr>
            <w:tcW w:w="300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17"/>
                <w:szCs w:val="17"/>
                <w:color w:val="auto"/>
              </w:rPr>
              <w:t xml:space="preserve">Qualitative Inputs </w:t>
            </w:r>
            <w:r>
              <w:rPr>
                <w:rFonts w:ascii="Arial" w:cs="Arial" w:eastAsia="Arial" w:hAnsi="Arial"/>
                <w:sz w:val="28"/>
                <w:szCs w:val="28"/>
                <w:color w:val="auto"/>
                <w:vertAlign w:val="superscript"/>
              </w:rPr>
              <w:t>1</w:t>
            </w:r>
          </w:p>
        </w:tc>
        <w:tc>
          <w:tcPr>
            <w:tcW w:w="2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9,165,982</w:t>
            </w:r>
          </w:p>
        </w:tc>
        <w:tc>
          <w:tcPr>
            <w:tcW w:w="26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Enterprise Value</w:t>
            </w:r>
          </w:p>
        </w:tc>
        <w:tc>
          <w:tcPr>
            <w:tcW w:w="3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Average EBITDA Multiple</w:t>
            </w:r>
          </w:p>
        </w:tc>
        <w:tc>
          <w:tcPr>
            <w:tcW w:w="2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4.5x - 6.9x (6.2x)</w:t>
            </w: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Equity Securities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314,325</w:t>
            </w:r>
          </w:p>
        </w:tc>
        <w:tc>
          <w:tcPr>
            <w:tcW w:w="26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Market Approach</w:t>
            </w:r>
          </w:p>
        </w:tc>
        <w:tc>
          <w:tcPr>
            <w:tcW w:w="3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Transaction Price</w:t>
            </w:r>
          </w:p>
        </w:tc>
        <w:tc>
          <w:tcPr>
            <w:tcW w:w="2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80" w:type="dxa"/>
            <w:vAlign w:val="bottom"/>
            <w:tcBorders>
              <w:left w:val="single" w:sz="8" w:color="auto"/>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5,000</w:t>
            </w:r>
          </w:p>
        </w:tc>
        <w:tc>
          <w:tcPr>
            <w:tcW w:w="26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Options Value</w:t>
            </w:r>
          </w:p>
        </w:tc>
        <w:tc>
          <w:tcPr>
            <w:tcW w:w="300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17"/>
                <w:szCs w:val="17"/>
                <w:color w:val="auto"/>
              </w:rPr>
              <w:t xml:space="preserve">Qualitative Inputs </w:t>
            </w:r>
            <w:r>
              <w:rPr>
                <w:rFonts w:ascii="Arial" w:cs="Arial" w:eastAsia="Arial" w:hAnsi="Arial"/>
                <w:sz w:val="28"/>
                <w:szCs w:val="28"/>
                <w:color w:val="auto"/>
                <w:vertAlign w:val="superscript"/>
              </w:rPr>
              <w:t>1</w:t>
            </w:r>
          </w:p>
        </w:tc>
        <w:tc>
          <w:tcPr>
            <w:tcW w:w="2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3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Discount Rate</w:t>
            </w:r>
          </w:p>
        </w:tc>
        <w:tc>
          <w:tcPr>
            <w:tcW w:w="2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7.5% - 14.0% (13.0%)</w:t>
            </w:r>
          </w:p>
        </w:tc>
        <w:tc>
          <w:tcPr>
            <w:tcW w:w="0" w:type="dxa"/>
            <w:vAlign w:val="bottom"/>
          </w:tcPr>
          <w:p>
            <w:pPr>
              <w:spacing w:after="0"/>
              <w:rPr>
                <w:sz w:val="1"/>
                <w:szCs w:val="1"/>
                <w:color w:val="auto"/>
              </w:rPr>
            </w:pPr>
          </w:p>
        </w:tc>
      </w:tr>
      <w:tr>
        <w:trPr>
          <w:trHeight w:val="199"/>
        </w:trPr>
        <w:tc>
          <w:tcPr>
            <w:tcW w:w="188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Probability of Default</w:t>
            </w:r>
          </w:p>
        </w:tc>
        <w:tc>
          <w:tcPr>
            <w:tcW w:w="240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1.00% - 2.50%</w:t>
            </w:r>
          </w:p>
        </w:tc>
        <w:tc>
          <w:tcPr>
            <w:tcW w:w="0" w:type="dxa"/>
            <w:vAlign w:val="bottom"/>
          </w:tcPr>
          <w:p>
            <w:pPr>
              <w:spacing w:after="0"/>
              <w:rPr>
                <w:sz w:val="1"/>
                <w:szCs w:val="1"/>
                <w:color w:val="auto"/>
              </w:rPr>
            </w:pPr>
          </w:p>
        </w:tc>
      </w:tr>
      <w:tr>
        <w:trPr>
          <w:trHeight w:val="132"/>
        </w:trPr>
        <w:tc>
          <w:tcPr>
            <w:tcW w:w="1880" w:type="dxa"/>
            <w:vAlign w:val="bottom"/>
            <w:tcBorders>
              <w:left w:val="single" w:sz="8" w:color="auto"/>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3000" w:type="dxa"/>
            <w:vAlign w:val="bottom"/>
            <w:tcBorders>
              <w:right w:val="single" w:sz="8" w:color="auto"/>
            </w:tcBorders>
            <w:vMerge w:val="continue"/>
          </w:tcPr>
          <w:p>
            <w:pPr>
              <w:spacing w:after="0"/>
              <w:rPr>
                <w:sz w:val="11"/>
                <w:szCs w:val="11"/>
                <w:color w:val="auto"/>
              </w:rPr>
            </w:pPr>
          </w:p>
        </w:tc>
        <w:tc>
          <w:tcPr>
            <w:tcW w:w="2400" w:type="dxa"/>
            <w:vAlign w:val="bottom"/>
            <w:tcBorders>
              <w:right w:val="single" w:sz="8" w:color="auto"/>
            </w:tcBorders>
            <w:vMerge w:val="restart"/>
          </w:tcPr>
          <w:p>
            <w:pPr>
              <w:ind w:left="100"/>
              <w:spacing w:after="0" w:line="266" w:lineRule="exact"/>
              <w:rPr>
                <w:sz w:val="20"/>
                <w:szCs w:val="20"/>
                <w:color w:val="auto"/>
              </w:rPr>
            </w:pPr>
            <w:r>
              <w:rPr>
                <w:rFonts w:ascii="Arial" w:cs="Arial" w:eastAsia="Arial" w:hAnsi="Arial"/>
                <w:sz w:val="18"/>
                <w:szCs w:val="18"/>
                <w:color w:val="auto"/>
              </w:rPr>
              <w:t xml:space="preserve">(1.47%-2.18%)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135"/>
        </w:trPr>
        <w:tc>
          <w:tcPr>
            <w:tcW w:w="1880" w:type="dxa"/>
            <w:vAlign w:val="bottom"/>
            <w:tcBorders>
              <w:left w:val="single" w:sz="8" w:color="auto"/>
              <w:right w:val="single" w:sz="8" w:color="auto"/>
            </w:tcBorders>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190"/>
              <w:spacing w:after="0"/>
              <w:rPr>
                <w:sz w:val="20"/>
                <w:szCs w:val="20"/>
                <w:color w:val="auto"/>
              </w:rPr>
            </w:pPr>
            <w:r>
              <w:rPr>
                <w:rFonts w:ascii="Arial" w:cs="Arial" w:eastAsia="Arial" w:hAnsi="Arial"/>
                <w:sz w:val="18"/>
                <w:szCs w:val="18"/>
                <w:color w:val="auto"/>
              </w:rPr>
              <w:t>61,585,885</w:t>
            </w:r>
          </w:p>
        </w:tc>
        <w:tc>
          <w:tcPr>
            <w:tcW w:w="260" w:type="dxa"/>
            <w:vAlign w:val="bottom"/>
            <w:tcBorders>
              <w:right w:val="single" w:sz="8" w:color="auto"/>
            </w:tcBorders>
          </w:tcPr>
          <w:p>
            <w:pPr>
              <w:spacing w:after="0"/>
              <w:rPr>
                <w:sz w:val="11"/>
                <w:szCs w:val="11"/>
                <w:color w:val="auto"/>
              </w:rPr>
            </w:pPr>
          </w:p>
        </w:tc>
        <w:tc>
          <w:tcPr>
            <w:tcW w:w="2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Discounted Cash Flow</w:t>
            </w:r>
          </w:p>
        </w:tc>
        <w:tc>
          <w:tcPr>
            <w:tcW w:w="3000" w:type="dxa"/>
            <w:vAlign w:val="bottom"/>
            <w:tcBorders>
              <w:bottom w:val="single" w:sz="8" w:color="auto"/>
              <w:right w:val="single" w:sz="8" w:color="auto"/>
            </w:tcBorders>
          </w:tcPr>
          <w:p>
            <w:pPr>
              <w:spacing w:after="0"/>
              <w:rPr>
                <w:sz w:val="11"/>
                <w:szCs w:val="11"/>
                <w:color w:val="auto"/>
              </w:rPr>
            </w:pPr>
          </w:p>
        </w:tc>
        <w:tc>
          <w:tcPr>
            <w:tcW w:w="240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8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w w:val="96"/>
              </w:rPr>
              <w:t>CLO Fund Securities</w:t>
            </w:r>
          </w:p>
        </w:tc>
        <w:tc>
          <w:tcPr>
            <w:tcW w:w="2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vMerge w:val="continue"/>
          </w:tcPr>
          <w:p>
            <w:pPr>
              <w:spacing w:after="0"/>
              <w:rPr>
                <w:sz w:val="10"/>
                <w:szCs w:val="10"/>
                <w:color w:val="auto"/>
              </w:rPr>
            </w:pPr>
          </w:p>
        </w:tc>
        <w:tc>
          <w:tcPr>
            <w:tcW w:w="3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Loss Severity</w:t>
            </w:r>
          </w:p>
        </w:tc>
        <w:tc>
          <w:tcPr>
            <w:tcW w:w="2400" w:type="dxa"/>
            <w:vAlign w:val="bottom"/>
            <w:tcBorders>
              <w:right w:val="single" w:sz="8" w:color="auto"/>
            </w:tcBorders>
            <w:vMerge w:val="restart"/>
          </w:tcPr>
          <w:p>
            <w:pPr>
              <w:ind w:left="100"/>
              <w:spacing w:after="0" w:line="250" w:lineRule="exact"/>
              <w:rPr>
                <w:sz w:val="20"/>
                <w:szCs w:val="20"/>
                <w:color w:val="auto"/>
              </w:rPr>
            </w:pPr>
            <w:r>
              <w:rPr>
                <w:rFonts w:ascii="Arial" w:cs="Arial" w:eastAsia="Arial" w:hAnsi="Arial"/>
                <w:sz w:val="17"/>
                <w:szCs w:val="17"/>
                <w:color w:val="auto"/>
              </w:rPr>
              <w:t xml:space="preserve">30% - 40% (31%-36%) </w:t>
            </w:r>
            <w:r>
              <w:rPr>
                <w:rFonts w:ascii="Arial" w:cs="Arial" w:eastAsia="Arial" w:hAnsi="Arial"/>
                <w:sz w:val="28"/>
                <w:szCs w:val="28"/>
                <w:color w:val="auto"/>
                <w:vertAlign w:val="superscript"/>
              </w:rPr>
              <w:t>2</w:t>
            </w:r>
          </w:p>
        </w:tc>
        <w:tc>
          <w:tcPr>
            <w:tcW w:w="0" w:type="dxa"/>
            <w:vAlign w:val="bottom"/>
          </w:tcPr>
          <w:p>
            <w:pPr>
              <w:spacing w:after="0"/>
              <w:rPr>
                <w:sz w:val="1"/>
                <w:szCs w:val="1"/>
                <w:color w:val="auto"/>
              </w:rPr>
            </w:pPr>
          </w:p>
        </w:tc>
      </w:tr>
      <w:tr>
        <w:trPr>
          <w:trHeight w:val="140"/>
        </w:trPr>
        <w:tc>
          <w:tcPr>
            <w:tcW w:w="1880" w:type="dxa"/>
            <w:vAlign w:val="bottom"/>
            <w:tcBorders>
              <w:left w:val="single" w:sz="8" w:color="auto"/>
              <w:right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3000" w:type="dxa"/>
            <w:vAlign w:val="bottom"/>
            <w:tcBorders>
              <w:bottom w:val="single" w:sz="8" w:color="auto"/>
              <w:right w:val="single" w:sz="8" w:color="auto"/>
            </w:tcBorders>
            <w:vMerge w:val="continue"/>
          </w:tcPr>
          <w:p>
            <w:pPr>
              <w:spacing w:after="0"/>
              <w:rPr>
                <w:sz w:val="11"/>
                <w:szCs w:val="11"/>
                <w:color w:val="auto"/>
              </w:rPr>
            </w:pPr>
          </w:p>
        </w:tc>
        <w:tc>
          <w:tcPr>
            <w:tcW w:w="240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880" w:type="dxa"/>
            <w:vAlign w:val="bottom"/>
            <w:tcBorders>
              <w:left w:val="single" w:sz="8" w:color="auto"/>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c>
          <w:tcPr>
            <w:tcW w:w="3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Recovery Rate</w:t>
            </w:r>
          </w:p>
        </w:tc>
        <w:tc>
          <w:tcPr>
            <w:tcW w:w="240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17"/>
                <w:szCs w:val="17"/>
                <w:color w:val="auto"/>
              </w:rPr>
              <w:t xml:space="preserve">60% - 70% (64%-69%) </w:t>
            </w:r>
            <w:r>
              <w:rPr>
                <w:rFonts w:ascii="Arial" w:cs="Arial" w:eastAsia="Arial" w:hAnsi="Arial"/>
                <w:sz w:val="28"/>
                <w:szCs w:val="28"/>
                <w:color w:val="auto"/>
                <w:vertAlign w:val="superscript"/>
              </w:rPr>
              <w:t>2</w:t>
            </w: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c>
          <w:tcPr>
            <w:tcW w:w="3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Prepayment Rate</w:t>
            </w:r>
          </w:p>
        </w:tc>
        <w:tc>
          <w:tcPr>
            <w:tcW w:w="2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19,899,000</w:t>
            </w:r>
          </w:p>
        </w:tc>
        <w:tc>
          <w:tcPr>
            <w:tcW w:w="26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Market Approach</w:t>
            </w:r>
          </w:p>
        </w:tc>
        <w:tc>
          <w:tcPr>
            <w:tcW w:w="3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Third Party Bid</w:t>
            </w:r>
          </w:p>
        </w:tc>
        <w:tc>
          <w:tcPr>
            <w:tcW w:w="2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85-92</w:t>
            </w:r>
          </w:p>
        </w:tc>
        <w:tc>
          <w:tcPr>
            <w:tcW w:w="0" w:type="dxa"/>
            <w:vAlign w:val="bottom"/>
          </w:tcPr>
          <w:p>
            <w:pPr>
              <w:spacing w:after="0"/>
              <w:rPr>
                <w:sz w:val="1"/>
                <w:szCs w:val="1"/>
                <w:color w:val="auto"/>
              </w:rPr>
            </w:pPr>
          </w:p>
        </w:tc>
      </w:tr>
      <w:tr>
        <w:trPr>
          <w:trHeight w:val="191"/>
        </w:trPr>
        <w:tc>
          <w:tcPr>
            <w:tcW w:w="1880" w:type="dxa"/>
            <w:vAlign w:val="bottom"/>
            <w:tcBorders>
              <w:left w:val="single" w:sz="8" w:color="auto"/>
              <w:right w:val="single" w:sz="8" w:color="auto"/>
            </w:tcBorders>
          </w:tcPr>
          <w:p>
            <w:pPr>
              <w:ind w:left="120"/>
              <w:spacing w:after="0" w:line="191" w:lineRule="exact"/>
              <w:rPr>
                <w:sz w:val="20"/>
                <w:szCs w:val="20"/>
                <w:color w:val="auto"/>
              </w:rPr>
            </w:pPr>
            <w:r>
              <w:rPr>
                <w:rFonts w:ascii="Arial" w:cs="Arial" w:eastAsia="Arial" w:hAnsi="Arial"/>
                <w:sz w:val="18"/>
                <w:szCs w:val="18"/>
                <w:b w:val="1"/>
                <w:bCs w:val="1"/>
                <w:color w:val="auto"/>
              </w:rPr>
              <w:t>Asset Manager</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190"/>
              <w:spacing w:after="0"/>
              <w:rPr>
                <w:sz w:val="20"/>
                <w:szCs w:val="20"/>
                <w:color w:val="auto"/>
              </w:rPr>
            </w:pPr>
            <w:r>
              <w:rPr>
                <w:rFonts w:ascii="Arial" w:cs="Arial" w:eastAsia="Arial" w:hAnsi="Arial"/>
                <w:sz w:val="18"/>
                <w:szCs w:val="18"/>
                <w:color w:val="auto"/>
              </w:rPr>
              <w:t>87,300,000</w:t>
            </w:r>
          </w:p>
        </w:tc>
        <w:tc>
          <w:tcPr>
            <w:tcW w:w="26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Discounted Cash Flow</w:t>
            </w:r>
          </w:p>
        </w:tc>
        <w:tc>
          <w:tcPr>
            <w:tcW w:w="3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Discount Rate</w:t>
            </w:r>
          </w:p>
        </w:tc>
        <w:tc>
          <w:tcPr>
            <w:tcW w:w="2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 xml:space="preserve">1.76% - 11.86% (7.96%)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180"/>
        </w:trPr>
        <w:tc>
          <w:tcPr>
            <w:tcW w:w="18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Affiliates</w:t>
            </w:r>
          </w:p>
        </w:tc>
        <w:tc>
          <w:tcPr>
            <w:tcW w:w="2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vMerge w:val="continue"/>
          </w:tcPr>
          <w:p>
            <w:pPr>
              <w:spacing w:after="0"/>
              <w:rPr>
                <w:sz w:val="15"/>
                <w:szCs w:val="15"/>
                <w:color w:val="auto"/>
              </w:rPr>
            </w:pPr>
          </w:p>
        </w:tc>
        <w:tc>
          <w:tcPr>
            <w:tcW w:w="3000" w:type="dxa"/>
            <w:vAlign w:val="bottom"/>
            <w:tcBorders>
              <w:right w:val="single" w:sz="8" w:color="auto"/>
            </w:tcBorders>
            <w:vMerge w:val="continue"/>
          </w:tcPr>
          <w:p>
            <w:pPr>
              <w:spacing w:after="0"/>
              <w:rPr>
                <w:sz w:val="15"/>
                <w:szCs w:val="15"/>
                <w:color w:val="auto"/>
              </w:rPr>
            </w:pPr>
          </w:p>
        </w:tc>
        <w:tc>
          <w:tcPr>
            <w:tcW w:w="24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88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88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rPr>
              <w:t>Total Level III</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170"/>
              <w:spacing w:after="0"/>
              <w:rPr>
                <w:sz w:val="20"/>
                <w:szCs w:val="20"/>
                <w:color w:val="auto"/>
              </w:rPr>
            </w:pPr>
            <w:r>
              <w:rPr>
                <w:rFonts w:ascii="Arial" w:cs="Arial" w:eastAsia="Arial" w:hAnsi="Arial"/>
                <w:sz w:val="18"/>
                <w:szCs w:val="18"/>
                <w:color w:val="auto"/>
                <w:w w:val="95"/>
              </w:rPr>
              <w:t>305,013,533</w:t>
            </w:r>
          </w:p>
        </w:tc>
        <w:tc>
          <w:tcPr>
            <w:tcW w:w="2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80" w:type="dxa"/>
            <w:vAlign w:val="bottom"/>
          </w:tcPr>
          <w:p>
            <w:pPr>
              <w:jc w:val="right"/>
              <w:ind w:right="30"/>
              <w:spacing w:after="0"/>
              <w:rPr>
                <w:sz w:val="20"/>
                <w:szCs w:val="20"/>
                <w:color w:val="auto"/>
              </w:rPr>
            </w:pPr>
            <w:r>
              <w:rPr>
                <w:rFonts w:ascii="Arial" w:cs="Arial" w:eastAsia="Arial" w:hAnsi="Arial"/>
                <w:sz w:val="18"/>
                <w:szCs w:val="18"/>
                <w:b w:val="1"/>
                <w:bCs w:val="1"/>
                <w:color w:val="auto"/>
              </w:rPr>
              <w:t>Investments</w:t>
            </w:r>
          </w:p>
        </w:tc>
        <w:tc>
          <w:tcPr>
            <w:tcW w:w="26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20" w:firstLine="8"/>
        <w:spacing w:after="0" w:line="194" w:lineRule="auto"/>
        <w:tabs>
          <w:tab w:leader="none" w:pos="12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27" w:lineRule="exact"/>
        <w:rPr>
          <w:sz w:val="20"/>
          <w:szCs w:val="20"/>
          <w:color w:val="auto"/>
        </w:rPr>
      </w:pPr>
    </w:p>
    <w:p>
      <w:pPr>
        <w:ind w:right="140" w:firstLine="8"/>
        <w:spacing w:after="0" w:line="194" w:lineRule="auto"/>
        <w:tabs>
          <w:tab w:leader="none" w:pos="12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The Range of Inputs (Weighted Average) for the CLO Fund Securities is a result of the range of significant unobservable inputs used over the multi-period cash flows.</w:t>
      </w:r>
    </w:p>
    <w:p>
      <w:pPr>
        <w:spacing w:after="0" w:line="20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debt securities include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41" w:name="page42"/>
    <w:bookmarkEnd w:id="41"/>
    <w:p>
      <w:pPr>
        <w:jc w:val="both"/>
        <w:ind w:right="360" w:firstLine="32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8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Significant unobservable inputs used in the fair value measurement of the Company’s CLO Fund securities include default rates, recovery rates, prepayment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significant unobservable inputs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annual management fees earned by the Asset Manager Affiliates are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 MANAGER AFFILIATES</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Asset Manager Affiliates are wholly-owned portfolio companies. The Asset Manager Affiliates manage CLO Funds primarily for third party investors that invest in broadly syndicated loans, high yield bonds and other credit instruments issued by corporations. At June 30, 2013, Asset Manager Affiliates had approximately $3.7 billion of par value of assets under management, and the Company’s 100% equity interest in the Asset Manager Affiliates was valued at approximately $87 million.</w:t>
      </w:r>
    </w:p>
    <w:p>
      <w:pPr>
        <w:spacing w:after="0" w:line="187"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annual operating income equal to the amount by which their fee income exceeds their operating expenses. The annual management fees the Asset Manager Affiliates receive have two components</w:t>
      </w:r>
    </w:p>
    <w:p>
      <w:pPr>
        <w:spacing w:after="0" w:line="2" w:lineRule="exact"/>
        <w:rPr>
          <w:sz w:val="20"/>
          <w:szCs w:val="20"/>
          <w:color w:val="auto"/>
        </w:rPr>
      </w:pPr>
    </w:p>
    <w:p>
      <w:pPr>
        <w:ind w:right="360" w:firstLine="8"/>
        <w:spacing w:after="0" w:line="261" w:lineRule="auto"/>
        <w:tabs>
          <w:tab w:leader="none" w:pos="1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senior management fee and a subordinated management fee. Currently, all CLO Funds managed by the Asset Manager Affiliates are paying both their senior and subordinated management fees on a current basis.</w:t>
      </w:r>
    </w:p>
    <w:p>
      <w:pPr>
        <w:spacing w:after="0" w:line="1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revenue that the Asset Manager Affiliates generate through the fees they receive for managing CLO Funds and after paying the expenses associated with their operations, including compensation of their employees, may be distributed to the Company. Any distributions of the Asset Manager Affiliates’ net income are recorded as “dividends from affiliate asset managers” and are recorded as declared (where declaration date represents ex-dividend date) by the Asset Manager Affiliates as income on the Company’s statement of operations. For the six months ended June 30, 2013, the Asset Manager Affiliates made distributions of $6.3 million to the Company. For the six months ended June 30, 2012, the Asset Manager Affiliates made distributions of $2.03 million to the Company; dividends are recorded as declared (where declaration date represents ex-dividend date) by the Asset Manager Affiliates as income on the Company’s statement of operations.</w:t>
      </w:r>
    </w:p>
    <w:p>
      <w:pPr>
        <w:spacing w:after="0" w:line="189" w:lineRule="exact"/>
        <w:rPr>
          <w:sz w:val="20"/>
          <w:szCs w:val="20"/>
          <w:color w:val="auto"/>
        </w:rPr>
      </w:pPr>
    </w:p>
    <w:p>
      <w:pPr>
        <w:ind w:firstLine="414"/>
        <w:spacing w:after="0" w:line="302" w:lineRule="auto"/>
        <w:rPr>
          <w:sz w:val="20"/>
          <w:szCs w:val="20"/>
          <w:color w:val="auto"/>
        </w:rPr>
      </w:pPr>
      <w:r>
        <w:rPr>
          <w:rFonts w:ascii="Arial" w:cs="Arial" w:eastAsia="Arial" w:hAnsi="Arial"/>
          <w:sz w:val="16"/>
          <w:szCs w:val="16"/>
          <w:color w:val="auto"/>
        </w:rPr>
        <w:t>The Asset Manager Affiliates’ fair value is determined quarterly. The valuation is primarily based on an analysis of both a percentage of their assets under management and the Asset Manager Affiliates’ estimated operating income. Any change in value from period to period is recognized as unrealized gain or loss. See Note 2, “Significant Accounting Policies” and Note 4, “Investments” for further information relating to the Company’s valuation methodology. For the six months ended June 30, 2013 the Asset Manager Affiliates had an increase in unrealized appreciation of approximately $10 million.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2" w:name="page43"/>
    <w:bookmarkEnd w:id="42"/>
    <w:p>
      <w:pPr>
        <w:ind w:right="120" w:firstLine="324"/>
        <w:spacing w:after="0" w:line="291" w:lineRule="auto"/>
        <w:rPr>
          <w:sz w:val="20"/>
          <w:szCs w:val="20"/>
          <w:color w:val="auto"/>
        </w:rPr>
      </w:pPr>
      <w:r>
        <w:rPr>
          <w:rFonts w:ascii="Arial" w:cs="Arial" w:eastAsia="Arial" w:hAnsi="Arial"/>
          <w:sz w:val="16"/>
          <w:szCs w:val="16"/>
          <w:color w:val="auto"/>
        </w:rPr>
        <w:t>Effective January 1, 2010, the Asset Manager Affiliates adopted guidance encompassed in Accounting Standards Codification Topic 810, “Consolidation.” The adoption of this new guidance had an impact on the disclosures relating to the Asset Manager Affiliates which had previously not been required, as its provisions require the Asset Manager Affiliates to consolidate certain of their managed CLO Funds that were not previously consolidated. As a result of the consolidation of these CLO Funds into the Asset Manager Affiliates, the financial results of the Asset Manager Affiliates indicate that they qualify as a “significant subsidiary” of the Company requiring the following additional disclosures. In addition, Katonah 2007-I CLO qualifies as a “significant subsidiary” of the Company and the Company is also required to make the additional disclosures about it below. These disclosures regarding the Asset Manager Affiliates and Katonah 2007-I CLO do not directly impact the financial position, results of operations, or cash flows of the Company.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As of</w:t>
            </w:r>
          </w:p>
        </w:tc>
        <w:tc>
          <w:tcPr>
            <w:tcW w:w="28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As of</w:t>
            </w:r>
          </w:p>
        </w:tc>
      </w:tr>
      <w:tr>
        <w:trPr>
          <w:trHeight w:val="234"/>
        </w:trPr>
        <w:tc>
          <w:tcPr>
            <w:tcW w:w="6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June 30, 2013</w:t>
            </w: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 2012</w:t>
            </w:r>
          </w:p>
        </w:tc>
      </w:tr>
      <w:tr>
        <w:trPr>
          <w:trHeight w:val="210"/>
        </w:trPr>
        <w:tc>
          <w:tcPr>
            <w:tcW w:w="63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Investments of CLO Funds, at fair value</w:t>
            </w: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3,142,614,333</w:t>
            </w:r>
          </w:p>
        </w:tc>
        <w:tc>
          <w:tcPr>
            <w:tcW w:w="2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jc w:val="right"/>
              <w:ind w:right="11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3,255,805,442</w:t>
            </w: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Restricted cash of CLO Funds</w:t>
            </w:r>
          </w:p>
        </w:tc>
        <w:tc>
          <w:tcPr>
            <w:tcW w:w="18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584,223,959</w:t>
            </w: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53,322,266</w:t>
            </w:r>
          </w:p>
        </w:tc>
      </w:tr>
      <w:tr>
        <w:trPr>
          <w:trHeight w:val="216"/>
        </w:trPr>
        <w:tc>
          <w:tcPr>
            <w:tcW w:w="632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3,788,771,911</w:t>
            </w: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3,847,297,787</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CLO Fund liabilities at fair value</w:t>
            </w:r>
          </w:p>
        </w:tc>
        <w:tc>
          <w:tcPr>
            <w:tcW w:w="18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3,527,546,449</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3,459,529,711</w:t>
            </w:r>
          </w:p>
        </w:tc>
        <w:tc>
          <w:tcPr>
            <w:tcW w:w="80" w:type="dxa"/>
            <w:vAlign w:val="bottom"/>
          </w:tcPr>
          <w:p>
            <w:pPr>
              <w:spacing w:after="0"/>
              <w:rPr>
                <w:sz w:val="18"/>
                <w:szCs w:val="18"/>
                <w:color w:val="auto"/>
              </w:rPr>
            </w:pPr>
          </w:p>
        </w:tc>
      </w:tr>
      <w:tr>
        <w:trPr>
          <w:trHeight w:val="216"/>
        </w:trPr>
        <w:tc>
          <w:tcPr>
            <w:tcW w:w="632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3,753,324,641</w:t>
            </w: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3,698,915,974</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Appropriated retained earnings of consolidated VIEs</w:t>
            </w:r>
          </w:p>
        </w:tc>
        <w:tc>
          <w:tcPr>
            <w:tcW w:w="18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(14,228,077)</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104,870,995</w:t>
            </w:r>
          </w:p>
        </w:tc>
        <w:tc>
          <w:tcPr>
            <w:tcW w:w="80" w:type="dxa"/>
            <w:vAlign w:val="bottom"/>
          </w:tcPr>
          <w:p>
            <w:pPr>
              <w:spacing w:after="0"/>
              <w:rPr>
                <w:sz w:val="20"/>
                <w:szCs w:val="20"/>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For the three months ended</w:t>
            </w:r>
          </w:p>
        </w:tc>
        <w:tc>
          <w:tcPr>
            <w:tcW w:w="120" w:type="dxa"/>
            <w:vAlign w:val="bottom"/>
          </w:tcPr>
          <w:p>
            <w:pPr>
              <w:spacing w:after="0"/>
              <w:rPr>
                <w:sz w:val="19"/>
                <w:szCs w:val="19"/>
                <w:color w:val="auto"/>
              </w:rPr>
            </w:pPr>
          </w:p>
        </w:tc>
        <w:tc>
          <w:tcPr>
            <w:tcW w:w="234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4"/>
              </w:rPr>
              <w:t>For the six months ended</w:t>
            </w:r>
          </w:p>
        </w:tc>
      </w:tr>
      <w:tr>
        <w:trPr>
          <w:trHeight w:val="234"/>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0"/>
                <w:szCs w:val="20"/>
                <w:color w:val="auto"/>
              </w:rPr>
            </w:pPr>
          </w:p>
        </w:tc>
        <w:tc>
          <w:tcPr>
            <w:tcW w:w="234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June 30,</w:t>
            </w:r>
          </w:p>
        </w:tc>
      </w:tr>
      <w:tr>
        <w:trPr>
          <w:trHeight w:val="223"/>
        </w:trPr>
        <w:tc>
          <w:tcPr>
            <w:tcW w:w="6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0"/>
        </w:trPr>
        <w:tc>
          <w:tcPr>
            <w:tcW w:w="63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Interest income - investments of CLO Funds</w:t>
            </w:r>
          </w:p>
        </w:tc>
        <w:tc>
          <w:tcPr>
            <w:tcW w:w="18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2"/>
              </w:rPr>
              <w:t>$  30,590,388</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2"/>
              </w:rPr>
              <w:t>$  31,546,365</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$ 63,857,815</w:t>
            </w: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0"/>
              </w:rPr>
              <w:t>$  61,311,055</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Total income</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34,157,203</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34,461,811</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70,468,474</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66,457,780</w:t>
            </w:r>
          </w:p>
        </w:tc>
      </w:tr>
      <w:tr>
        <w:trPr>
          <w:trHeight w:val="216"/>
        </w:trPr>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 of CLO Fund liabilities</w:t>
            </w:r>
          </w:p>
        </w:tc>
        <w:tc>
          <w:tcPr>
            <w:tcW w:w="13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27,448,332</w:t>
            </w:r>
          </w:p>
        </w:tc>
        <w:tc>
          <w:tcPr>
            <w:tcW w:w="12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27,730,344</w:t>
            </w:r>
          </w:p>
        </w:tc>
        <w:tc>
          <w:tcPr>
            <w:tcW w:w="12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57,220,417</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58,271,673</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Total expenses</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39,698,341</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32,418,761</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74,542,565</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67,005,566</w:t>
            </w:r>
          </w:p>
        </w:tc>
      </w:tr>
      <w:tr>
        <w:trPr>
          <w:trHeight w:val="216"/>
        </w:trPr>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Net realized and unrealized gains (losses)</w:t>
            </w:r>
          </w:p>
        </w:tc>
        <w:tc>
          <w:tcPr>
            <w:tcW w:w="13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95,000,154</w:t>
            </w:r>
          </w:p>
        </w:tc>
        <w:tc>
          <w:tcPr>
            <w:tcW w:w="12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180,512,853</w:t>
            </w:r>
          </w:p>
        </w:tc>
        <w:tc>
          <w:tcPr>
            <w:tcW w:w="12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85,521,217</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174,285,895</w:t>
            </w:r>
          </w:p>
        </w:tc>
      </w:tr>
      <w:tr>
        <w:trPr>
          <w:trHeight w:val="202"/>
        </w:trPr>
        <w:tc>
          <w:tcPr>
            <w:tcW w:w="6360" w:type="dxa"/>
            <w:vAlign w:val="bottom"/>
          </w:tcPr>
          <w:p>
            <w:pPr>
              <w:spacing w:after="0" w:line="201" w:lineRule="exact"/>
              <w:rPr>
                <w:sz w:val="20"/>
                <w:szCs w:val="20"/>
                <w:color w:val="auto"/>
              </w:rPr>
            </w:pPr>
            <w:r>
              <w:rPr>
                <w:rFonts w:ascii="Arial" w:cs="Arial" w:eastAsia="Arial" w:hAnsi="Arial"/>
                <w:sz w:val="18"/>
                <w:szCs w:val="18"/>
                <w:color w:val="auto"/>
                <w:w w:val="93"/>
              </w:rPr>
              <w:t>Net income (loss) attributable to noncontrolling interests in consolidated consolidated</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Variable Interest Entities</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87,206,075</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182,189,641</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78,034,934</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173,573,693</w:t>
            </w:r>
          </w:p>
        </w:tc>
      </w:tr>
      <w:tr>
        <w:trPr>
          <w:trHeight w:val="216"/>
        </w:trPr>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 attributable to Asset Manager Affiliates</w:t>
            </w:r>
          </w:p>
        </w:tc>
        <w:tc>
          <w:tcPr>
            <w:tcW w:w="13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2,252,941</w:t>
            </w:r>
          </w:p>
        </w:tc>
        <w:tc>
          <w:tcPr>
            <w:tcW w:w="12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324,375</w:t>
            </w:r>
          </w:p>
        </w:tc>
        <w:tc>
          <w:tcPr>
            <w:tcW w:w="12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3,015,589</w:t>
            </w:r>
          </w:p>
        </w:tc>
        <w:tc>
          <w:tcPr>
            <w:tcW w:w="12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(55,646)</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As of</w:t>
            </w:r>
          </w:p>
        </w:tc>
        <w:tc>
          <w:tcPr>
            <w:tcW w:w="320" w:type="dxa"/>
            <w:vAlign w:val="bottom"/>
          </w:tcPr>
          <w:p>
            <w:pPr>
              <w:spacing w:after="0"/>
              <w:rPr>
                <w:sz w:val="19"/>
                <w:szCs w:val="19"/>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As of</w:t>
            </w:r>
          </w:p>
        </w:tc>
        <w:tc>
          <w:tcPr>
            <w:tcW w:w="1720" w:type="dxa"/>
            <w:vAlign w:val="bottom"/>
          </w:tcPr>
          <w:p>
            <w:pPr>
              <w:spacing w:after="0"/>
              <w:rPr>
                <w:sz w:val="19"/>
                <w:szCs w:val="19"/>
                <w:color w:val="auto"/>
              </w:rPr>
            </w:pPr>
          </w:p>
        </w:tc>
      </w:tr>
      <w:tr>
        <w:trPr>
          <w:trHeight w:val="234"/>
        </w:trPr>
        <w:tc>
          <w:tcPr>
            <w:tcW w:w="39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June 30, 2013</w:t>
            </w: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 2012</w:t>
            </w:r>
          </w:p>
        </w:tc>
        <w:tc>
          <w:tcPr>
            <w:tcW w:w="1720" w:type="dxa"/>
            <w:vAlign w:val="bottom"/>
          </w:tcPr>
          <w:p>
            <w:pPr>
              <w:spacing w:after="0"/>
              <w:rPr>
                <w:sz w:val="20"/>
                <w:szCs w:val="20"/>
                <w:color w:val="auto"/>
              </w:rPr>
            </w:pPr>
          </w:p>
        </w:tc>
      </w:tr>
      <w:tr>
        <w:trPr>
          <w:trHeight w:val="210"/>
        </w:trPr>
        <w:tc>
          <w:tcPr>
            <w:tcW w:w="39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investments at fair value</w:t>
            </w:r>
          </w:p>
        </w:tc>
        <w:tc>
          <w:tcPr>
            <w:tcW w:w="24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317,943,927</w:t>
            </w:r>
          </w:p>
        </w:tc>
        <w:tc>
          <w:tcPr>
            <w:tcW w:w="20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ind w:right="15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310,402,779</w:t>
            </w:r>
          </w:p>
        </w:tc>
        <w:tc>
          <w:tcPr>
            <w:tcW w:w="80" w:type="dxa"/>
            <w:vAlign w:val="bottom"/>
            <w:tcBorders>
              <w:top w:val="single" w:sz="8" w:color="CCFFCC"/>
            </w:tcBorders>
            <w:shd w:val="clear" w:color="auto" w:fill="CCFFCC"/>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Cash</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10,580,512</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13,018,610</w:t>
            </w:r>
          </w:p>
        </w:tc>
        <w:tc>
          <w:tcPr>
            <w:tcW w:w="1720" w:type="dxa"/>
            <w:vAlign w:val="bottom"/>
          </w:tcPr>
          <w:p>
            <w:pPr>
              <w:spacing w:after="0"/>
              <w:rPr>
                <w:sz w:val="18"/>
                <w:szCs w:val="18"/>
                <w:color w:val="auto"/>
              </w:rPr>
            </w:pPr>
          </w:p>
        </w:tc>
      </w:tr>
      <w:tr>
        <w:trPr>
          <w:trHeight w:val="216"/>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24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329,207,644</w:t>
            </w:r>
          </w:p>
        </w:tc>
        <w:tc>
          <w:tcPr>
            <w:tcW w:w="3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324,159,013</w:t>
            </w: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CLO Debt at fair value</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314,410,321</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310,470,318</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24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324,975,990</w:t>
            </w:r>
          </w:p>
        </w:tc>
        <w:tc>
          <w:tcPr>
            <w:tcW w:w="3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315,824,162</w:t>
            </w: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Total Net Assets</w:t>
            </w:r>
          </w:p>
        </w:tc>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4,231,654</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8,334,851</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634"/>
        </w:trPr>
        <w:tc>
          <w:tcPr>
            <w:tcW w:w="39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2"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For the three months ended</w:t>
            </w:r>
          </w:p>
        </w:tc>
        <w:tc>
          <w:tcPr>
            <w:tcW w:w="120" w:type="dxa"/>
            <w:vAlign w:val="bottom"/>
          </w:tcPr>
          <w:p>
            <w:pPr>
              <w:spacing w:after="0"/>
              <w:rPr>
                <w:sz w:val="19"/>
                <w:szCs w:val="19"/>
                <w:color w:val="auto"/>
              </w:rPr>
            </w:pPr>
          </w:p>
        </w:tc>
        <w:tc>
          <w:tcPr>
            <w:tcW w:w="23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For the six months ended</w:t>
            </w:r>
          </w:p>
        </w:tc>
      </w:tr>
      <w:tr>
        <w:trPr>
          <w:trHeight w:val="234"/>
        </w:trPr>
        <w:tc>
          <w:tcPr>
            <w:tcW w:w="49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4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80" w:type="dxa"/>
            <w:vAlign w:val="bottom"/>
            <w:tcBorders>
              <w:bottom w:val="single" w:sz="8" w:color="CCFFCC"/>
            </w:tcBorders>
          </w:tcPr>
          <w:p>
            <w:pPr>
              <w:spacing w:after="0"/>
              <w:rPr>
                <w:sz w:val="19"/>
                <w:szCs w:val="19"/>
                <w:color w:val="auto"/>
              </w:rPr>
            </w:pPr>
          </w:p>
        </w:tc>
        <w:tc>
          <w:tcPr>
            <w:tcW w:w="1560" w:type="dxa"/>
            <w:vAlign w:val="bottom"/>
            <w:tcBorders>
              <w:bottom w:val="single" w:sz="8" w:color="CCFFCC"/>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CCFF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19"/>
                <w:szCs w:val="19"/>
                <w:color w:val="auto"/>
              </w:rPr>
            </w:pPr>
          </w:p>
        </w:tc>
      </w:tr>
      <w:tr>
        <w:trPr>
          <w:trHeight w:val="210"/>
        </w:trPr>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 from investments</w:t>
            </w:r>
          </w:p>
        </w:tc>
        <w:tc>
          <w:tcPr>
            <w:tcW w:w="156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   3,090,911</w:t>
            </w:r>
          </w:p>
        </w:tc>
        <w:tc>
          <w:tcPr>
            <w:tcW w:w="24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FFCC"/>
          </w:tcPr>
          <w:p>
            <w:pPr>
              <w:ind w:left="60"/>
              <w:spacing w:after="0"/>
              <w:rPr>
                <w:sz w:val="20"/>
                <w:szCs w:val="20"/>
                <w:color w:val="auto"/>
              </w:rPr>
            </w:pPr>
            <w:r>
              <w:rPr>
                <w:rFonts w:ascii="Arial" w:cs="Arial" w:eastAsia="Arial" w:hAnsi="Arial"/>
                <w:sz w:val="18"/>
                <w:szCs w:val="18"/>
                <w:color w:val="auto"/>
                <w:w w:val="87"/>
              </w:rPr>
              <w:t>3,211,588</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  6,316,598</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6,316,842</w:t>
            </w:r>
          </w:p>
        </w:tc>
        <w:tc>
          <w:tcPr>
            <w:tcW w:w="100" w:type="dxa"/>
            <w:vAlign w:val="bottom"/>
            <w:shd w:val="clear" w:color="auto" w:fill="CCFFC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Total income</w:t>
            </w:r>
          </w:p>
        </w:tc>
        <w:tc>
          <w:tcPr>
            <w:tcW w:w="2840" w:type="dxa"/>
            <w:vAlign w:val="bottom"/>
            <w:gridSpan w:val="3"/>
          </w:tcPr>
          <w:p>
            <w:pPr>
              <w:jc w:val="right"/>
              <w:ind w:right="240"/>
              <w:spacing w:after="0"/>
              <w:rPr>
                <w:sz w:val="20"/>
                <w:szCs w:val="20"/>
                <w:color w:val="auto"/>
              </w:rPr>
            </w:pPr>
            <w:r>
              <w:rPr>
                <w:rFonts w:ascii="Arial" w:cs="Arial" w:eastAsia="Arial" w:hAnsi="Arial"/>
                <w:sz w:val="18"/>
                <w:szCs w:val="18"/>
                <w:color w:val="auto"/>
              </w:rPr>
              <w:t>3,378,618</w:t>
            </w:r>
          </w:p>
        </w:tc>
        <w:tc>
          <w:tcPr>
            <w:tcW w:w="2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color w:val="auto"/>
                <w:w w:val="99"/>
              </w:rPr>
              <w:t>3,352,203</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6,765,226</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6,627,337</w:t>
            </w:r>
          </w:p>
        </w:tc>
      </w:tr>
      <w:tr>
        <w:trPr>
          <w:trHeight w:val="216"/>
        </w:trPr>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28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2,849,391</w:t>
            </w:r>
          </w:p>
        </w:tc>
        <w:tc>
          <w:tcPr>
            <w:tcW w:w="2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99"/>
              </w:rPr>
              <w:t>2,806,337</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5,843,283</w:t>
            </w:r>
          </w:p>
        </w:tc>
        <w:tc>
          <w:tcPr>
            <w:tcW w:w="2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7"/>
              </w:rPr>
              <w:t>5,500,757</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Total expenses</w:t>
            </w:r>
          </w:p>
        </w:tc>
        <w:tc>
          <w:tcPr>
            <w:tcW w:w="2840" w:type="dxa"/>
            <w:vAlign w:val="bottom"/>
            <w:gridSpan w:val="3"/>
          </w:tcPr>
          <w:p>
            <w:pPr>
              <w:jc w:val="right"/>
              <w:ind w:right="240"/>
              <w:spacing w:after="0"/>
              <w:rPr>
                <w:sz w:val="20"/>
                <w:szCs w:val="20"/>
                <w:color w:val="auto"/>
              </w:rPr>
            </w:pPr>
            <w:r>
              <w:rPr>
                <w:rFonts w:ascii="Arial" w:cs="Arial" w:eastAsia="Arial" w:hAnsi="Arial"/>
                <w:sz w:val="18"/>
                <w:szCs w:val="18"/>
                <w:color w:val="auto"/>
              </w:rPr>
              <w:t>3,213,437</w:t>
            </w:r>
          </w:p>
        </w:tc>
        <w:tc>
          <w:tcPr>
            <w:tcW w:w="2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color w:val="auto"/>
                <w:w w:val="99"/>
              </w:rPr>
              <w:t>3,049,470</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6,484,434</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6,139,914</w:t>
            </w:r>
          </w:p>
        </w:tc>
      </w:tr>
      <w:tr>
        <w:trPr>
          <w:trHeight w:val="216"/>
        </w:trPr>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Net realized and unrealized gains (losses)</w:t>
            </w:r>
          </w:p>
        </w:tc>
        <w:tc>
          <w:tcPr>
            <w:tcW w:w="284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(2,624,539)</w:t>
            </w:r>
          </w:p>
        </w:tc>
        <w:tc>
          <w:tcPr>
            <w:tcW w:w="2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99"/>
              </w:rPr>
              <w:t>1,323,633</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(4,383,989)</w:t>
            </w:r>
          </w:p>
        </w:tc>
        <w:tc>
          <w:tcPr>
            <w:tcW w:w="2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1"/>
              </w:rPr>
              <w:t>(1,950,228)</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Decrease in net assets resulting from operations</w:t>
            </w:r>
          </w:p>
        </w:tc>
        <w:tc>
          <w:tcPr>
            <w:tcW w:w="2840" w:type="dxa"/>
            <w:vAlign w:val="bottom"/>
            <w:gridSpan w:val="3"/>
          </w:tcPr>
          <w:p>
            <w:pPr>
              <w:jc w:val="right"/>
              <w:ind w:right="180"/>
              <w:spacing w:after="0"/>
              <w:rPr>
                <w:sz w:val="20"/>
                <w:szCs w:val="20"/>
                <w:color w:val="auto"/>
              </w:rPr>
            </w:pPr>
            <w:r>
              <w:rPr>
                <w:rFonts w:ascii="Arial" w:cs="Arial" w:eastAsia="Arial" w:hAnsi="Arial"/>
                <w:sz w:val="18"/>
                <w:szCs w:val="18"/>
                <w:color w:val="auto"/>
              </w:rPr>
              <w:t>(2,459,358)</w:t>
            </w:r>
          </w:p>
        </w:tc>
        <w:tc>
          <w:tcPr>
            <w:tcW w:w="26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color w:val="auto"/>
                <w:w w:val="99"/>
              </w:rPr>
              <w:t>1,626,366</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(4,103,197)</w:t>
            </w:r>
          </w:p>
        </w:tc>
        <w:tc>
          <w:tcPr>
            <w:tcW w:w="2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(1,462,805)</w:t>
            </w:r>
          </w:p>
        </w:tc>
      </w:tr>
    </w:tbl>
    <w:p>
      <w:pPr>
        <w:spacing w:after="0" w:line="18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All of the consolidated VIEs’ investment balances are CLO Fund-related. The assets of the CLO Funds are held solely to satisfy the obligations of the CLO Funds. The Asset Manager Affiliates have no right to the benefits from, nor do they bear the risks associated with, the collateral assets held by the CLO Funds, beyond the management fees generated from the CLO Funds. If the Asset Manager Affiliates were to liquidate, the collateral assets would not be available to the general creditors of the Asset Manager Affiliates. Additionally, the investors in the CLO Funds have no recourse to the general credit of the Asset Manager Affiliates for the securities issued by the CLO Funds.</w:t>
      </w:r>
    </w:p>
    <w:p>
      <w:pPr>
        <w:spacing w:after="0" w:line="18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consolidation of the VIEs’ investment products in the Asset Manager Affiliates’ financial statements is not reflective of the underlying financial position, results of operations or cash flows of the Asset Manager Affiliates as stand-alone entities. Furthermore, the financial operations of the Asset Manager Affiliates, whether consolidated with the CLO funds they manage or on a stand-alone basis, are not reflective of the fair value of the Asset Manager Affiliates as reported on the Company’s balance sheet and schedule of investments as the Company is required under U.S. GAAP to report the Asset Manager Affiliates as a portfolio company at fair value.</w:t>
      </w:r>
    </w:p>
    <w:p>
      <w:pPr>
        <w:spacing w:after="0" w:line="18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As separately regarded entities for tax purposes, the Asset Manager Affiliates are taxed at normal corporate rates. For tax purposes, any distributions of taxable net income earned by the Asset Manager Affiliates to the Company would generally need to be distributed to the Company’s shareholders. Generally, such distributions of the Asset Manager Affiliates’ income to the Company’s shareholders will be considered as qualified dividends for tax purposes. The Asset Manager Affiliates’ taxable net income will differ from U.S. GAAP net income because of deferred tax timing adjustments and permanent tax adjustments. Deferred tax timing adjustments may include differences for the recognition and timing of depreciation, bonuses to employees and stock option expense. Permanent differences may include adjustments, limitations or disallowances for meals and entertainment expenses, penalties, tax goodwill amortization and net operating loss carryforward.</w:t>
      </w:r>
    </w:p>
    <w:p>
      <w:pPr>
        <w:spacing w:after="0" w:line="18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U.S. GAAP purposes, such exchange was considered an asset purchase under Section 351(a) of the Code. At the time of the transfer, Katonah Debt Advisors had equity of approximately $1 million resulting in tax goodwill of approximately $32 million which will be amortized for tax purposes on a straight-line basis over 15 years, which accounts for an annual difference between U.S. GAAP income and taxable income by approximately $2 million per year over such period.</w:t>
      </w:r>
    </w:p>
    <w:p>
      <w:pPr>
        <w:spacing w:after="0" w:line="193" w:lineRule="exact"/>
        <w:rPr>
          <w:sz w:val="20"/>
          <w:szCs w:val="20"/>
          <w:color w:val="auto"/>
        </w:rPr>
      </w:pPr>
    </w:p>
    <w:p>
      <w:pPr>
        <w:ind w:right="360" w:firstLine="324"/>
        <w:spacing w:after="0" w:line="257"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its sole member, Commodore Holdings, L.L.C., in exchange for shares of the KCAP Financial’s stock valued at $25.5 million and cash of $13.0 million. The transaction was considered an asset purchase under Section 351(a) of the Code and resulted in tax goodwill of approximately $22.8 million which will be amortized for tax purposes on a straight-line basis over 15 years, which accounts for an annual difference between GAAP income and taxable income by approximately $1.5 million per year over such period.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2013 there were no intercompany balances between the Company and its Asset Manager Affiliates.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On November 20, 2012, the Company entered into a senior credit agreement (the “Senior Credit Facility”) with Trimaran Advisors, pursuant to which Trimaran Advisors may borrow from time to time up to $20 million from the Company in order to provide the capital necessary to support one or more of Trimaran Advisors’ warehouse lines and/or working capital in connection with Trimaran Advisors’ warehouse activities. The Senior Credit Facility expires on November 20, 2017 and bears interest at an annual rate of 9.0%. The Company’s average debt obligation relating to the Senior Credit Facility was $20 million. As of December 27, 2012, the Senior Credit Facility was terminated and there were no borrowings outstanding.</w:t>
      </w:r>
    </w:p>
    <w:p>
      <w:pPr>
        <w:spacing w:after="0" w:line="17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expires on November 20, 2017 and bears interest at an annual rate of 9.0%. On April 15, 2013, the Trimaran Credit Facility was amended and upsized from $20 million to $23 million. At June 30, 2013, there was no amount outstanding under the Trimaran Credit Facility.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six months ended June 30, 2013 the Company recognized interest income related to the Senior Credit Facility of $660,000.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6. BORROWINGS</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80" w:type="dxa"/>
            <w:vAlign w:val="bottom"/>
          </w:tcPr>
          <w:p>
            <w:pPr>
              <w:ind w:left="320"/>
              <w:spacing w:after="0"/>
              <w:rPr>
                <w:sz w:val="20"/>
                <w:szCs w:val="20"/>
                <w:color w:val="auto"/>
              </w:rPr>
            </w:pPr>
            <w:r>
              <w:rPr>
                <w:rFonts w:ascii="Arial" w:cs="Arial" w:eastAsia="Arial" w:hAnsi="Arial"/>
                <w:sz w:val="18"/>
                <w:szCs w:val="18"/>
                <w:color w:val="auto"/>
              </w:rPr>
              <w:t>The Company’s debt obligations consist of the following:</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 2013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FFCC"/>
          </w:tcPr>
          <w:p>
            <w:pPr>
              <w:spacing w:after="0"/>
              <w:rPr>
                <w:sz w:val="20"/>
                <w:szCs w:val="20"/>
                <w:color w:val="auto"/>
              </w:rPr>
            </w:pPr>
            <w:r>
              <w:rPr>
                <w:rFonts w:ascii="Arial" w:cs="Arial" w:eastAsia="Arial" w:hAnsi="Arial"/>
                <w:sz w:val="18"/>
                <w:szCs w:val="18"/>
                <w:color w:val="auto"/>
              </w:rPr>
              <w:t>Convertible Notes, due March 15, 2016</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51,008,000</w:t>
            </w:r>
          </w:p>
        </w:tc>
        <w:tc>
          <w:tcPr>
            <w:tcW w:w="4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Retail Notes, due September 30, 2019</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41,400,000</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41,400,000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spacing w:after="0"/>
              <w:rPr>
                <w:sz w:val="20"/>
                <w:szCs w:val="20"/>
                <w:color w:val="auto"/>
              </w:rPr>
            </w:pPr>
            <w:r>
              <w:rPr>
                <w:rFonts w:ascii="Arial" w:cs="Arial" w:eastAsia="Arial" w:hAnsi="Arial"/>
                <w:sz w:val="18"/>
                <w:szCs w:val="18"/>
                <w:color w:val="auto"/>
              </w:rPr>
              <w:t>KCAP Senior Funding I, LLC</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105,250,000</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June, 2013 were 5.16% and 7.88 years, respectively, and as of December 31, 2012 were 8.19% and 4.68 years,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following underwriting expenses, were approximately $57.7 million. Interest on the Convertible Notes is paid semi-annually in arrears on March 15 and September 15, at a rate of 8.75%, commencing September 15, 2011. The Convertible Notes mature on March 15, 2016 unless converted earlier. The Convertible Notes are senior unsecured obligations of the Company.</w:t>
      </w:r>
    </w:p>
    <w:p>
      <w:pPr>
        <w:spacing w:after="0" w:line="158"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The Convertible Notes are convertible into shares of Company’s common stock. As of June 30, 2013 the conversion rate was 123.8203 shares of common stock per $1,000 principal amount of Convertible Notes, which is equivalent to a conversion price of approximately $8.08 per share of common stock. The conversion rate is subject to adjustment upon certain events. Subsequent to the reporting period, the conversion rate is approximately 125.0814 shares of the Company’s common stock per $1,000 principal amount of the Convertible Notes, equivalent to a conversion price of approximately $7.99 per share of common stock. Upon conversion, the Company would issue the full amount of common stock and retire the full amount of debt outstanding.</w:t>
      </w:r>
    </w:p>
    <w:p>
      <w:pPr>
        <w:spacing w:after="0" w:line="158"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Upon conversion, unless a holder converts after a record date for an interest payment but prior to the corresponding interest payment date, the holder will receive a separate cash payment with respect to the Convertible Senior Notes surrendered for conversion representing accrued and unpaid interest to, but not including the conversion date. Any such payment will be made on the settlement date applicable to the relevant conversion on the Convertible Notes.</w:t>
      </w:r>
    </w:p>
    <w:p>
      <w:pPr>
        <w:spacing w:after="0" w:line="14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No holder of Convertible Notes will be entitled to receive shares of the Company’s common stock upon conversion to the extent (but only to the extent) that such receipt would cause such converting holder to become, directly or indirectly, a beneficial owner (within the meaning of Section 13(d) of the Securities Exchange Act of 1934 and the rules and regulations promulgated thereunder) of more than 5.0% of the shares of the Company’s common stock outstanding at such time. The 5.0% limitation shall no longer apply following the effective date of any fundamental change. At June 30, 2013, the Company was in compliance with all of its debt covenants.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ind w:firstLine="324"/>
        <w:spacing w:after="0" w:line="257" w:lineRule="auto"/>
        <w:rPr>
          <w:sz w:val="20"/>
          <w:szCs w:val="20"/>
          <w:color w:val="auto"/>
        </w:rPr>
      </w:pPr>
      <w:r>
        <w:rPr>
          <w:rFonts w:ascii="Arial" w:cs="Arial" w:eastAsia="Arial" w:hAnsi="Arial"/>
          <w:sz w:val="18"/>
          <w:szCs w:val="18"/>
          <w:color w:val="auto"/>
        </w:rPr>
        <w:t>Subject to certain exceptions, holders may require us to repurchase, for cash, all or part of their Convertible Notes upon a fundamental change at a price equal to 100% of the principal amount of the Convertible Notes being repurchased plus any accrued and unpaid interest up to, but excluding, the fundamental change repurchase date. In addition, in the case of certain fundamental changes and without duplication of the foregoing amount, the Company will also pay holders an amount in cash (or, in certain circumstances, shares of the Company’s common stock) equal to the present value of the remaining interest payments on such notes through, and including, the maturity date.</w:t>
      </w:r>
    </w:p>
    <w:p>
      <w:pPr>
        <w:spacing w:after="0" w:line="188"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In connection with the issuance of the Convertible Notes, the Company incurred approximately $2.4 million of debt offering costs, which are being amortized over the term of the facility on an effective yield method, of which approximately $1.4 million remains to be amortized. On April 4, 2013, approximately $9 million of the Company’s 8.75% Convertible Senior Notes were converted at a price basis per share of $8.159 into 1,102,093 shares of KCAP common stock.</w:t>
      </w:r>
    </w:p>
    <w:p>
      <w:pPr>
        <w:spacing w:after="0" w:line="187"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Convertible Notes have been analyzed for any features that would require its accounting to be bifurcated. There are no features that require accounting to be bifurcated, and as a result, they are recorded as a liability at their contractual amounts. At June 30, 2013, the Company was in compliance with all of its debt covenants.</w:t>
      </w:r>
    </w:p>
    <w:p>
      <w:pPr>
        <w:spacing w:after="0" w:line="18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i w:val="1"/>
          <w:iCs w:val="1"/>
          <w:color w:val="auto"/>
        </w:rPr>
        <w:t xml:space="preserve">Fair Value of Convertible Notes. </w:t>
      </w:r>
      <w:r>
        <w:rPr>
          <w:rFonts w:ascii="Arial" w:cs="Arial" w:eastAsia="Arial" w:hAnsi="Arial"/>
          <w:sz w:val="17"/>
          <w:szCs w:val="17"/>
          <w:color w:val="auto"/>
        </w:rPr>
        <w:t>The Company carries the Convertible Notes at cost. The Convertible Notes were issued in a private placement and there</w:t>
      </w:r>
      <w:r>
        <w:rPr>
          <w:rFonts w:ascii="Arial" w:cs="Arial" w:eastAsia="Arial" w:hAnsi="Arial"/>
          <w:sz w:val="17"/>
          <w:szCs w:val="17"/>
          <w:i w:val="1"/>
          <w:iCs w:val="1"/>
          <w:color w:val="auto"/>
        </w:rPr>
        <w:t xml:space="preserve"> </w:t>
      </w:r>
      <w:r>
        <w:rPr>
          <w:rFonts w:ascii="Arial" w:cs="Arial" w:eastAsia="Arial" w:hAnsi="Arial"/>
          <w:sz w:val="17"/>
          <w:szCs w:val="17"/>
          <w:color w:val="auto"/>
        </w:rPr>
        <w:t>is no active trading of these notes. The fair value of the Company’s outstanding Convertible Notes was approximately $71.6 million at June 30, 2013. The fair value was determined based on the average of indicative bid and offer pricing for the Convertible Notes.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Retail Notes</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October 10, 2012, the Company issued $41.4 million in aggregate principal amount of unsecured 7.375% Retail Notes due 2019. The net proceeds for the Retail Notes, following underwriting expenses, were approximately $39.9 million. Interest on the Retail Notes is paid quarterly in arrears on March 30, June 30, September 30 and December 30, at a rate of 7.375%, commencing December 30, 2012. The Notes mature on September, 30, 2019. The Retail Notes are senior unsecured obligations of the Company. In addition, due to the asset coverage test applicable to the Company as a BDC and a covenant that the Company agreed to in connection with the issuance of the Retail Notes, the Company is limited in its ability to make distributions in certain circumstances. At June 30, 2013, the Company was in compliance with all of its debt covenants.</w:t>
      </w:r>
    </w:p>
    <w:p>
      <w:pPr>
        <w:spacing w:after="0" w:line="17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connection with the issuance of the Retail Notes, the Company incurred approximately $1.5 million of debt offering costs which are being amortized over the term of the facility on an effective yield method, of which approximately $1.4 million remains to be amortized.</w:t>
      </w:r>
    </w:p>
    <w:p>
      <w:pPr>
        <w:spacing w:after="0" w:line="17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i w:val="1"/>
          <w:iCs w:val="1"/>
          <w:color w:val="auto"/>
        </w:rPr>
        <w:t>Fair Value of Retail Notes</w:t>
      </w:r>
      <w:r>
        <w:rPr>
          <w:rFonts w:ascii="Arial" w:cs="Arial" w:eastAsia="Arial" w:hAnsi="Arial"/>
          <w:sz w:val="18"/>
          <w:szCs w:val="18"/>
          <w:color w:val="auto"/>
        </w:rPr>
        <w:t>. The Retail Notes were issued in a public offering on October 10, 2012 and are carried at cost.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outstanding Retail Notes was approximately $42 million at June 30, 2013. The fair value was determined based on the average of indicative bid and offer pricing for the Retail Notes.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Facility</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February 2012, we entered into a Note Purchase Agreement with Credit Suisse AG, Cayman Islands Branch (“CS”), Credit Suisse Securities (USA) LLC, as arranger, The Bank of New York Mellon Trust Company, National Association, as collateral administrator and collateral agent, and KCAP Funding, a special-purpose bankruptcy remote wholly-owned subsidiary of ours, under which we may obtain up to $30 million in financing (the “Facility”). The scheduled maturity date for the Facility is December 20, 2014. Interest on the Facility is LIBOR + 300 basis points and payable quarterly. As of June 30, 2013, there were no amounts outstanding under the Facility and the Company was in compliance with all of its debt covenants.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KCAP Senior Funding I, LLC (Debt Securitization).</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June 18, 2013, Company completed the sale of notes in a $140,000,000 debt securitization financing transaction. The notes offered in this transaction (the “Senior Funding I Notes”) were issued by KCAP Senior Funding I, LLC, a newly formed special purpose vehicle (the “Issuer”), in which KCAP Senior Funding I Holdings, LLC, a wholly-owned subsidiary of the Company (the “Depositor”), owns all of the equity, and are backed by a diversified portfolio of bank loans.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ind w:left="340"/>
        <w:spacing w:after="0"/>
        <w:rPr>
          <w:sz w:val="20"/>
          <w:szCs w:val="20"/>
          <w:color w:val="auto"/>
        </w:rPr>
      </w:pPr>
      <w:r>
        <w:rPr>
          <w:rFonts w:ascii="Arial" w:cs="Arial" w:eastAsia="Arial" w:hAnsi="Arial"/>
          <w:sz w:val="16"/>
          <w:szCs w:val="16"/>
          <w:color w:val="auto"/>
        </w:rPr>
        <w:t>The secured notes (the “Senior Funding I Secured Notes”) were issued as Class A-1 senior secured floating rate notes which have an initial face amount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$77,250,000, are rated AAA ( sf )/Aaa ( sf ) by Standard &amp; Poor’s Ratings Services and Moody’s Investors Service, Inc., respectively, and bear interest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three-month London Interbank Offered Rate (“LIBOR”) plus 1.50%, Class B-1 senior secured floating rate notes which have an initial face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$9,000,000, are rated AA ( sf )/Aa2 ( sf ) by Standard &amp; Poor’s Ratings Services and Moody’s Investors Service, Inc., respectively, and bear interest at 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 LIBOR plus 3.25%, Class C-1 secured deferrable floating rate notes which have an initial face amount of $10,000,000, are rated A ( sf )/A2 ( sf )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Standard &amp; Poor’s Ratings Services and Moody’s Investors Service, Inc., respectively, and bear interest at three-month LIBOR plus 4.25%, and Class D-1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secured deferrable floating rate notes which have an initial face amount of $9,000,000, are rated BBB ( sf )/Baa2 ( sf ) by Standard &amp; Poor’s Ratings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Moody’s Investors Service, Inc., respectively, and bear interest at three-month LIBOR plus 5.25%. The Depositor retained all of the subordinated notes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Issuer (the “Senior Funding I Subordinated Notes”), which have an initial face amount of $34,750,000. The Senior Funding I Subordinated Notes do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bear interest and are not rated. Both the Senior Funding I Secured Notes and the Senior Funding I Subordinated Notes have a stated maturity on the payment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occurring in July, 2024, and are subject to a two year non-call period. The Issuer has a four year reinvestment period.</w:t>
      </w:r>
    </w:p>
    <w:p>
      <w:pPr>
        <w:spacing w:after="0" w:line="21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part of this transaction, the Company entered into a master loan sale agreement with the Depositor and the Issuer under which the Company sold or contributed certain bank loans to the Depositor, and the Depositor sold such loans to the Issuer in exchange for a combination of cash and the issuance of the Senior Funding I Subordinated Notes to the Depositor.</w:t>
      </w:r>
    </w:p>
    <w:p>
      <w:pPr>
        <w:spacing w:after="0" w:line="18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 connection with the issuance and sale of the Senior Funding I Notes, the Company has made customary representations, warranties and covenants in the purchase agreement by and between the Company, the Depositor, the Issuer and Guggenheim Securities, LLC, which served as the initial purchaser of the Senior Funding I Secured Notes. The Senior Funding I Secured Notes are the secured obligations of the Issuer, and an indenture governing the Senior Funding I Notes includes customary covenants and events of default. The Senior Funding I Notes were sold in a private placement transaction and have not been, and will not be, registered under the Securities Act of 1933, as amended, or any state “blue sky” laws and may not be offered or sold in the United States absent registration with the Securities and Exchange Commission or an applicable exemption from registration.</w:t>
      </w:r>
    </w:p>
    <w:p>
      <w:pPr>
        <w:spacing w:after="0" w:line="165" w:lineRule="exact"/>
        <w:rPr>
          <w:sz w:val="20"/>
          <w:szCs w:val="20"/>
          <w:color w:val="auto"/>
        </w:rPr>
      </w:pPr>
    </w:p>
    <w:p>
      <w:pPr>
        <w:ind w:right="500" w:firstLine="324"/>
        <w:spacing w:after="0" w:line="329" w:lineRule="auto"/>
        <w:rPr>
          <w:sz w:val="20"/>
          <w:szCs w:val="20"/>
          <w:color w:val="auto"/>
        </w:rPr>
      </w:pPr>
      <w:r>
        <w:rPr>
          <w:rFonts w:ascii="Arial" w:cs="Arial" w:eastAsia="Arial" w:hAnsi="Arial"/>
          <w:sz w:val="16"/>
          <w:szCs w:val="16"/>
          <w:color w:val="auto"/>
        </w:rPr>
        <w:t>The Company will serve as collateral manager to the Issuer under a collateral management agreement, which contains customary representations, warranties and covenants. Under the collateral management agreement, the Company will perform certain investment management functions, including supervising and directing the investment and reinvestment of the Issuer’s assets, as well as perform certain administrative and advisory functions.</w:t>
      </w:r>
    </w:p>
    <w:p>
      <w:pPr>
        <w:spacing w:after="0" w:line="13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addition, because each is a consolidated subsidiary, we did not recognize any gain or loss on the transfer of any of our portfolio assets to such vehicles in connection with the issuance and sale of the Senior Funding I Notes.</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of June 30, 2013, there were 44 investments in portfolio companies with a total fair value of approximately $111.9 million, collateralizing the secured notes of the Issuer. At June 30, 2013, there were unamortized issuance costs of approximately $3.9 million and unamortized original issue discount, (“OID”) costs of approximately $3.3 million included in other assets in the accompanying balance sheet. The pool of loans in the securitization must meet certain requirements, including asset mix and concentration, collateral coverage, term, agency rating, minimum coupon, minimum spread and sector diversity requirements.</w:t>
      </w:r>
    </w:p>
    <w:p>
      <w:pPr>
        <w:spacing w:after="0" w:line="188"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For the period ended June 30, 2013, interest expense, including the amortization of deferred debt issuance costs and the discount on the face amount of the notes was approximately $155,000 consisting of stated interest expense of approximately $97,000, accreted discount of approximately $19,000 and deferred debt issuance costs of approximately $46,000. Effective June 18, 2013 and as of June 30, 2013 the interest charged under the securitization was based on an initial LIBOR, which was 0.32%. The classes, interest rates, spread over LIBOR, and stated interest expense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Stated Interest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LIBOR Spread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Stated Interest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80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Rate</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(basis points)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Expense</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KCAP Senior Funding LLC Class A-1 Notes</w:t>
            </w:r>
          </w:p>
        </w:tc>
        <w:tc>
          <w:tcPr>
            <w:tcW w:w="1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w:t>
            </w: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50,854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KCAP Senior Funding LLC Class B-1 Notes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11,612</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KCAP Senior Funding LLC Class C-1 Notes</w:t>
            </w:r>
          </w:p>
        </w:tc>
        <w:tc>
          <w:tcPr>
            <w:tcW w:w="1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4.57%</w:t>
            </w: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16,514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KCAP Senior Funding LLC Class D-1 Notes</w:t>
            </w:r>
          </w:p>
        </w:tc>
        <w:tc>
          <w:tcPr>
            <w:tcW w:w="1800" w:type="dxa"/>
            <w:vAlign w:val="bottom"/>
            <w:tcBorders>
              <w:bottom w:val="single" w:sz="8" w:color="CCFFCC"/>
            </w:tcBorders>
            <w:gridSpan w:val="2"/>
          </w:tcPr>
          <w:p>
            <w:pPr>
              <w:jc w:val="right"/>
              <w:ind w:right="100"/>
              <w:spacing w:after="0"/>
              <w:rPr>
                <w:sz w:val="20"/>
                <w:szCs w:val="20"/>
                <w:color w:val="auto"/>
              </w:rPr>
            </w:pPr>
            <w:r>
              <w:rPr>
                <w:rFonts w:ascii="Arial" w:cs="Arial" w:eastAsia="Arial" w:hAnsi="Arial"/>
                <w:sz w:val="18"/>
                <w:szCs w:val="18"/>
                <w:color w:val="auto"/>
              </w:rPr>
              <w:t>5.57%</w:t>
            </w:r>
          </w:p>
        </w:tc>
        <w:tc>
          <w:tcPr>
            <w:tcW w:w="1640" w:type="dxa"/>
            <w:vAlign w:val="bottom"/>
            <w:tcBorders>
              <w:bottom w:val="single" w:sz="8" w:color="CCFFCC"/>
            </w:tcBorders>
            <w:gridSpan w:val="2"/>
          </w:tcPr>
          <w:p>
            <w:pPr>
              <w:jc w:val="right"/>
              <w:ind w:right="100"/>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FF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18,112</w:t>
            </w:r>
          </w:p>
        </w:tc>
        <w:tc>
          <w:tcPr>
            <w:tcW w:w="80" w:type="dxa"/>
            <w:vAlign w:val="bottom"/>
            <w:tcBorders>
              <w:bottom w:val="single" w:sz="8" w:color="CCFFCC"/>
            </w:tcBorders>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CCFFCC"/>
            </w:tcBorders>
            <w:shd w:val="clear" w:color="auto" w:fill="CCFFCC"/>
          </w:tcPr>
          <w:p>
            <w:pPr>
              <w:spacing w:after="0"/>
              <w:rPr>
                <w:sz w:val="19"/>
                <w:szCs w:val="19"/>
                <w:color w:val="auto"/>
              </w:rPr>
            </w:pPr>
          </w:p>
        </w:tc>
        <w:tc>
          <w:tcPr>
            <w:tcW w:w="154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97,091</w:t>
            </w:r>
          </w:p>
        </w:tc>
        <w:tc>
          <w:tcPr>
            <w:tcW w:w="80" w:type="dxa"/>
            <w:vAlign w:val="bottom"/>
            <w:tcBorders>
              <w:bottom w:val="single" w:sz="8" w:color="CCFFCC"/>
            </w:tcBorders>
            <w:shd w:val="clear" w:color="auto" w:fill="CCFFC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540" w:type="dxa"/>
            <w:vAlign w:val="bottom"/>
            <w:vMerge w:val="restart"/>
          </w:tcPr>
          <w:p>
            <w:pPr>
              <w:jc w:val="right"/>
              <w:ind w:right="19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2" w:right="239" w:bottom="1440" w:gutter="0" w:footer="0" w:header="0"/>
        </w:sectPr>
      </w:pPr>
    </w:p>
    <w:bookmarkStart w:id="47" w:name="page48"/>
    <w:bookmarkEnd w:id="47"/>
    <w:p>
      <w:pPr>
        <w:ind w:left="340"/>
        <w:spacing w:after="0"/>
        <w:rPr>
          <w:sz w:val="20"/>
          <w:szCs w:val="20"/>
          <w:color w:val="auto"/>
        </w:rPr>
      </w:pPr>
      <w:r>
        <w:rPr>
          <w:rFonts w:ascii="Arial" w:cs="Arial" w:eastAsia="Arial" w:hAnsi="Arial"/>
          <w:sz w:val="18"/>
          <w:szCs w:val="18"/>
          <w:color w:val="auto"/>
        </w:rPr>
        <w:t>The amounts, ratings and interest rates (expressed as a spread to LIBOR) of the Class A-1, B-1, C-1, and D-1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Class A-1 Notes</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Class B-1 Notes</w:t>
            </w:r>
          </w:p>
        </w:tc>
        <w:tc>
          <w:tcPr>
            <w:tcW w:w="1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 C-1 Notes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Class D-1 Notes</w:t>
            </w:r>
          </w:p>
        </w:tc>
      </w:tr>
      <w:tr>
        <w:trPr>
          <w:trHeight w:val="123"/>
        </w:trPr>
        <w:tc>
          <w:tcPr>
            <w:tcW w:w="196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86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184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840" w:type="dxa"/>
            <w:vAlign w:val="bottom"/>
            <w:tcBorders>
              <w:top w:val="single" w:sz="8" w:color="auto"/>
            </w:tcBorders>
            <w:shd w:val="clear" w:color="auto" w:fill="CCFFCC"/>
          </w:tcPr>
          <w:p>
            <w:pPr>
              <w:jc w:val="center"/>
              <w:spacing w:after="0" w:line="123" w:lineRule="exact"/>
              <w:rPr>
                <w:sz w:val="20"/>
                <w:szCs w:val="20"/>
                <w:color w:val="auto"/>
              </w:rPr>
            </w:pPr>
            <w:r>
              <w:rPr>
                <w:rFonts w:ascii="Arial" w:cs="Arial" w:eastAsia="Arial" w:hAnsi="Arial"/>
                <w:sz w:val="14"/>
                <w:szCs w:val="14"/>
                <w:color w:val="auto"/>
                <w:w w:val="93"/>
              </w:rPr>
              <w:t>Secured Deferrable Floating</w:t>
            </w:r>
          </w:p>
        </w:tc>
        <w:tc>
          <w:tcPr>
            <w:tcW w:w="80" w:type="dxa"/>
            <w:vAlign w:val="bottom"/>
            <w:tcBorders>
              <w:top w:val="single" w:sz="8" w:color="CCFFCC"/>
            </w:tcBorders>
            <w:shd w:val="clear" w:color="auto" w:fill="CCFFCC"/>
          </w:tcPr>
          <w:p>
            <w:pPr>
              <w:spacing w:after="0"/>
              <w:rPr>
                <w:sz w:val="10"/>
                <w:szCs w:val="10"/>
                <w:color w:val="auto"/>
              </w:rPr>
            </w:pPr>
          </w:p>
        </w:tc>
        <w:tc>
          <w:tcPr>
            <w:tcW w:w="1840" w:type="dxa"/>
            <w:vAlign w:val="bottom"/>
            <w:tcBorders>
              <w:top w:val="single" w:sz="8" w:color="auto"/>
            </w:tcBorders>
            <w:shd w:val="clear" w:color="auto" w:fill="CCFFCC"/>
          </w:tcPr>
          <w:p>
            <w:pPr>
              <w:jc w:val="center"/>
              <w:spacing w:after="0" w:line="123" w:lineRule="exact"/>
              <w:rPr>
                <w:sz w:val="20"/>
                <w:szCs w:val="20"/>
                <w:color w:val="auto"/>
              </w:rPr>
            </w:pPr>
            <w:r>
              <w:rPr>
                <w:rFonts w:ascii="Arial" w:cs="Arial" w:eastAsia="Arial" w:hAnsi="Arial"/>
                <w:sz w:val="14"/>
                <w:szCs w:val="14"/>
                <w:color w:val="auto"/>
                <w:w w:val="92"/>
              </w:rPr>
              <w:t>Secured Deferrable Floating</w:t>
            </w:r>
          </w:p>
        </w:tc>
      </w:tr>
      <w:tr>
        <w:trPr>
          <w:trHeight w:val="167"/>
        </w:trPr>
        <w:tc>
          <w:tcPr>
            <w:tcW w:w="20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Type</w:t>
            </w:r>
          </w:p>
        </w:tc>
        <w:tc>
          <w:tcPr>
            <w:tcW w:w="1940" w:type="dxa"/>
            <w:vAlign w:val="bottom"/>
            <w:gridSpan w:val="2"/>
            <w:shd w:val="clear" w:color="auto" w:fill="CCFFCC"/>
          </w:tcPr>
          <w:p>
            <w:pPr>
              <w:jc w:val="center"/>
              <w:ind w:right="80"/>
              <w:spacing w:after="0"/>
              <w:rPr>
                <w:sz w:val="20"/>
                <w:szCs w:val="20"/>
                <w:color w:val="auto"/>
              </w:rPr>
            </w:pPr>
            <w:r>
              <w:rPr>
                <w:rFonts w:ascii="Arial" w:cs="Arial" w:eastAsia="Arial" w:hAnsi="Arial"/>
                <w:sz w:val="14"/>
                <w:szCs w:val="14"/>
                <w:color w:val="auto"/>
                <w:w w:val="92"/>
              </w:rPr>
              <w:t>Senior Secured Floating Rate</w:t>
            </w:r>
          </w:p>
        </w:tc>
        <w:tc>
          <w:tcPr>
            <w:tcW w:w="1940" w:type="dxa"/>
            <w:vAlign w:val="bottom"/>
            <w:gridSpan w:val="2"/>
            <w:shd w:val="clear" w:color="auto" w:fill="CCFFCC"/>
          </w:tcPr>
          <w:p>
            <w:pPr>
              <w:jc w:val="center"/>
              <w:ind w:right="100"/>
              <w:spacing w:after="0"/>
              <w:rPr>
                <w:sz w:val="20"/>
                <w:szCs w:val="20"/>
                <w:color w:val="auto"/>
              </w:rPr>
            </w:pPr>
            <w:r>
              <w:rPr>
                <w:rFonts w:ascii="Arial" w:cs="Arial" w:eastAsia="Arial" w:hAnsi="Arial"/>
                <w:sz w:val="14"/>
                <w:szCs w:val="14"/>
                <w:color w:val="auto"/>
                <w:w w:val="91"/>
              </w:rPr>
              <w:t>Senior Secured Floating Rate</w:t>
            </w:r>
          </w:p>
        </w:tc>
        <w:tc>
          <w:tcPr>
            <w:tcW w:w="1920" w:type="dxa"/>
            <w:vAlign w:val="bottom"/>
            <w:gridSpan w:val="2"/>
            <w:shd w:val="clear" w:color="auto" w:fill="CCFFCC"/>
          </w:tcPr>
          <w:p>
            <w:pPr>
              <w:jc w:val="center"/>
              <w:ind w:right="100"/>
              <w:spacing w:after="0"/>
              <w:rPr>
                <w:sz w:val="20"/>
                <w:szCs w:val="20"/>
                <w:color w:val="auto"/>
              </w:rPr>
            </w:pPr>
            <w:r>
              <w:rPr>
                <w:rFonts w:ascii="Arial" w:cs="Arial" w:eastAsia="Arial" w:hAnsi="Arial"/>
                <w:sz w:val="14"/>
                <w:szCs w:val="14"/>
                <w:color w:val="auto"/>
                <w:w w:val="87"/>
              </w:rPr>
              <w:t>Rate</w:t>
            </w:r>
          </w:p>
        </w:tc>
        <w:tc>
          <w:tcPr>
            <w:tcW w:w="184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87"/>
              </w:rPr>
              <w:t>Rate</w:t>
            </w: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Amount Outstanding</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2"/>
              </w:rPr>
              <w:t>$ 77,250,000</w:t>
            </w:r>
          </w:p>
        </w:tc>
        <w:tc>
          <w:tcPr>
            <w:tcW w:w="80" w:type="dxa"/>
            <w:vAlign w:val="bottom"/>
          </w:tcPr>
          <w:p>
            <w:pPr>
              <w:spacing w:after="0"/>
              <w:rPr>
                <w:sz w:val="12"/>
                <w:szCs w:val="12"/>
                <w:color w:val="auto"/>
              </w:rPr>
            </w:pPr>
          </w:p>
        </w:tc>
        <w:tc>
          <w:tcPr>
            <w:tcW w:w="184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$9,000,000</w:t>
            </w:r>
          </w:p>
        </w:tc>
        <w:tc>
          <w:tcPr>
            <w:tcW w:w="100" w:type="dxa"/>
            <w:vAlign w:val="bottom"/>
          </w:tcPr>
          <w:p>
            <w:pPr>
              <w:spacing w:after="0"/>
              <w:rPr>
                <w:sz w:val="12"/>
                <w:szCs w:val="12"/>
                <w:color w:val="auto"/>
              </w:rPr>
            </w:pPr>
          </w:p>
        </w:tc>
        <w:tc>
          <w:tcPr>
            <w:tcW w:w="184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$10,000,000</w:t>
            </w:r>
          </w:p>
        </w:tc>
        <w:tc>
          <w:tcPr>
            <w:tcW w:w="80" w:type="dxa"/>
            <w:vAlign w:val="bottom"/>
          </w:tcPr>
          <w:p>
            <w:pPr>
              <w:spacing w:after="0"/>
              <w:rPr>
                <w:sz w:val="12"/>
                <w:szCs w:val="12"/>
                <w:color w:val="auto"/>
              </w:rPr>
            </w:pPr>
          </w:p>
        </w:tc>
        <w:tc>
          <w:tcPr>
            <w:tcW w:w="1840" w:type="dxa"/>
            <w:vAlign w:val="bottom"/>
          </w:tcPr>
          <w:p>
            <w:pPr>
              <w:jc w:val="right"/>
              <w:ind w:right="508"/>
              <w:spacing w:after="0" w:line="149" w:lineRule="exact"/>
              <w:rPr>
                <w:sz w:val="20"/>
                <w:szCs w:val="20"/>
                <w:color w:val="auto"/>
              </w:rPr>
            </w:pPr>
            <w:r>
              <w:rPr>
                <w:rFonts w:ascii="Arial" w:cs="Arial" w:eastAsia="Arial" w:hAnsi="Arial"/>
                <w:sz w:val="14"/>
                <w:szCs w:val="14"/>
                <w:color w:val="auto"/>
              </w:rPr>
              <w:t>$9,000,000</w:t>
            </w:r>
          </w:p>
        </w:tc>
      </w:tr>
      <w:tr>
        <w:trPr>
          <w:trHeight w:val="149"/>
        </w:trPr>
        <w:tc>
          <w:tcPr>
            <w:tcW w:w="20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Moody's Rating (</w:t>
            </w:r>
            <w:r>
              <w:rPr>
                <w:rFonts w:ascii="Arial" w:cs="Arial" w:eastAsia="Arial" w:hAnsi="Arial"/>
                <w:sz w:val="14"/>
                <w:szCs w:val="14"/>
                <w:i w:val="1"/>
                <w:iCs w:val="1"/>
                <w:color w:val="auto"/>
              </w:rPr>
              <w:t>sf</w:t>
            </w:r>
            <w:r>
              <w:rPr>
                <w:rFonts w:ascii="Arial" w:cs="Arial" w:eastAsia="Arial" w:hAnsi="Arial"/>
                <w:sz w:val="14"/>
                <w:szCs w:val="14"/>
                <w:color w:val="auto"/>
              </w:rPr>
              <w:t>)</w:t>
            </w:r>
          </w:p>
        </w:tc>
        <w:tc>
          <w:tcPr>
            <w:tcW w:w="1940" w:type="dxa"/>
            <w:vAlign w:val="bottom"/>
            <w:gridSpan w:val="2"/>
            <w:shd w:val="clear" w:color="auto" w:fill="CCFFCC"/>
          </w:tcPr>
          <w:p>
            <w:pPr>
              <w:jc w:val="center"/>
              <w:ind w:right="80"/>
              <w:spacing w:after="0" w:line="149" w:lineRule="exact"/>
              <w:rPr>
                <w:sz w:val="20"/>
                <w:szCs w:val="20"/>
                <w:color w:val="auto"/>
              </w:rPr>
            </w:pPr>
            <w:r>
              <w:rPr>
                <w:rFonts w:ascii="Arial" w:cs="Arial" w:eastAsia="Arial" w:hAnsi="Arial"/>
                <w:sz w:val="14"/>
                <w:szCs w:val="14"/>
                <w:color w:val="auto"/>
                <w:w w:val="97"/>
              </w:rPr>
              <w:t>"Aaa"</w:t>
            </w:r>
          </w:p>
        </w:tc>
        <w:tc>
          <w:tcPr>
            <w:tcW w:w="1940" w:type="dxa"/>
            <w:vAlign w:val="bottom"/>
            <w:gridSpan w:val="2"/>
            <w:shd w:val="clear" w:color="auto" w:fill="CCFFCC"/>
          </w:tcPr>
          <w:p>
            <w:pPr>
              <w:jc w:val="center"/>
              <w:ind w:right="100"/>
              <w:spacing w:after="0" w:line="149" w:lineRule="exact"/>
              <w:rPr>
                <w:sz w:val="20"/>
                <w:szCs w:val="20"/>
                <w:color w:val="auto"/>
              </w:rPr>
            </w:pPr>
            <w:r>
              <w:rPr>
                <w:rFonts w:ascii="Arial" w:cs="Arial" w:eastAsia="Arial" w:hAnsi="Arial"/>
                <w:sz w:val="14"/>
                <w:szCs w:val="14"/>
                <w:color w:val="auto"/>
              </w:rPr>
              <w:t>"Aa2"</w:t>
            </w:r>
          </w:p>
        </w:tc>
        <w:tc>
          <w:tcPr>
            <w:tcW w:w="1920" w:type="dxa"/>
            <w:vAlign w:val="bottom"/>
            <w:gridSpan w:val="2"/>
            <w:shd w:val="clear" w:color="auto" w:fill="CCFFCC"/>
          </w:tcPr>
          <w:p>
            <w:pPr>
              <w:jc w:val="center"/>
              <w:ind w:right="100"/>
              <w:spacing w:after="0" w:line="149" w:lineRule="exact"/>
              <w:rPr>
                <w:sz w:val="20"/>
                <w:szCs w:val="20"/>
                <w:color w:val="auto"/>
              </w:rPr>
            </w:pPr>
            <w:r>
              <w:rPr>
                <w:rFonts w:ascii="Arial" w:cs="Arial" w:eastAsia="Arial" w:hAnsi="Arial"/>
                <w:sz w:val="14"/>
                <w:szCs w:val="14"/>
                <w:color w:val="auto"/>
              </w:rPr>
              <w:t>"A2"</w:t>
            </w:r>
          </w:p>
        </w:tc>
        <w:tc>
          <w:tcPr>
            <w:tcW w:w="184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8"/>
              </w:rPr>
              <w:t>"Baa2"</w:t>
            </w:r>
          </w:p>
        </w:tc>
      </w:tr>
      <w:tr>
        <w:trPr>
          <w:trHeight w:val="130"/>
        </w:trPr>
        <w:tc>
          <w:tcPr>
            <w:tcW w:w="2060" w:type="dxa"/>
            <w:vAlign w:val="bottom"/>
            <w:gridSpan w:val="2"/>
          </w:tcPr>
          <w:p>
            <w:pPr>
              <w:spacing w:after="0" w:line="130" w:lineRule="exact"/>
              <w:rPr>
                <w:sz w:val="20"/>
                <w:szCs w:val="20"/>
                <w:color w:val="auto"/>
              </w:rPr>
            </w:pPr>
            <w:r>
              <w:rPr>
                <w:rFonts w:ascii="Arial" w:cs="Arial" w:eastAsia="Arial" w:hAnsi="Arial"/>
                <w:sz w:val="14"/>
                <w:szCs w:val="14"/>
                <w:color w:val="auto"/>
              </w:rPr>
              <w:t>Standard &amp;amp; Poor's Rating</w:t>
            </w: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r>
      <w:tr>
        <w:trPr>
          <w:trHeight w:val="167"/>
        </w:trPr>
        <w:tc>
          <w:tcPr>
            <w:tcW w:w="206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sf</w:t>
            </w:r>
            <w:r>
              <w:rPr>
                <w:rFonts w:ascii="Arial" w:cs="Arial" w:eastAsia="Arial" w:hAnsi="Arial"/>
                <w:sz w:val="14"/>
                <w:szCs w:val="14"/>
                <w:color w:val="auto"/>
              </w:rPr>
              <w:t>)</w:t>
            </w:r>
          </w:p>
        </w:tc>
        <w:tc>
          <w:tcPr>
            <w:tcW w:w="1940" w:type="dxa"/>
            <w:vAlign w:val="bottom"/>
            <w:gridSpan w:val="2"/>
          </w:tcPr>
          <w:p>
            <w:pPr>
              <w:jc w:val="center"/>
              <w:ind w:right="80"/>
              <w:spacing w:after="0"/>
              <w:rPr>
                <w:sz w:val="20"/>
                <w:szCs w:val="20"/>
                <w:color w:val="auto"/>
              </w:rPr>
            </w:pPr>
            <w:r>
              <w:rPr>
                <w:rFonts w:ascii="Arial" w:cs="Arial" w:eastAsia="Arial" w:hAnsi="Arial"/>
                <w:sz w:val="14"/>
                <w:szCs w:val="14"/>
                <w:color w:val="auto"/>
              </w:rPr>
              <w:t>"AAA"</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color w:val="auto"/>
              </w:rPr>
              <w:t>"AA"</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color w:val="auto"/>
              </w:rPr>
              <w:t>"A"</w:t>
            </w:r>
          </w:p>
        </w:tc>
        <w:tc>
          <w:tcPr>
            <w:tcW w:w="1840" w:type="dxa"/>
            <w:vAlign w:val="bottom"/>
          </w:tcPr>
          <w:p>
            <w:pPr>
              <w:jc w:val="center"/>
              <w:spacing w:after="0"/>
              <w:rPr>
                <w:sz w:val="20"/>
                <w:szCs w:val="20"/>
                <w:color w:val="auto"/>
              </w:rPr>
            </w:pPr>
            <w:r>
              <w:rPr>
                <w:rFonts w:ascii="Arial" w:cs="Arial" w:eastAsia="Arial" w:hAnsi="Arial"/>
                <w:sz w:val="14"/>
                <w:szCs w:val="14"/>
                <w:color w:val="auto"/>
              </w:rPr>
              <w:t>"BBB"</w:t>
            </w:r>
          </w:p>
        </w:tc>
      </w:tr>
      <w:tr>
        <w:trPr>
          <w:trHeight w:val="149"/>
        </w:trPr>
        <w:tc>
          <w:tcPr>
            <w:tcW w:w="20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Interest Rate</w:t>
            </w:r>
          </w:p>
        </w:tc>
        <w:tc>
          <w:tcPr>
            <w:tcW w:w="1940" w:type="dxa"/>
            <w:vAlign w:val="bottom"/>
            <w:gridSpan w:val="2"/>
            <w:shd w:val="clear" w:color="auto" w:fill="CCFFCC"/>
          </w:tcPr>
          <w:p>
            <w:pPr>
              <w:jc w:val="center"/>
              <w:ind w:right="100"/>
              <w:spacing w:after="0" w:line="149" w:lineRule="exact"/>
              <w:rPr>
                <w:sz w:val="20"/>
                <w:szCs w:val="20"/>
                <w:color w:val="auto"/>
              </w:rPr>
            </w:pPr>
            <w:r>
              <w:rPr>
                <w:rFonts w:ascii="Arial" w:cs="Arial" w:eastAsia="Arial" w:hAnsi="Arial"/>
                <w:sz w:val="14"/>
                <w:szCs w:val="14"/>
                <w:color w:val="auto"/>
                <w:w w:val="98"/>
              </w:rPr>
              <w:t>LIBOR + 1.50 %</w:t>
            </w:r>
          </w:p>
        </w:tc>
        <w:tc>
          <w:tcPr>
            <w:tcW w:w="1940" w:type="dxa"/>
            <w:vAlign w:val="bottom"/>
            <w:gridSpan w:val="2"/>
            <w:shd w:val="clear" w:color="auto" w:fill="CCFFCC"/>
          </w:tcPr>
          <w:p>
            <w:pPr>
              <w:jc w:val="center"/>
              <w:ind w:right="100"/>
              <w:spacing w:after="0" w:line="149" w:lineRule="exact"/>
              <w:rPr>
                <w:sz w:val="20"/>
                <w:szCs w:val="20"/>
                <w:color w:val="auto"/>
              </w:rPr>
            </w:pPr>
            <w:r>
              <w:rPr>
                <w:rFonts w:ascii="Arial" w:cs="Arial" w:eastAsia="Arial" w:hAnsi="Arial"/>
                <w:sz w:val="14"/>
                <w:szCs w:val="14"/>
                <w:color w:val="auto"/>
                <w:w w:val="98"/>
              </w:rPr>
              <w:t>LIBOR + 3.25 %</w:t>
            </w:r>
          </w:p>
        </w:tc>
        <w:tc>
          <w:tcPr>
            <w:tcW w:w="1920" w:type="dxa"/>
            <w:vAlign w:val="bottom"/>
            <w:gridSpan w:val="2"/>
            <w:shd w:val="clear" w:color="auto" w:fill="CCFFCC"/>
          </w:tcPr>
          <w:p>
            <w:pPr>
              <w:jc w:val="center"/>
              <w:ind w:right="80"/>
              <w:spacing w:after="0" w:line="149" w:lineRule="exact"/>
              <w:rPr>
                <w:sz w:val="20"/>
                <w:szCs w:val="20"/>
                <w:color w:val="auto"/>
              </w:rPr>
            </w:pPr>
            <w:r>
              <w:rPr>
                <w:rFonts w:ascii="Arial" w:cs="Arial" w:eastAsia="Arial" w:hAnsi="Arial"/>
                <w:sz w:val="14"/>
                <w:szCs w:val="14"/>
                <w:color w:val="auto"/>
                <w:w w:val="98"/>
              </w:rPr>
              <w:t>LIBOR + 4.25 %</w:t>
            </w:r>
          </w:p>
        </w:tc>
        <w:tc>
          <w:tcPr>
            <w:tcW w:w="184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6"/>
              </w:rPr>
              <w:t>LIBOR + 5.25 %</w:t>
            </w: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Stated Maturity</w:t>
            </w:r>
          </w:p>
        </w:tc>
        <w:tc>
          <w:tcPr>
            <w:tcW w:w="19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July, 2024</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July, 2024</w:t>
            </w:r>
          </w:p>
        </w:tc>
        <w:tc>
          <w:tcPr>
            <w:tcW w:w="19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July, 2024</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0"/>
              </w:rPr>
              <w:t>July, 2024</w:t>
            </w:r>
          </w:p>
        </w:tc>
      </w:tr>
      <w:tr>
        <w:trPr>
          <w:trHeight w:val="130"/>
        </w:trPr>
        <w:tc>
          <w:tcPr>
            <w:tcW w:w="19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940" w:type="dxa"/>
            <w:vAlign w:val="bottom"/>
            <w:gridSpan w:val="2"/>
            <w:shd w:val="clear" w:color="auto" w:fill="CCFFCC"/>
          </w:tcPr>
          <w:p>
            <w:pPr>
              <w:jc w:val="center"/>
              <w:ind w:right="100"/>
              <w:spacing w:after="0" w:line="130" w:lineRule="exact"/>
              <w:rPr>
                <w:sz w:val="20"/>
                <w:szCs w:val="20"/>
                <w:color w:val="auto"/>
              </w:rPr>
            </w:pPr>
            <w:r>
              <w:rPr>
                <w:rFonts w:ascii="Arial" w:cs="Arial" w:eastAsia="Arial" w:hAnsi="Arial"/>
                <w:sz w:val="14"/>
                <w:szCs w:val="14"/>
                <w:color w:val="auto"/>
                <w:w w:val="96"/>
              </w:rPr>
              <w:t>B-1, C-1, D-1</w:t>
            </w:r>
          </w:p>
        </w:tc>
        <w:tc>
          <w:tcPr>
            <w:tcW w:w="1940" w:type="dxa"/>
            <w:vAlign w:val="bottom"/>
            <w:gridSpan w:val="2"/>
            <w:shd w:val="clear" w:color="auto" w:fill="CCFFCC"/>
          </w:tcPr>
          <w:p>
            <w:pPr>
              <w:jc w:val="center"/>
              <w:ind w:right="120"/>
              <w:spacing w:after="0" w:line="130" w:lineRule="exact"/>
              <w:rPr>
                <w:sz w:val="20"/>
                <w:szCs w:val="20"/>
                <w:color w:val="auto"/>
              </w:rPr>
            </w:pPr>
            <w:r>
              <w:rPr>
                <w:rFonts w:ascii="Arial" w:cs="Arial" w:eastAsia="Arial" w:hAnsi="Arial"/>
                <w:sz w:val="14"/>
                <w:szCs w:val="14"/>
                <w:color w:val="auto"/>
                <w:w w:val="94"/>
              </w:rPr>
              <w:t>C-1, D-1</w:t>
            </w:r>
          </w:p>
        </w:tc>
        <w:tc>
          <w:tcPr>
            <w:tcW w:w="1920" w:type="dxa"/>
            <w:vAlign w:val="bottom"/>
            <w:gridSpan w:val="2"/>
            <w:shd w:val="clear" w:color="auto" w:fill="CCFFCC"/>
          </w:tcPr>
          <w:p>
            <w:pPr>
              <w:jc w:val="center"/>
              <w:ind w:right="120"/>
              <w:spacing w:after="0" w:line="130" w:lineRule="exact"/>
              <w:rPr>
                <w:sz w:val="20"/>
                <w:szCs w:val="20"/>
                <w:color w:val="auto"/>
              </w:rPr>
            </w:pPr>
            <w:r>
              <w:rPr>
                <w:rFonts w:ascii="Arial" w:cs="Arial" w:eastAsia="Arial" w:hAnsi="Arial"/>
                <w:sz w:val="14"/>
                <w:szCs w:val="14"/>
                <w:color w:val="auto"/>
                <w:w w:val="96"/>
              </w:rPr>
              <w:t>D-1 and</w:t>
            </w:r>
          </w:p>
        </w:tc>
        <w:tc>
          <w:tcPr>
            <w:tcW w:w="1840" w:type="dxa"/>
            <w:vAlign w:val="bottom"/>
            <w:shd w:val="clear" w:color="auto" w:fill="CCFFCC"/>
          </w:tcPr>
          <w:p>
            <w:pPr>
              <w:spacing w:after="0"/>
              <w:rPr>
                <w:sz w:val="11"/>
                <w:szCs w:val="11"/>
                <w:color w:val="auto"/>
              </w:rPr>
            </w:pPr>
          </w:p>
        </w:tc>
      </w:tr>
      <w:tr>
        <w:trPr>
          <w:trHeight w:val="167"/>
        </w:trPr>
        <w:tc>
          <w:tcPr>
            <w:tcW w:w="20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Junior Classes</w:t>
            </w:r>
          </w:p>
        </w:tc>
        <w:tc>
          <w:tcPr>
            <w:tcW w:w="1940" w:type="dxa"/>
            <w:vAlign w:val="bottom"/>
            <w:gridSpan w:val="2"/>
            <w:shd w:val="clear" w:color="auto" w:fill="CCFFCC"/>
          </w:tcPr>
          <w:p>
            <w:pPr>
              <w:jc w:val="center"/>
              <w:ind w:right="80"/>
              <w:spacing w:after="0"/>
              <w:rPr>
                <w:sz w:val="20"/>
                <w:szCs w:val="20"/>
                <w:color w:val="auto"/>
              </w:rPr>
            </w:pPr>
            <w:r>
              <w:rPr>
                <w:rFonts w:ascii="Arial" w:cs="Arial" w:eastAsia="Arial" w:hAnsi="Arial"/>
                <w:sz w:val="14"/>
                <w:szCs w:val="14"/>
                <w:color w:val="auto"/>
                <w:w w:val="92"/>
              </w:rPr>
              <w:t>and Subordinated</w:t>
            </w:r>
          </w:p>
        </w:tc>
        <w:tc>
          <w:tcPr>
            <w:tcW w:w="1940" w:type="dxa"/>
            <w:vAlign w:val="bottom"/>
            <w:gridSpan w:val="2"/>
            <w:shd w:val="clear" w:color="auto" w:fill="CCFFCC"/>
          </w:tcPr>
          <w:p>
            <w:pPr>
              <w:jc w:val="center"/>
              <w:ind w:right="100"/>
              <w:spacing w:after="0"/>
              <w:rPr>
                <w:sz w:val="20"/>
                <w:szCs w:val="20"/>
                <w:color w:val="auto"/>
              </w:rPr>
            </w:pPr>
            <w:r>
              <w:rPr>
                <w:rFonts w:ascii="Arial" w:cs="Arial" w:eastAsia="Arial" w:hAnsi="Arial"/>
                <w:sz w:val="14"/>
                <w:szCs w:val="14"/>
                <w:color w:val="auto"/>
                <w:w w:val="90"/>
              </w:rPr>
              <w:t>and Subordinated</w:t>
            </w:r>
          </w:p>
        </w:tc>
        <w:tc>
          <w:tcPr>
            <w:tcW w:w="1920" w:type="dxa"/>
            <w:vAlign w:val="bottom"/>
            <w:gridSpan w:val="2"/>
            <w:shd w:val="clear" w:color="auto" w:fill="CCFFCC"/>
          </w:tcPr>
          <w:p>
            <w:pPr>
              <w:jc w:val="center"/>
              <w:ind w:right="80"/>
              <w:spacing w:after="0"/>
              <w:rPr>
                <w:sz w:val="20"/>
                <w:szCs w:val="20"/>
                <w:color w:val="auto"/>
              </w:rPr>
            </w:pPr>
            <w:r>
              <w:rPr>
                <w:rFonts w:ascii="Arial" w:cs="Arial" w:eastAsia="Arial" w:hAnsi="Arial"/>
                <w:sz w:val="14"/>
                <w:szCs w:val="14"/>
                <w:color w:val="auto"/>
                <w:w w:val="91"/>
              </w:rPr>
              <w:t>Subordinated</w:t>
            </w:r>
          </w:p>
        </w:tc>
        <w:tc>
          <w:tcPr>
            <w:tcW w:w="184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3"/>
              </w:rPr>
              <w:t>Subordinated</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outstanding principal amounts, carrying values and fair values of the Class A-1, B-1, C-1 and D-1 Notes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 2013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Principal Amount</w:t>
            </w:r>
          </w:p>
        </w:tc>
        <w:tc>
          <w:tcPr>
            <w:tcW w:w="140" w:type="dxa"/>
            <w:vAlign w:val="bottom"/>
          </w:tcPr>
          <w:p>
            <w:pPr>
              <w:spacing w:after="0"/>
              <w:rPr>
                <w:sz w:val="19"/>
                <w:szCs w:val="19"/>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Carrying Value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KCAP Senior Funding LLC Class A-1 Notes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77,250,000</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75,056,666</w:t>
            </w:r>
          </w:p>
        </w:tc>
        <w:tc>
          <w:tcPr>
            <w:tcW w:w="320" w:type="dxa"/>
            <w:vAlign w:val="bottom"/>
            <w:gridSpan w:val="2"/>
            <w:shd w:val="clear" w:color="auto" w:fill="CCFFCC"/>
          </w:tcPr>
          <w:p>
            <w:pPr>
              <w:jc w:val="right"/>
              <w:ind w:right="6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75,056,666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KCAP Senior Funding LLC Class B-1 Notes</w:t>
            </w:r>
          </w:p>
        </w:tc>
        <w:tc>
          <w:tcPr>
            <w:tcW w:w="1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9,000,000</w:t>
            </w: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8,678,336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8,678,336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KCAP Senior Funding LLC Class C-1 Notes</w:t>
            </w:r>
          </w:p>
        </w:tc>
        <w:tc>
          <w:tcPr>
            <w:tcW w:w="10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10,000,000</w:t>
            </w:r>
          </w:p>
        </w:tc>
        <w:tc>
          <w:tcPr>
            <w:tcW w:w="14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9,586,630</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9,586,630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KCAP Senior Funding LLC Class D-1 Notes</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9,000,000</w:t>
            </w:r>
          </w:p>
        </w:tc>
        <w:tc>
          <w:tcPr>
            <w:tcW w:w="1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8,632,894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8,632,894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105,250,000</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101,954,526</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101,954,526</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DISTRIBUTABLE TAXABLE INCOME</w:t>
      </w:r>
    </w:p>
    <w:p>
      <w:pPr>
        <w:spacing w:after="0" w:line="229" w:lineRule="exact"/>
        <w:rPr>
          <w:sz w:val="20"/>
          <w:szCs w:val="20"/>
          <w:color w:val="auto"/>
        </w:rPr>
      </w:pPr>
    </w:p>
    <w:p>
      <w:pPr>
        <w:ind w:firstLine="414"/>
        <w:spacing w:after="0" w:line="290" w:lineRule="auto"/>
        <w:rPr>
          <w:sz w:val="20"/>
          <w:szCs w:val="20"/>
          <w:color w:val="auto"/>
        </w:rPr>
      </w:pPr>
      <w:r>
        <w:rPr>
          <w:rFonts w:ascii="Arial" w:cs="Arial" w:eastAsia="Arial" w:hAnsi="Arial"/>
          <w:sz w:val="16"/>
          <w:szCs w:val="16"/>
          <w:color w:val="auto"/>
        </w:rPr>
        <w:t>Effective December 11, 2006, the Company elected to be treated as a RIC under the Code and adopted a December 31 calendar year end. As a RIC, the Company is not subject to federal income tax on the portion of its taxable income and gains distributed currently to its stockholders as a dividend. The Company’s quarterly dividends, if any, are determined by the Board of Directors. The Company anticipates distributing at least 90%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2013). Depending on the level of taxable income earned in a tax year, the Company may choose to carry forward taxable income in excess of current year distributions into the next tax year and pay a 4% excise tax on such income, to the extent required. The Company anticipates timely distribution of its taxable income within the tax rules, and the Company anticipates that it will not incur a US federal excise tax for the calendar year 2013.</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 for the six months ended June 30,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 2013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FFCC"/>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15,742,105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Net change in unrealized (appreciation) depreciation from investments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3,859,701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FFCC"/>
          </w:tcPr>
          <w:p>
            <w:pPr>
              <w:spacing w:after="0"/>
              <w:rPr>
                <w:sz w:val="20"/>
                <w:szCs w:val="20"/>
                <w:color w:val="auto"/>
              </w:rPr>
            </w:pPr>
            <w:r>
              <w:rPr>
                <w:rFonts w:ascii="Arial" w:cs="Arial" w:eastAsia="Arial" w:hAnsi="Arial"/>
                <w:sz w:val="18"/>
                <w:szCs w:val="18"/>
                <w:color w:val="auto"/>
              </w:rPr>
              <w:t>Excess capital losses over capital gains</w:t>
            </w:r>
          </w:p>
        </w:tc>
        <w:tc>
          <w:tcPr>
            <w:tcW w:w="9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(1,645,466)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Income not on GAAP books currently taxable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93,323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FFCC"/>
          </w:tcPr>
          <w:p>
            <w:pPr>
              <w:spacing w:after="0"/>
              <w:rPr>
                <w:sz w:val="20"/>
                <w:szCs w:val="20"/>
                <w:color w:val="auto"/>
              </w:rPr>
            </w:pPr>
            <w:r>
              <w:rPr>
                <w:rFonts w:ascii="Arial" w:cs="Arial" w:eastAsia="Arial" w:hAnsi="Arial"/>
                <w:sz w:val="18"/>
                <w:szCs w:val="18"/>
                <w:color w:val="auto"/>
              </w:rPr>
              <w:t>Income not currently taxable</w:t>
            </w:r>
          </w:p>
        </w:tc>
        <w:tc>
          <w:tcPr>
            <w:tcW w:w="9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(36,720)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Expenses not currently deductible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40,609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7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Taxable income before deductions for distributions</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18,053,552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80" w:type="dxa"/>
            <w:vAlign w:val="bottom"/>
            <w:tcBorders>
              <w:top w:val="single" w:sz="8" w:color="CCFFCC"/>
            </w:tcBorders>
            <w:shd w:val="clear" w:color="auto" w:fill="CCFFCC"/>
          </w:tcPr>
          <w:p>
            <w:pPr>
              <w:spacing w:after="0"/>
              <w:rPr>
                <w:sz w:val="17"/>
                <w:szCs w:val="17"/>
                <w:color w:val="auto"/>
              </w:rPr>
            </w:pPr>
          </w:p>
        </w:tc>
        <w:tc>
          <w:tcPr>
            <w:tcW w:w="92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740" w:type="dxa"/>
            <w:vAlign w:val="bottom"/>
            <w:tcBorders>
              <w:top w:val="single" w:sz="8" w:color="auto"/>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Taxable income before deductions for distributions per weighted average shares for the period</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quarter ended June 30, 2013, the Company declared a dividend on June 17, 2013 of $0.28 per share for a total of approximately $9.2 million. The record date was July 5, 2013 and the dividend was distributed on July 26, 2013.</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Taxable income differs from net increase (decrease) in net assets resulting from operations primarily due to: (1) unrealized appreciation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(depreciation) on investments, as investment gains and losses are not included in taxable income until they are realized; (2) amortization of discount on CLO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 securities; (3) amortization of organizational costs; (4) non-deductible expenses; (5) stock compensation expense that is not currently deductible for 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purposes; (6) excess of capital losses over capital gains; and (7) recognition of interest income on certain loans.</w:t>
      </w:r>
    </w:p>
    <w:p>
      <w:pPr>
        <w:spacing w:after="0" w:line="211" w:lineRule="exact"/>
        <w:rPr>
          <w:sz w:val="20"/>
          <w:szCs w:val="20"/>
          <w:color w:val="auto"/>
        </w:rPr>
      </w:pPr>
    </w:p>
    <w:p>
      <w:pPr>
        <w:ind w:right="240" w:firstLine="414"/>
        <w:spacing w:after="0" w:line="277" w:lineRule="auto"/>
        <w:rPr>
          <w:sz w:val="20"/>
          <w:szCs w:val="20"/>
          <w:color w:val="auto"/>
        </w:rPr>
      </w:pPr>
      <w:r>
        <w:rPr>
          <w:rFonts w:ascii="Arial" w:cs="Arial" w:eastAsia="Arial" w:hAnsi="Arial"/>
          <w:sz w:val="18"/>
          <w:szCs w:val="18"/>
          <w:color w:val="auto"/>
        </w:rPr>
        <w:t>At June 30, 2013, the Company had a net capital loss carryforward of approximately $52 million to offset net capital gains, to the extent provided by federal tax law. The capital loss carryforward will begin to expire in the tax year ending December 31, 2015.</w:t>
      </w:r>
    </w:p>
    <w:p>
      <w:pPr>
        <w:spacing w:after="0" w:line="170" w:lineRule="exact"/>
        <w:rPr>
          <w:sz w:val="20"/>
          <w:szCs w:val="20"/>
          <w:color w:val="auto"/>
        </w:rPr>
      </w:pPr>
    </w:p>
    <w:p>
      <w:pPr>
        <w:ind w:right="20" w:firstLine="414"/>
        <w:spacing w:after="0" w:line="269" w:lineRule="auto"/>
        <w:rPr>
          <w:sz w:val="20"/>
          <w:szCs w:val="20"/>
          <w:color w:val="auto"/>
        </w:rPr>
      </w:pPr>
      <w:r>
        <w:rPr>
          <w:rFonts w:ascii="Arial" w:cs="Arial" w:eastAsia="Arial" w:hAnsi="Arial"/>
          <w:sz w:val="17"/>
          <w:szCs w:val="17"/>
          <w:color w:val="auto"/>
        </w:rPr>
        <w:t>The Company adopted Financial Accounting Standards Board ASC Topic 740 Accounting for Uncertainty in Income Taxes (“ASC 740”) as of January 1, 2007.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The adoption of ASC 740 did not have an effect on the financial position or results of operations of the Company as there was no liability for unrecognized tax benefits and no change to the beginning capital of the Company. Management’s determinations regarding ASC 740 may be subject to review and adjustment at a later date based upon factors including, but not limited to, an ongoing analysis of tax laws, regulations and interpretations thereof.</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June 30, 2013, the Company had an undrawn commitment of $23 million relating to the Trimaran Credit Facility, which currently earns 50 basis point per year. As of December 31, 2012, the Company committed to make no investments in delayed draw senior secured loans.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During the six months ended June 30, 2013 and the year ended December 31, 2012, the Company issued 37,932 and 76,208 shares, respectively, of common stock under its dividend reinvestment plan. For the six months ended June 30, 2013, the Company issued 245,741 shares of restricted stock, no shares were forfeited and 5,000 shares of restricted stock were vested. For the year ended December 31, 2012, the Company issued 34,757 shares of restricted stock, 232,768 shares were forfeited and 97,071 shares vested. The total number of shares of the Company’s common stock issued and outstanding as of June 30, 2013 and December 31, 2012 was 33,298,674 and 26,470,408,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w:t>
      </w:r>
    </w:p>
    <w:p>
      <w:pPr>
        <w:spacing w:after="0" w:line="229" w:lineRule="exact"/>
        <w:rPr>
          <w:sz w:val="20"/>
          <w:szCs w:val="20"/>
          <w:color w:val="auto"/>
        </w:rPr>
      </w:pPr>
    </w:p>
    <w:p>
      <w:pPr>
        <w:ind w:right="20" w:firstLine="414"/>
        <w:spacing w:after="0" w:line="257" w:lineRule="auto"/>
        <w:rPr>
          <w:sz w:val="20"/>
          <w:szCs w:val="20"/>
          <w:color w:val="auto"/>
        </w:rPr>
      </w:pPr>
      <w:r>
        <w:rPr>
          <w:rFonts w:ascii="Arial" w:cs="Arial" w:eastAsia="Arial" w:hAnsi="Arial"/>
          <w:sz w:val="18"/>
          <w:szCs w:val="18"/>
          <w:color w:val="auto"/>
        </w:rPr>
        <w:t>During 2006 and as amended in 2008, the Company established the equity incentive plan, (“the “Plan”) and reserved 2,000,000 shares of common stock for issuance under the Plan. The purpose of the Plan is to provide officers and prospective employees of the Company with additional incentives and align the interests of its employees with those of its shareholders. Options granted under the Plan are exercisable at a price equal to the fair market value (market closing price) of the shares on the day the option is granted. Restricted stock granted under the Plan is granted at a price equal to the fair market value (market closing price) of the shares on the day such restricted stock is granted.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Information with respect to options granted, exercised and forfeited under the Plan for the period January 1, 2012 through June 30, 2013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 Average</w:t>
            </w: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3"/>
          </w:tcPr>
          <w:p>
            <w:pPr>
              <w:ind w:left="20"/>
              <w:spacing w:after="0" w:line="183" w:lineRule="exact"/>
              <w:rPr>
                <w:sz w:val="20"/>
                <w:szCs w:val="20"/>
                <w:color w:val="auto"/>
              </w:rPr>
            </w:pPr>
            <w:r>
              <w:rPr>
                <w:rFonts w:ascii="Arial" w:cs="Arial" w:eastAsia="Arial" w:hAnsi="Arial"/>
                <w:sz w:val="18"/>
                <w:szCs w:val="18"/>
                <w:b w:val="1"/>
                <w:bCs w:val="1"/>
                <w:color w:val="auto"/>
              </w:rPr>
              <w:t>Exercise Price per</w:t>
            </w:r>
          </w:p>
        </w:tc>
        <w:tc>
          <w:tcPr>
            <w:tcW w:w="1540" w:type="dxa"/>
            <w:vAlign w:val="bottom"/>
            <w:gridSpan w:val="2"/>
          </w:tcPr>
          <w:p>
            <w:pPr>
              <w:jc w:val="center"/>
              <w:ind w:right="160"/>
              <w:spacing w:after="0" w:line="183" w:lineRule="exact"/>
              <w:rPr>
                <w:sz w:val="20"/>
                <w:szCs w:val="20"/>
                <w:color w:val="auto"/>
              </w:rPr>
            </w:pPr>
            <w:r>
              <w:rPr>
                <w:rFonts w:ascii="Arial" w:cs="Arial" w:eastAsia="Arial" w:hAnsi="Arial"/>
                <w:sz w:val="18"/>
                <w:szCs w:val="18"/>
                <w:b w:val="1"/>
                <w:bCs w:val="1"/>
                <w:color w:val="auto"/>
                <w:w w:val="92"/>
              </w:rPr>
              <w:t>Remaining Term</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23"/>
                <w:szCs w:val="23"/>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Share</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23"/>
                <w:szCs w:val="23"/>
                <w:color w:val="auto"/>
              </w:rPr>
            </w:pPr>
          </w:p>
        </w:tc>
        <w:tc>
          <w:tcPr>
            <w:tcW w:w="1360" w:type="dxa"/>
            <w:vAlign w:val="bottom"/>
            <w:gridSpan w:val="3"/>
          </w:tcPr>
          <w:p>
            <w:pPr>
              <w:ind w:left="20"/>
              <w:spacing w:after="0" w:line="266" w:lineRule="exact"/>
              <w:rPr>
                <w:sz w:val="20"/>
                <w:szCs w:val="20"/>
                <w:color w:val="auto"/>
              </w:rPr>
            </w:pPr>
            <w:r>
              <w:rPr>
                <w:rFonts w:ascii="Arial" w:cs="Arial" w:eastAsia="Arial" w:hAnsi="Arial"/>
                <w:sz w:val="18"/>
                <w:szCs w:val="18"/>
                <w:b w:val="1"/>
                <w:bCs w:val="1"/>
                <w:color w:val="auto"/>
                <w:w w:val="98"/>
              </w:rPr>
              <w:t>Intrinsic Value</w:t>
            </w:r>
            <w:r>
              <w:rPr>
                <w:rFonts w:ascii="Arial" w:cs="Arial" w:eastAsia="Arial" w:hAnsi="Arial"/>
                <w:sz w:val="30"/>
                <w:szCs w:val="30"/>
                <w:color w:val="auto"/>
                <w:w w:val="98"/>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Options outstanding at January 1, 2012</w:t>
            </w: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60,000</w:t>
            </w:r>
          </w:p>
        </w:tc>
        <w:tc>
          <w:tcPr>
            <w:tcW w:w="2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Options outstanding at December 31, 2012</w:t>
            </w: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60,000</w:t>
            </w:r>
          </w:p>
        </w:tc>
        <w:tc>
          <w:tcPr>
            <w:tcW w:w="2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7.24</w:t>
            </w:r>
          </w:p>
        </w:tc>
        <w:tc>
          <w:tcPr>
            <w:tcW w:w="1540" w:type="dxa"/>
            <w:vAlign w:val="bottom"/>
            <w:tcBorders>
              <w:top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w:t>
            </w:r>
          </w:p>
        </w:tc>
        <w:tc>
          <w:tcPr>
            <w:tcW w:w="260" w:type="dxa"/>
            <w:vAlign w:val="bottom"/>
            <w:tcBorders>
              <w:top w:val="single" w:sz="8" w:color="CCFFCC"/>
            </w:tcBorders>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June 30, 2013</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FFCC"/>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7.72</w:t>
            </w:r>
          </w:p>
        </w:tc>
        <w:tc>
          <w:tcPr>
            <w:tcW w:w="1540" w:type="dxa"/>
            <w:vAlign w:val="bottom"/>
            <w:tcBorders>
              <w:top w:val="single" w:sz="8" w:color="CCFFCC"/>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w:t>
            </w:r>
          </w:p>
        </w:tc>
        <w:tc>
          <w:tcPr>
            <w:tcW w:w="260" w:type="dxa"/>
            <w:vAlign w:val="bottom"/>
            <w:tcBorders>
              <w:top w:val="single" w:sz="8" w:color="CCFFCC"/>
              <w:bottom w:val="single" w:sz="8" w:color="CCFFCC"/>
            </w:tcBorders>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FFCC"/>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235,600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Total vested at June 30, 2013</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7.72</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194" w:lineRule="auto"/>
        <w:tabs>
          <w:tab w:leader="none" w:pos="340" w:val="left"/>
        </w:tabs>
        <w:numPr>
          <w:ilvl w:val="0"/>
          <w:numId w:val="38"/>
        </w:numPr>
        <w:rPr>
          <w:rFonts w:ascii="Arial" w:cs="Arial" w:eastAsia="Arial" w:hAnsi="Arial"/>
          <w:sz w:val="30"/>
          <w:szCs w:val="30"/>
          <w:color w:val="auto"/>
          <w:vertAlign w:val="superscript"/>
        </w:rPr>
      </w:pPr>
      <w:r>
        <w:rPr>
          <w:rFonts w:ascii="Arial" w:cs="Arial" w:eastAsia="Arial" w:hAnsi="Arial"/>
          <w:sz w:val="18"/>
          <w:szCs w:val="18"/>
          <w:color w:val="auto"/>
        </w:rPr>
        <w:t>Represents the difference between the market value of shares of the Company upon exercise of the options at June 30, 2013 and the cost for the option holders to exercise the options.</w:t>
      </w:r>
    </w:p>
    <w:p>
      <w:pPr>
        <w:spacing w:after="0" w:line="202" w:lineRule="exact"/>
        <w:rPr>
          <w:sz w:val="20"/>
          <w:szCs w:val="20"/>
          <w:color w:val="auto"/>
        </w:rPr>
      </w:pPr>
    </w:p>
    <w:p>
      <w:pPr>
        <w:jc w:val="both"/>
        <w:ind w:right="100" w:firstLine="414"/>
        <w:spacing w:after="0" w:line="264"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six months ended June 30, 2013 and 2012, the Company recognized no non-cash compensation expense related to stock options. At June 30, 2013, the Company had no remaining compensation cost related to unvested stock option-based awards.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On June 13, 2008, the Company’s shareholders approved the Plan, as amended, and the Board of Directors approved the grant of awards of 100,250 shares of restricted stock to certain executive officers of the Company. On October 7, 2011 and July 22, 2010, the Board of Directors approved the grant of an additional 86,805 and 103,519 shares of restricted stock, respectively, to a certain executive officer of the Company. Such awards of restricted stock will vest as to 50% of the shares on the third anniversary of the grant date and the remaining 50% of the shares on the fourth anniversary of the grant date.</w:t>
      </w:r>
    </w:p>
    <w:p>
      <w:pPr>
        <w:spacing w:after="0" w:line="15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On June 13, 2008, the Company’s Board of Directors authorized the Company to allow employees who agree to cancel options that they hold to receive shares of the Company's common stock to receive 1 share of restricted stock for every 5 options so cancelled. The shares of restricted stock received by employees through any such transaction will vest annually generally over the remaining vesting schedule as was applicable to the cancelled options. Subsequently, employees holding options to purchase 1,295,000 shares individually entered into agreements to cancel such options and to receive 259,000 shares of restricted stock. As of June 30, 2013, 233,998 of such shares were vested and converted to common shares. The remaining 25,002 shares have been forfeited.</w:t>
      </w:r>
    </w:p>
    <w:p>
      <w:pPr>
        <w:spacing w:after="0" w:line="19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June 10, 2011, the Company’s shareholders approved the Amended and Restated Non-Employee Director Plan, and the Board of Directors approved the grant of awards of 4,000 shares of restricted stock to the non-employee directors of the Company as partial annual compensation for their services as director. Such awards of restricted stock will vest as to 50% of the shares on the grant date and the remaining 50% of the shares on the first anniversary of the grant date.</w:t>
      </w:r>
    </w:p>
    <w:p>
      <w:pPr>
        <w:spacing w:after="0" w:line="187"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On May 5, 2013, the Company’s Board of Directors approved the grant of 240,741 shares of restricted stock to the employees of the Company as partial compensation for their services. Such awards of restricted stock will vest as to 50% of the shares on the third anniversary of the grant date and the remaining 50% of the shares on the fourth anniversary of the grant date.</w:t>
      </w:r>
    </w:p>
    <w:p>
      <w:pPr>
        <w:spacing w:after="0" w:line="181"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On June 14, 2013, 5,000 shares of restricted stock were awarded to the Company’s Board of Directors. Such awards of restricted stock will vest as to 50% of the shares on the third anniversary of the grant date and the remaining 50% of the shares on the fourth anniversary of the grant date.</w:t>
      </w:r>
    </w:p>
    <w:p>
      <w:pPr>
        <w:spacing w:after="0" w:line="124"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During the six months ended June 30, 2013, 5,000 shares of restricted stock had vested. As of June 30, 2013, after giving effect to these restricted stock awards, there were 272,998 shares of restricted stock outstanding. Information with respect to restricted stock granted, exercised and forfeited under the Plan for the period January 1, 2012 through June 30, 2013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Unvested</w:t>
            </w:r>
          </w:p>
        </w:tc>
        <w:tc>
          <w:tcPr>
            <w:tcW w:w="80" w:type="dxa"/>
            <w:vAlign w:val="bottom"/>
          </w:tcPr>
          <w:p>
            <w:pPr>
              <w:spacing w:after="0"/>
              <w:rPr>
                <w:sz w:val="18"/>
                <w:szCs w:val="18"/>
                <w:color w:val="auto"/>
              </w:rPr>
            </w:pPr>
          </w:p>
        </w:tc>
        <w:tc>
          <w:tcPr>
            <w:tcW w:w="16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Weighted 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Restricted</w:t>
            </w:r>
          </w:p>
        </w:tc>
        <w:tc>
          <w:tcPr>
            <w:tcW w:w="80" w:type="dxa"/>
            <w:vAlign w:val="bottom"/>
          </w:tcPr>
          <w:p>
            <w:pPr>
              <w:spacing w:after="0"/>
              <w:rPr>
                <w:sz w:val="18"/>
                <w:szCs w:val="18"/>
                <w:color w:val="auto"/>
              </w:rPr>
            </w:pPr>
          </w:p>
        </w:tc>
        <w:tc>
          <w:tcPr>
            <w:tcW w:w="16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Exercise Price per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Unvested shares outstanding at January 01, 2012</w:t>
            </w:r>
          </w:p>
        </w:tc>
        <w:tc>
          <w:tcPr>
            <w:tcW w:w="16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327,339</w:t>
            </w: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ind w:right="15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34,757</w:t>
            </w:r>
          </w:p>
        </w:tc>
        <w:tc>
          <w:tcPr>
            <w:tcW w:w="400" w:type="dxa"/>
            <w:vAlign w:val="bottom"/>
            <w:gridSpan w:val="2"/>
          </w:tcPr>
          <w:p>
            <w:pPr>
              <w:jc w:val="right"/>
              <w:ind w:right="15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Vested</w:t>
            </w:r>
          </w:p>
        </w:tc>
        <w:tc>
          <w:tcPr>
            <w:tcW w:w="1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(97,071)</w:t>
            </w:r>
          </w:p>
        </w:tc>
        <w:tc>
          <w:tcPr>
            <w:tcW w:w="400" w:type="dxa"/>
            <w:vAlign w:val="bottom"/>
            <w:gridSpan w:val="2"/>
            <w:shd w:val="clear" w:color="auto" w:fill="CCFFCC"/>
          </w:tcPr>
          <w:p>
            <w:pPr>
              <w:jc w:val="right"/>
              <w:ind w:right="15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(232,768)</w:t>
            </w:r>
          </w:p>
        </w:tc>
        <w:tc>
          <w:tcPr>
            <w:tcW w:w="400" w:type="dxa"/>
            <w:vAlign w:val="bottom"/>
            <w:gridSpan w:val="2"/>
          </w:tcPr>
          <w:p>
            <w:pPr>
              <w:jc w:val="right"/>
              <w:ind w:right="15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Unvested shares outstanding at December 31, 2012</w:t>
            </w:r>
          </w:p>
        </w:tc>
        <w:tc>
          <w:tcPr>
            <w:tcW w:w="16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32,257</w:t>
            </w:r>
          </w:p>
        </w:tc>
        <w:tc>
          <w:tcPr>
            <w:tcW w:w="12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CCFFCC"/>
            </w:tcBorders>
            <w:gridSpan w:val="2"/>
            <w:shd w:val="clear" w:color="auto" w:fill="CCFFCC"/>
          </w:tcPr>
          <w:p>
            <w:pPr>
              <w:jc w:val="right"/>
              <w:ind w:right="155"/>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245,741</w:t>
            </w:r>
          </w:p>
        </w:tc>
        <w:tc>
          <w:tcPr>
            <w:tcW w:w="400" w:type="dxa"/>
            <w:vAlign w:val="bottom"/>
            <w:gridSpan w:val="2"/>
          </w:tcPr>
          <w:p>
            <w:pPr>
              <w:jc w:val="right"/>
              <w:ind w:right="15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Vested</w:t>
            </w:r>
          </w:p>
        </w:tc>
        <w:tc>
          <w:tcPr>
            <w:tcW w:w="1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(5,000)</w:t>
            </w:r>
          </w:p>
        </w:tc>
        <w:tc>
          <w:tcPr>
            <w:tcW w:w="400" w:type="dxa"/>
            <w:vAlign w:val="bottom"/>
            <w:gridSpan w:val="2"/>
            <w:shd w:val="clear" w:color="auto" w:fill="CCFFCC"/>
          </w:tcPr>
          <w:p>
            <w:pPr>
              <w:jc w:val="right"/>
              <w:ind w:right="15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5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June 30, 2013</w:t>
            </w:r>
          </w:p>
        </w:tc>
        <w:tc>
          <w:tcPr>
            <w:tcW w:w="16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272,998</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400" w:type="dxa"/>
            <w:vAlign w:val="bottom"/>
            <w:tcBorders>
              <w:top w:val="single" w:sz="8" w:color="CCFFCC"/>
              <w:bottom w:val="single" w:sz="8" w:color="CCFFCC"/>
            </w:tcBorders>
            <w:gridSpan w:val="2"/>
            <w:shd w:val="clear" w:color="auto" w:fill="CCFFCC"/>
          </w:tcPr>
          <w:p>
            <w:pPr>
              <w:jc w:val="right"/>
              <w:ind w:right="155"/>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FFCC"/>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Total non-vested shares at June 30, 2013</w:t>
            </w:r>
          </w:p>
        </w:tc>
        <w:tc>
          <w:tcPr>
            <w:tcW w:w="1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272,998</w:t>
            </w:r>
          </w:p>
        </w:tc>
        <w:tc>
          <w:tcPr>
            <w:tcW w:w="400" w:type="dxa"/>
            <w:vAlign w:val="bottom"/>
            <w:gridSpan w:val="2"/>
            <w:shd w:val="clear" w:color="auto" w:fill="CCFFCC"/>
          </w:tcPr>
          <w:p>
            <w:pPr>
              <w:jc w:val="right"/>
              <w:ind w:right="15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14"/>
        <w:spacing w:after="0" w:line="302" w:lineRule="auto"/>
        <w:rPr>
          <w:sz w:val="20"/>
          <w:szCs w:val="20"/>
          <w:color w:val="auto"/>
        </w:rPr>
      </w:pPr>
      <w:r>
        <w:rPr>
          <w:rFonts w:ascii="Arial" w:cs="Arial" w:eastAsia="Arial" w:hAnsi="Arial"/>
          <w:sz w:val="16"/>
          <w:szCs w:val="16"/>
          <w:color w:val="auto"/>
        </w:rPr>
        <w:t>For the six months ended June 30, 2013, non-cash compensation expense related to restricted stock was approximately $151,000; of this amount approximately $82,000 was expensed at the Company, and approximately $69,000 was a reimbursable expense allocated to the Asset Manager Affiliates. For the six months ended June 30, 2012, non-cash compensation expense related to restricted stock was approximately $339,000; of this amount approximately $329,000 was expensed at the Company and approximately $10,000 was a reimbursable expense allocated to the Asset Manager Affiliates.</w:t>
      </w:r>
    </w:p>
    <w:p>
      <w:pPr>
        <w:spacing w:after="0" w:line="154" w:lineRule="exact"/>
        <w:rPr>
          <w:sz w:val="20"/>
          <w:szCs w:val="20"/>
          <w:color w:val="auto"/>
        </w:rPr>
      </w:pPr>
    </w:p>
    <w:p>
      <w:pPr>
        <w:ind w:firstLine="414"/>
        <w:spacing w:after="0" w:line="286" w:lineRule="auto"/>
        <w:rPr>
          <w:sz w:val="20"/>
          <w:szCs w:val="20"/>
          <w:color w:val="auto"/>
        </w:rPr>
      </w:pPr>
      <w:r>
        <w:rPr>
          <w:rFonts w:ascii="Arial" w:cs="Arial" w:eastAsia="Arial" w:hAnsi="Arial"/>
          <w:sz w:val="17"/>
          <w:szCs w:val="17"/>
          <w:color w:val="auto"/>
        </w:rPr>
        <w:t>Dividends are paid on all outstanding shares of restricted stock, whether or not vested. In general, shares of unvested restricted stock are forfeited upon the recipient’s termination of employment. As of June 30, 2013, the company had approximately $1.3 million of total unrecognized compensation cost related to non-vested share-based awards. That cost is expected to be recognized over a weighted average period of 3.7 years.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229" w:lineRule="exact"/>
        <w:rPr>
          <w:sz w:val="20"/>
          <w:szCs w:val="20"/>
          <w:color w:val="auto"/>
        </w:rPr>
      </w:pPr>
    </w:p>
    <w:p>
      <w:pPr>
        <w:ind w:right="180" w:firstLine="414"/>
        <w:spacing w:after="0" w:line="302" w:lineRule="auto"/>
        <w:rPr>
          <w:sz w:val="20"/>
          <w:szCs w:val="20"/>
          <w:color w:val="auto"/>
        </w:rPr>
      </w:pPr>
      <w:r>
        <w:rPr>
          <w:rFonts w:ascii="Arial" w:cs="Arial" w:eastAsia="Arial" w:hAnsi="Arial"/>
          <w:sz w:val="16"/>
          <w:szCs w:val="16"/>
          <w:color w:val="auto"/>
        </w:rPr>
        <w:t>The Company adopted a 401(k) plan (“401K Plan”) effective January 1, 2007. The Plan is open to all full time employees. The 401K Plan permits an employee to defer a portion of their total annual compensation up to the Internal Revenue Service annual maximum based on age and eligibility. The Company makes contributions to the 401K Plan of up to 2% of the $250,000 maximum eligible compensation, which fully vest at the time of contribution. For the six months ended June 30, 2013 and 2012, the Company made contributions to the 401K Plan of approximately $22,000 and $34,000, respectively.</w:t>
      </w:r>
    </w:p>
    <w:p>
      <w:pPr>
        <w:spacing w:after="0" w:line="154"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For the six months ended June 30, 2013, the Company made a contribution of approximately $90,000 to the Profit-Sharing Plan and a contribution of $70,000 to the Profit Sharing Plan Plan for the six months ended June 30, 2012.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has evaluated events and transactions occurring subsequent to the Balance Sheet date of June 30, 2013 for items that should potentially be recognized or disclosed in these financial statements. The Company did not identify any items which would require disclosure in or adjustment to the financial statements.</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52" w:name="page53"/>
    <w:bookmarkEnd w:id="52"/>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320" w:firstLine="414"/>
        <w:spacing w:after="0" w:line="277" w:lineRule="auto"/>
        <w:rPr>
          <w:sz w:val="20"/>
          <w:szCs w:val="20"/>
          <w:color w:val="auto"/>
        </w:rPr>
      </w:pPr>
      <w:r>
        <w:rPr>
          <w:rFonts w:ascii="Arial" w:cs="Arial" w:eastAsia="Arial" w:hAnsi="Arial"/>
          <w:sz w:val="18"/>
          <w:szCs w:val="18"/>
          <w:color w:val="auto"/>
        </w:rPr>
        <w:t>In this Quarterly Report on Form 10-Q, “KCAP Financial,” “Company,” “we,” “us,” and “our” refer to KCAP Financial, Inc., and its wholly-owned subsidiaries.</w:t>
      </w:r>
    </w:p>
    <w:p>
      <w:pPr>
        <w:spacing w:after="0" w:line="170" w:lineRule="exact"/>
        <w:rPr>
          <w:sz w:val="20"/>
          <w:szCs w:val="20"/>
          <w:color w:val="auto"/>
        </w:rPr>
      </w:pPr>
    </w:p>
    <w:p>
      <w:pPr>
        <w:ind w:firstLine="414"/>
        <w:spacing w:after="0" w:line="269" w:lineRule="auto"/>
        <w:rPr>
          <w:sz w:val="20"/>
          <w:szCs w:val="20"/>
          <w:color w:val="auto"/>
        </w:rPr>
      </w:pPr>
      <w:r>
        <w:rPr>
          <w:rFonts w:ascii="Arial" w:cs="Arial" w:eastAsia="Arial" w:hAnsi="Arial"/>
          <w:sz w:val="17"/>
          <w:szCs w:val="17"/>
          <w:color w:val="auto"/>
        </w:rPr>
        <w:t>The information contained in this section should be read in conjunction with our financial statements and notes thereto appearing elsewhere in this Quarterly Report. In addition, some of the statements in this report constitute forward-looking statements. The matters discussed in this Quarterly Report, as well as in future oral and written statements by management of KCAP Financial,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“believes,” “estimates,” “predicts,” “potential” or “continue” or the negative of these terms or other similar words. Important assumptions include our ability to originate new investments, achieve certain margins and levels of profitability, the availability of funds under our credit facility,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 forward-looking statements contained in this Quarterly Report include statements as to:</w:t>
      </w:r>
    </w:p>
    <w:p>
      <w:pPr>
        <w:spacing w:after="0" w:line="183"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225"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and a registered investment company, including the impact of changes in laws or regulations governing our operations, or the operations of our portfolio companies;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2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For a discussion of factors that could cause our actual results to differ from forward-looking statements contained in this Quarterly Report, please see the discussion in Part II, “Item 1A. Risk Factors”, and in Part I, “Item 1A. Risk Factors” in our Annual Report on Form 10-K for the fiscal year ended December 31, 2012.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We are an internally managed, non-diversified closed-end investment company that is regulated as a BDC under the 1940 Act. We originate, structure, and invest in senior secured term loans, mezzanine debt and selected equity securities primarily in privately-held middle market companies. We define the middle market as comprising companies with EBITDA of $10 million to $50 million and/or total debt of $25 million to $150 million.</w:t>
      </w:r>
    </w:p>
    <w:p>
      <w:pPr>
        <w:spacing w:after="0" w:line="166" w:lineRule="exact"/>
        <w:rPr>
          <w:sz w:val="20"/>
          <w:szCs w:val="20"/>
          <w:color w:val="auto"/>
        </w:rPr>
      </w:pPr>
    </w:p>
    <w:p>
      <w:pPr>
        <w:ind w:right="320" w:firstLine="270"/>
        <w:spacing w:after="0" w:line="312" w:lineRule="auto"/>
        <w:rPr>
          <w:sz w:val="20"/>
          <w:szCs w:val="20"/>
          <w:color w:val="auto"/>
        </w:rPr>
      </w:pPr>
      <w:r>
        <w:rPr>
          <w:rFonts w:ascii="Arial" w:cs="Arial" w:eastAsia="Arial" w:hAnsi="Arial"/>
          <w:sz w:val="16"/>
          <w:szCs w:val="16"/>
          <w:color w:val="auto"/>
        </w:rPr>
        <w:t>Our investment objective is to generate current income and capital appreciation from the investments made by our middle market business in senior secured term loans, mezzanine debt and selected equity investments in privately-held middle market companies. We also expect to receive distributions of recurring fee income and to generate capital appreciation from our investments in the asset management businesses of the Asset Manager Affiliates.</w:t>
      </w:r>
    </w:p>
    <w:p>
      <w:pPr>
        <w:spacing w:after="0" w:line="147" w:lineRule="exact"/>
        <w:rPr>
          <w:sz w:val="20"/>
          <w:szCs w:val="20"/>
          <w:color w:val="auto"/>
        </w:rPr>
      </w:pPr>
    </w:p>
    <w:p>
      <w:pPr>
        <w:jc w:val="both"/>
        <w:ind w:right="300" w:firstLine="270"/>
        <w:spacing w:after="0" w:line="264" w:lineRule="auto"/>
        <w:rPr>
          <w:sz w:val="20"/>
          <w:szCs w:val="20"/>
          <w:color w:val="auto"/>
        </w:rPr>
      </w:pPr>
      <w:r>
        <w:rPr>
          <w:rFonts w:ascii="Arial" w:cs="Arial" w:eastAsia="Arial" w:hAnsi="Arial"/>
          <w:sz w:val="18"/>
          <w:szCs w:val="18"/>
          <w:color w:val="auto"/>
        </w:rPr>
        <w:t>We intend to grow our portfolio of assets by raising additional capital, including through the prudent use of leverage available to us. As a BDC, we are limited in the amount of leverage we can incur under the 1940 Act. We are only allowed to borrow amounts such that our asset coverage, as defined in the 1940 Act, equals at least 200% after such borrowing.</w:t>
      </w:r>
    </w:p>
    <w:p>
      <w:pPr>
        <w:spacing w:after="0" w:line="181"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While our primary investment focus is on making loans to, and selected equity investments in, privately-held middle market companies, we may also invest in other investments such as loans to larger, publicly-traded companies, high-yield bonds and distressed debt securities. We may also receive warrants or options to purchase common stock in connection with our debt investments. In addition, we may also invest in debt and equity securities issued by CLO Funds managed by our Asset Manager Affiliates or by other asset managers.</w:t>
      </w:r>
    </w:p>
    <w:p>
      <w:pPr>
        <w:spacing w:after="0" w:line="193" w:lineRule="exact"/>
        <w:rPr>
          <w:sz w:val="20"/>
          <w:szCs w:val="20"/>
          <w:color w:val="auto"/>
        </w:rPr>
      </w:pPr>
    </w:p>
    <w:p>
      <w:pPr>
        <w:ind w:right="80" w:firstLine="270"/>
        <w:spacing w:after="0" w:line="290" w:lineRule="auto"/>
        <w:rPr>
          <w:sz w:val="20"/>
          <w:szCs w:val="20"/>
          <w:color w:val="auto"/>
        </w:rPr>
      </w:pPr>
      <w:r>
        <w:rPr>
          <w:rFonts w:ascii="Arial" w:cs="Arial" w:eastAsia="Arial" w:hAnsi="Arial"/>
          <w:sz w:val="16"/>
          <w:szCs w:val="16"/>
          <w:color w:val="auto"/>
        </w:rPr>
        <w:t>Katonah Debt Advisors, a registered investment adviser, is a wholly-owned portfolio company of the Company. Katonah Debt Advisors manages collateralized loan obligation funds (“CLO Funds”) which invest in broadly syndicated loans, high-yield bonds and other credit instruments. On February 29, 2012, we purchased Trimaran Advisors, a registered investment adviser and CLO manager similar to Katonah Debt Advisors with assets under management of approximately $1.5 billion, for total consideration of $13.0 million in cash and 3,600,000 shares of our common stock. Contemporaneously with the acquisition of Trimaran Advisors, we acquired from Trimaran Advisors equity interests in certain CLO Funds managed by Trimaran Advisors for an aggregate purchase price of $12.0 million in cash. As of June 30, 2013, Katonah Debt Advisors and Trimaran Advisors are our only wholly-owned portfolio companies (collectively, “Asset Manager Affiliates”) and collectively have approximately $3.7 billion of par value assets under management. Katonah Debt Advisors and Trimaran Advisors are each managed independently from us by separate management teams and investment committees.</w:t>
      </w:r>
    </w:p>
    <w:p>
      <w:pPr>
        <w:spacing w:after="0" w:line="166"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Under the investment company rules and regulations pursuant to Article 6 of Regulation S-X and the “Audit and Accounting Guide for Investment Companies” issued by the AICPA Guide, we are precluded from consolidating portfolio company investments, including those in which we have a controlling interest, unless the portfolio company is another investment company. An exception to this general principle in the AICPA Guide occurs if we own a controlled operating company that provides all or substantially all of its services directly to us, or to an investment company of ours. None of the investments made by us qualify for this exception. Therefore, our portfolio investments, including our investments in the Asset Manager Affiliates, are carried on the balance sheet at fair value with any adjustments to fair value recognized as “Net Change in Unrealized Appreciation (Depreciation)” in our statement of operations until the investment is exited, resulting in any gain or loss on exit being recognized as a “Net Realized Gains (Losses) from Investment Transactions.”</w:t>
      </w:r>
    </w:p>
    <w:p>
      <w:pPr>
        <w:spacing w:after="0" w:line="192"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We have elected to be treated for U.S. federal income tax purposes as a RIC and intend to operate in a manner to maintain our RIC status. As a RIC, we intend to distribute to our stockholders substantially all of our net ordinary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 Our common stock is traded on The NASDAQ Global Select Market under the symbol “KCAP.” The net asset value per share of our common stock at June 30, 2013 was $8.24. On June 28, 2013, the last reported sale price of a share of our common stock on The NASDAQ Global Select Market was $11.26.</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KEY QUANTITATIVE AND QUALITATIVE FINANCIAL MEASURES AND INDICATORS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 Value</w:t>
      </w:r>
    </w:p>
    <w:p>
      <w:pPr>
        <w:spacing w:after="0" w:line="229" w:lineRule="exact"/>
        <w:rPr>
          <w:sz w:val="20"/>
          <w:szCs w:val="20"/>
          <w:color w:val="auto"/>
        </w:rPr>
      </w:pPr>
    </w:p>
    <w:p>
      <w:pPr>
        <w:ind w:right="60" w:firstLine="270"/>
        <w:spacing w:after="0" w:line="312" w:lineRule="auto"/>
        <w:rPr>
          <w:sz w:val="20"/>
          <w:szCs w:val="20"/>
          <w:color w:val="auto"/>
        </w:rPr>
      </w:pPr>
      <w:r>
        <w:rPr>
          <w:rFonts w:ascii="Arial" w:cs="Arial" w:eastAsia="Arial" w:hAnsi="Arial"/>
          <w:sz w:val="16"/>
          <w:szCs w:val="16"/>
          <w:color w:val="auto"/>
        </w:rPr>
        <w:t>Our net asset value per share was $8.24 and $7.85 as of June 30, 2013 and December 31, 2012, respectively. As we must report our assets at fair value for each reporting period, net asset value also represents the amount of stockholder’s equity per share for the reporting period. Our net asset value is comprised mostly of investment assets less debt and other liabilities. The table below sets forth information relating to our net asset value and net asset value per share.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6"/>
          </w:tcPr>
          <w:p>
            <w:pPr>
              <w:ind w:left="260"/>
              <w:spacing w:after="0"/>
              <w:rPr>
                <w:sz w:val="20"/>
                <w:szCs w:val="20"/>
                <w:color w:val="auto"/>
              </w:rPr>
            </w:pPr>
            <w:r>
              <w:rPr>
                <w:rFonts w:ascii="Arial" w:cs="Arial" w:eastAsia="Arial" w:hAnsi="Arial"/>
                <w:sz w:val="18"/>
                <w:szCs w:val="18"/>
                <w:b w:val="1"/>
                <w:bCs w:val="1"/>
                <w:color w:val="auto"/>
              </w:rPr>
              <w:t>June 30, 2013 (unaudited)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6"/>
          </w:tcPr>
          <w:p>
            <w:pPr>
              <w:ind w:left="500"/>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6"/>
              </w:rPr>
              <w:t>Fair Value ¹</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Per Share ¹</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Fair Value ¹</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Per Share ¹</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Investments in time deposits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1,942,834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Investments in money market accounts</w:t>
            </w: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67,494,608</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30,543,824</w:t>
            </w: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Investments in debt securities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190,732,894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111,037,882</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Investments in CLO Fund securities</w:t>
            </w: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81,484,885</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83,257,507</w:t>
            </w: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Investments in equity securities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9,485,307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8,020,716</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Investments in Asset Manager Affiliates</w:t>
            </w: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87,300,000</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77,242,000</w:t>
            </w: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Cash</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7,669,782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738,756</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78,985,473</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18,345,539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6,476,954</w:t>
            </w: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541,498,488</w:t>
            </w:r>
          </w:p>
        </w:tc>
        <w:tc>
          <w:tcPr>
            <w:tcW w:w="1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16.26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319,260,473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Convertible Notes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51,008,000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60,000,000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Retail Notes</w:t>
            </w: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41,400,000</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41,400,000</w:t>
            </w: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KCAP Senior Funding I, LLC</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105,250,000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Payable for open trades</w:t>
            </w: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66,840,035</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2,692,613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9,984,814</w:t>
            </w: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267,190,648</w:t>
            </w:r>
          </w:p>
        </w:tc>
        <w:tc>
          <w:tcPr>
            <w:tcW w:w="12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111,384,814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ASSET VALUE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274,307,840</w:t>
            </w:r>
          </w:p>
        </w:tc>
        <w:tc>
          <w:tcPr>
            <w:tcW w:w="12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207,875,659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9" w:lineRule="exact"/>
        <w:rPr>
          <w:sz w:val="20"/>
          <w:szCs w:val="20"/>
          <w:color w:val="auto"/>
        </w:rPr>
      </w:pPr>
    </w:p>
    <w:p>
      <w:pPr>
        <w:ind w:left="380" w:right="220" w:hanging="372"/>
        <w:spacing w:after="0" w:line="297" w:lineRule="auto"/>
        <w:tabs>
          <w:tab w:leader="none" w:pos="3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balance sheet at fair value and resultant net asset value are calculated on a basis consistent with accounting principles generally accepted in the United States of America ("GAAP"). Our per share presentation of such amounts (other than net asset value per share) is an internally derived non-GAAP performance measure calculated by dividing the applicable balance sheet amount by outstanding shares. We believe that the per share amounts for such balance sheet items are helpful in analyzing our balance sheet both quantitatively and qualitatively in that our shares may trade based on a percentage of net asset value and individual investors may weight certain balance sheet items differently in performing an analysis of the Company.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Investment Portfolio Summary Attributes as of and for the Six Months ended June 30, 2013</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investment portfolio generates net investment income which is generally used to pay principal and interest on our borrowings and to fund our dividend. Our investment portfolio consists of three primary components: debt securities, CLO Fund securities and our investments in the Asset Manager Affiliates. We also have investments in equity securities of approximately $9 million, which comprises approximately 2% of our investment portfolio. Below are summary attributes for each of our primary investment portfolio components (see “—Investment Securities” for a more detailed description) as of and for the six months ended June 30,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Securities</w:t>
      </w:r>
    </w:p>
    <w:p>
      <w:pPr>
        <w:spacing w:after="0" w:line="23" w:lineRule="exact"/>
        <w:rPr>
          <w:sz w:val="20"/>
          <w:szCs w:val="20"/>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 approximately 44% of investment assets;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 credit instruments issued by corporate borrowers;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primarily senior secured and junior secured loans (72% and 20% of debt securities, respectively);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spread across 26 different industries and 67 different entities;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average balance per investment of approximately $2.8 million;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but five issuers (representing less than 1% of total investments at fair value) are current on their debt service obligations;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weighted average interest rate of 6.8% on income producing debt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CLO Fund Securities </w:t>
      </w:r>
      <w:r>
        <w:rPr>
          <w:rFonts w:ascii="Arial" w:cs="Arial" w:eastAsia="Arial" w:hAnsi="Arial"/>
          <w:sz w:val="18"/>
          <w:szCs w:val="18"/>
          <w:color w:val="auto"/>
        </w:rPr>
        <w:t>(as of the last monthly trustee report prior to June 30, 2013 unless otherwise specified)</w:t>
      </w:r>
    </w:p>
    <w:p>
      <w:pPr>
        <w:spacing w:after="0" w:line="23" w:lineRule="exact"/>
        <w:rPr>
          <w:sz w:val="20"/>
          <w:szCs w:val="20"/>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 approximately 19% of investment assets at June 30, 2013;</w:t>
      </w:r>
    </w:p>
    <w:p>
      <w:pPr>
        <w:spacing w:after="0" w:line="9" w:lineRule="exact"/>
        <w:rPr>
          <w:rFonts w:ascii="Arial" w:cs="Arial" w:eastAsia="Arial" w:hAnsi="Arial"/>
          <w:sz w:val="18"/>
          <w:szCs w:val="18"/>
          <w:color w:val="auto"/>
        </w:rPr>
      </w:pPr>
    </w:p>
    <w:p>
      <w:pPr>
        <w:ind w:left="820" w:right="320" w:hanging="326"/>
        <w:spacing w:after="0" w:line="250"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84% of CLO Fund securities represent investments in subordinated securities or equity securities issued by CLO Funds and 16% of CLO Fund securities are rated notes;</w:t>
      </w: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CLO Funds invest primarily in credit instruments issued by corporate borrowers;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16 different CLO Fund securities; 13 of such CLO Fund securities are managed by our Asset Manager Affiliates; and</w:t>
      </w:r>
    </w:p>
    <w:p>
      <w:pPr>
        <w:spacing w:after="0" w:line="9" w:lineRule="exact"/>
        <w:rPr>
          <w:rFonts w:ascii="Arial" w:cs="Arial" w:eastAsia="Arial" w:hAnsi="Arial"/>
          <w:sz w:val="18"/>
          <w:szCs w:val="18"/>
          <w:color w:val="auto"/>
        </w:rPr>
      </w:pPr>
    </w:p>
    <w:p>
      <w:pPr>
        <w:ind w:left="820" w:right="520" w:hanging="326"/>
        <w:spacing w:after="0" w:line="261"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two CLO Fund securities, not managed by our Asset Manager Affiliates, representing a fair value of $276,000, are not currently providing a dividend payment to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Manager Affiliates</w:t>
      </w:r>
    </w:p>
    <w:p>
      <w:pPr>
        <w:spacing w:after="0" w:line="23" w:lineRule="exact"/>
        <w:rPr>
          <w:sz w:val="20"/>
          <w:szCs w:val="20"/>
          <w:color w:val="auto"/>
        </w:rPr>
      </w:pP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 approximately 20% of fair value of investment assets;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have approximately $3.7 billion of assets under management;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receive contractual and recurring asset management fees based on par value of managed investments;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may receive an incentive fee provided that the CLO Fund achieves a minimum designated return on investment;</w:t>
      </w:r>
    </w:p>
    <w:p>
      <w:pPr>
        <w:spacing w:after="0" w:line="9" w:lineRule="exact"/>
        <w:rPr>
          <w:rFonts w:ascii="Arial" w:cs="Arial" w:eastAsia="Arial" w:hAnsi="Arial"/>
          <w:sz w:val="18"/>
          <w:szCs w:val="18"/>
          <w:color w:val="auto"/>
        </w:rPr>
      </w:pPr>
    </w:p>
    <w:p>
      <w:pPr>
        <w:ind w:left="820" w:right="40" w:hanging="326"/>
        <w:spacing w:after="0" w:line="250"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dividends paid by our Asset Manager Affiliates are recognized as dividend income from affiliate asset manager on our statement of operations and are an additional source of income to pay our dividend;</w:t>
      </w: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the six months ended June 30, 2013, our Asset Manager Affiliates had EBITDA of approximately $5.2 million; and</w:t>
      </w:r>
    </w:p>
    <w:p>
      <w:pPr>
        <w:spacing w:after="0" w:line="9" w:lineRule="exact"/>
        <w:rPr>
          <w:rFonts w:ascii="Arial" w:cs="Arial" w:eastAsia="Arial" w:hAnsi="Arial"/>
          <w:sz w:val="18"/>
          <w:szCs w:val="18"/>
          <w:color w:val="auto"/>
        </w:rPr>
      </w:pPr>
    </w:p>
    <w:p>
      <w:pPr>
        <w:ind w:left="820" w:hanging="326"/>
        <w:spacing w:after="0" w:line="261"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the six months ended June 30, 2013, our Asset Manager Affiliates made a distribution of $6.3 million to the Company in the form of a dividend which is recognized as current earnings to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which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6" w:name="page57"/>
    <w:bookmarkEnd w:id="56"/>
    <w:p>
      <w:pPr>
        <w:ind w:right="80" w:firstLine="324"/>
        <w:spacing w:after="0" w:line="268" w:lineRule="auto"/>
        <w:rPr>
          <w:sz w:val="20"/>
          <w:szCs w:val="20"/>
          <w:color w:val="auto"/>
        </w:rPr>
      </w:pPr>
      <w:r>
        <w:rPr>
          <w:rFonts w:ascii="Arial" w:cs="Arial" w:eastAsia="Arial" w:hAnsi="Arial"/>
          <w:sz w:val="17"/>
          <w:szCs w:val="17"/>
          <w:i w:val="1"/>
          <w:iCs w:val="1"/>
          <w:color w:val="auto"/>
        </w:rPr>
        <w:t>Dividends and Interest from Investments in CLO Fund Securities</w:t>
      </w:r>
      <w:r>
        <w:rPr>
          <w:rFonts w:ascii="Arial" w:cs="Arial" w:eastAsia="Arial" w:hAnsi="Arial"/>
          <w:sz w:val="17"/>
          <w:szCs w:val="17"/>
          <w:color w:val="auto"/>
        </w:rPr>
        <w:t>. We generate dividend and interest income from our investments in the securities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CLO Funds (typically preferred shares or subordinated securities) managed by our Asset Manager Affiliates and selective investments in securities issued by funds managed by other asset management companies. CLO Funds managed by our Asset Manager Affiliates invest primarily in broadly syndicated non-investment grade loans, high-yield bonds and other credit instruments of corporate issuers. The Company distinguishes CLO Funds managed by its Asset Manager Affiliates as “CLO Fund securities managed by affiliates.” in its financial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18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B-2L notes of the Katonah 2007-I CLO of Class F notes of the Catamaran 2012-1, interest is earned at a fixed spread relative to the LIBOR index.</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 xml:space="preserve">Dividends from Asset Manager Affiliates. </w:t>
      </w:r>
      <w:r>
        <w:rPr>
          <w:rFonts w:ascii="Arial" w:cs="Arial" w:eastAsia="Arial" w:hAnsi="Arial"/>
          <w:sz w:val="16"/>
          <w:szCs w:val="16"/>
          <w:color w:val="auto"/>
        </w:rPr>
        <w:t>We generate dividend income from our investment in our Asset Manager Affiliates, which are wholly-owned</w:t>
      </w:r>
      <w:r>
        <w:rPr>
          <w:rFonts w:ascii="Arial" w:cs="Arial" w:eastAsia="Arial" w:hAnsi="Arial"/>
          <w:sz w:val="16"/>
          <w:szCs w:val="16"/>
          <w:i w:val="1"/>
          <w:iCs w:val="1"/>
          <w:color w:val="auto"/>
        </w:rPr>
        <w:t xml:space="preserve"> </w:t>
      </w:r>
      <w:r>
        <w:rPr>
          <w:rFonts w:ascii="Arial" w:cs="Arial" w:eastAsia="Arial" w:hAnsi="Arial"/>
          <w:sz w:val="16"/>
          <w:szCs w:val="16"/>
          <w:color w:val="auto"/>
        </w:rPr>
        <w:t>and manage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provided a first loss guaranty in connection with loan warehouse arrangements for their CLO Funds. Our Asset Manager Affiliates generate annual operating income equal to the amount by which their fee income exceeds their operating expenses. The annual management fees which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receive incentive fees provided such CLO Funds have achieved a minimum investment return to holders of their subordinated securities or preferred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560" w:firstLine="324"/>
        <w:spacing w:after="0" w:line="264" w:lineRule="auto"/>
        <w:rPr>
          <w:sz w:val="20"/>
          <w:szCs w:val="20"/>
          <w:color w:val="auto"/>
        </w:rPr>
      </w:pPr>
      <w:r>
        <w:rPr>
          <w:rFonts w:ascii="Arial" w:cs="Arial" w:eastAsia="Arial" w:hAnsi="Arial"/>
          <w:sz w:val="18"/>
          <w:szCs w:val="18"/>
          <w:color w:val="auto"/>
        </w:rPr>
        <w:t>We are internally managed and directly incur the cost of management and operations; as a result, we incur no management fees or other fees to an external investment adviser. Our expenses consist primarily of interest expense on outstanding borrowings, compensation expense and general and administrative expenses, including professional fees.</w:t>
      </w:r>
    </w:p>
    <w:p>
      <w:pPr>
        <w:spacing w:after="0" w:line="18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i w:val="1"/>
          <w:iCs w:val="1"/>
          <w:color w:val="auto"/>
        </w:rPr>
        <w:t>Interest and Amortization of Debt Issuance Costs</w:t>
      </w:r>
      <w:r>
        <w:rPr>
          <w:rFonts w:ascii="Arial" w:cs="Arial" w:eastAsia="Arial" w:hAnsi="Arial"/>
          <w:sz w:val="17"/>
          <w:szCs w:val="17"/>
          <w:color w:val="auto"/>
        </w:rPr>
        <w:t>. Interest expense is dependent on the average outstanding balance on our borrowings and, with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to certain of our borrowings, the base index rate for the period. Debt issuance costs represent fees and other direct costs incurred in connection with the Company’s borrowings. These amounts are capitalized and amortized ratably over the contractual term of the borrowing.</w:t>
      </w:r>
    </w:p>
    <w:p>
      <w:pPr>
        <w:spacing w:after="0" w:line="166"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Compensation Expense</w:t>
      </w:r>
      <w:r>
        <w:rPr>
          <w:rFonts w:ascii="Arial" w:cs="Arial" w:eastAsia="Arial" w:hAnsi="Arial"/>
          <w:sz w:val="17"/>
          <w:szCs w:val="17"/>
          <w:color w:val="auto"/>
        </w:rPr>
        <w:t>. Compensation expense includes base salaries, bonuses, stock compensation, employee benefits and employer-related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The largest components of total compensation costs are base salaries and bonuses; generally, base salaries are expensed as incurred and annual bonus expenses are estimated and accrued. Our compensation arrangements with our employees contain a significant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173"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i w:val="1"/>
          <w:iCs w:val="1"/>
          <w:color w:val="auto"/>
        </w:rPr>
        <w:t>Professional Fees and General and Administrative Expenses</w:t>
      </w:r>
      <w:r>
        <w:rPr>
          <w:rFonts w:ascii="Arial" w:cs="Arial" w:eastAsia="Arial" w:hAnsi="Arial"/>
          <w:sz w:val="18"/>
          <w:szCs w:val="18"/>
          <w:color w:val="auto"/>
        </w:rPr>
        <w:t>. The balance of our expenses include professional fees (primarily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and other professional services), occupancy costs and general administrative and other costs.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Net Investment Income and Net Realized Gains (Losses)</w:t>
      </w:r>
    </w:p>
    <w:p>
      <w:pPr>
        <w:spacing w:after="0" w:line="229"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Net investment income and net realized gains (losses) represents the net change in net assets resulting from operations before net unrealized appreciation or depreciation on investments. For the three months ended June 30, 2013, net investment income and net realized gains were approximately $5 million, or $0.15 per share. For the three months ended June 30, 2012, net investment income and net realized gains were approximately $6 million or $0.23 per share.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Unrealized Appreciation (Depreciation) on Investments</w:t>
      </w:r>
    </w:p>
    <w:p>
      <w:pPr>
        <w:spacing w:after="0" w:line="22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During the three and six months ended June 30, 2013, the Company’s investments had a net increase in unrealized appreciation of approximately $3.5 million and $3.9 million, respectively. During the three and six months ended June 30, 2012, the Company’s investments had a net increase in unrealized depreciation of approximately $4 million and $8 million, respectively.</w:t>
      </w:r>
    </w:p>
    <w:p>
      <w:pPr>
        <w:spacing w:after="0" w:line="181"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The net increase in unrealized appreciation of approximately $3.5 million for the three months ended June 30, 2013 is primarily due to (i) an approximate $1.2 million net increase in the unrealized appreciation of certain loans and equity positions as a result of credit considerations and current market conditions;</w:t>
      </w:r>
    </w:p>
    <w:p>
      <w:pPr>
        <w:ind w:right="240" w:firstLine="8"/>
        <w:spacing w:after="0" w:line="261" w:lineRule="auto"/>
        <w:tabs>
          <w:tab w:leader="none" w:pos="2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net decrease of approximately $4.6 million in the unrealized appreciation of CLO Fund securities; and (iii) an approximate increase of $6.9 million in the unrealized depreciation of our Asset Manager Affiliates.</w:t>
      </w:r>
    </w:p>
    <w:p>
      <w:pPr>
        <w:spacing w:after="0" w:line="18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net increase in unrealized appreciation of approximately $3.9 million for the six months ended June 30, 2013 is primarily due to (i) an approximate $3.4 million net increase in the unrealized depreciation of certain loans and equity positions as a result of credit considerations and current market conditions;</w:t>
      </w:r>
    </w:p>
    <w:p>
      <w:pPr>
        <w:ind w:right="600" w:firstLine="8"/>
        <w:spacing w:after="0" w:line="261" w:lineRule="auto"/>
        <w:tabs>
          <w:tab w:leader="none" w:pos="26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net decrease of approximately $9.5 in the unrealized appreciation of CLO Fund securities; and (iii) an approximate increase of $10 million in the unrealized depreciation of our Asset Manager Affiliates.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Net Assets Resulting From Operations</w:t>
      </w:r>
    </w:p>
    <w:p>
      <w:pPr>
        <w:spacing w:after="0" w:line="229"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net change in net assets resulting from operations for the three months ended June 30, 2013 and 2012 was an increase of approximately $8.5 million and $1.6 million, respectively, or $0.26 and $0.06 per share, respectively. The net change in net assets resulting from operations for the six months ended June 30, 2013 and 2012 was an increase of approximately $15.7 million and $2.1 million, respectively, or $0.51 and $0.09 per share,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For the three months ended June 30, 2013, we declared a $0.28 dividend per share. As a result, there was a dividend distribution of approximately $9.2 million for the second quarter declaration, which was booked in the third quarter. We intend to continue to distribute quarterly dividends to our stockholders. To avoid certain excise taxes imposed on RICs, we currently intend to distribute during each calendar year an amount at least equal to the sum of:</w:t>
      </w:r>
    </w:p>
    <w:p>
      <w:pPr>
        <w:spacing w:after="0" w:line="147"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98.2% of our capital gains, if any, in excess of capital losses for the one-year period ending on October 31 of the calendar year; and</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w:t>
      </w:r>
    </w:p>
    <w:p>
      <w:pPr>
        <w:spacing w:after="0" w:line="211" w:lineRule="exact"/>
        <w:rPr>
          <w:sz w:val="20"/>
          <w:szCs w:val="20"/>
          <w:color w:val="auto"/>
        </w:rPr>
      </w:pPr>
    </w:p>
    <w:p>
      <w:pPr>
        <w:ind w:right="20" w:firstLine="414"/>
        <w:spacing w:after="0" w:line="255" w:lineRule="auto"/>
        <w:rPr>
          <w:sz w:val="20"/>
          <w:szCs w:val="20"/>
          <w:color w:val="auto"/>
        </w:rPr>
      </w:pPr>
      <w:r>
        <w:rPr>
          <w:rFonts w:ascii="Arial" w:cs="Arial" w:eastAsia="Arial" w:hAnsi="Arial"/>
          <w:sz w:val="18"/>
          <w:szCs w:val="18"/>
          <w:color w:val="auto"/>
        </w:rPr>
        <w:t>The amount of our declared dividends, as evaluated by management and approved by our Board of Directors, is based on our evaluation of distributable income for tax purposes. Generally, we seek to fund our dividends from current earnings, primarily from net interest and dividend income generated by our investment portfolio and without a return of capital or a high reliance on realized capital gains. The following table sets forth the quarterly dividends declared by us since the most recent completed calendar year, which represent an amount equal to our estimated net investment income for the specified quarter, including income distributed from the Asset Manager Affiliates received by the Company, if any, plus a portion of any prior year undistributed amounts of net investment income distributed in subsequent years: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Declaration</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Record</w:t>
            </w: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Dividend</w:t>
            </w:r>
          </w:p>
        </w:tc>
        <w:tc>
          <w:tcPr>
            <w:tcW w:w="12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Date</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Date</w:t>
            </w:r>
          </w:p>
        </w:tc>
        <w:tc>
          <w:tcPr>
            <w:tcW w:w="3380" w:type="dxa"/>
            <w:vAlign w:val="bottom"/>
            <w:gridSpan w:val="2"/>
          </w:tcPr>
          <w:p>
            <w:pPr>
              <w:ind w:left="20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2013:</w:t>
            </w:r>
          </w:p>
        </w:tc>
        <w:tc>
          <w:tcPr>
            <w:tcW w:w="12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0.28</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6/17/2013</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7/5/2013</w:t>
            </w:r>
          </w:p>
        </w:tc>
        <w:tc>
          <w:tcPr>
            <w:tcW w:w="1100" w:type="dxa"/>
            <w:vAlign w:val="bottom"/>
          </w:tcPr>
          <w:p>
            <w:pPr>
              <w:jc w:val="right"/>
              <w:spacing w:after="0"/>
              <w:rPr>
                <w:sz w:val="20"/>
                <w:szCs w:val="20"/>
                <w:color w:val="auto"/>
              </w:rPr>
            </w:pPr>
            <w:r>
              <w:rPr>
                <w:rFonts w:ascii="Arial" w:cs="Arial" w:eastAsia="Arial" w:hAnsi="Arial"/>
                <w:sz w:val="18"/>
                <w:szCs w:val="18"/>
                <w:color w:val="auto"/>
              </w:rPr>
              <w:t>7/26/2013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0.28</w:t>
            </w:r>
          </w:p>
        </w:tc>
        <w:tc>
          <w:tcPr>
            <w:tcW w:w="12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3/15/2013</w:t>
            </w: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4/5/2013</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4/26/2013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Total declared in 2013</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100" w:type="dxa"/>
            <w:vAlign w:val="bottom"/>
            <w:tcBorders>
              <w:top w:val="single" w:sz="8" w:color="CCFFCC"/>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0.28</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12/17/2012</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12/28/2012</w:t>
            </w:r>
          </w:p>
        </w:tc>
        <w:tc>
          <w:tcPr>
            <w:tcW w:w="1100" w:type="dxa"/>
            <w:vAlign w:val="bottom"/>
          </w:tcPr>
          <w:p>
            <w:pPr>
              <w:jc w:val="right"/>
              <w:spacing w:after="0"/>
              <w:rPr>
                <w:sz w:val="20"/>
                <w:szCs w:val="20"/>
                <w:color w:val="auto"/>
              </w:rPr>
            </w:pPr>
            <w:r>
              <w:rPr>
                <w:rFonts w:ascii="Arial" w:cs="Arial" w:eastAsia="Arial" w:hAnsi="Arial"/>
                <w:sz w:val="18"/>
                <w:szCs w:val="18"/>
                <w:color w:val="auto"/>
              </w:rPr>
              <w:t>1/28/2013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0.24</w:t>
            </w:r>
          </w:p>
        </w:tc>
        <w:tc>
          <w:tcPr>
            <w:tcW w:w="12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9/17/2012</w:t>
            </w: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10/10/2012</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10/29/2012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6/18/2012</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7/6/2012</w:t>
            </w:r>
          </w:p>
        </w:tc>
        <w:tc>
          <w:tcPr>
            <w:tcW w:w="1100" w:type="dxa"/>
            <w:vAlign w:val="bottom"/>
          </w:tcPr>
          <w:p>
            <w:pPr>
              <w:jc w:val="right"/>
              <w:spacing w:after="0"/>
              <w:rPr>
                <w:sz w:val="20"/>
                <w:szCs w:val="20"/>
                <w:color w:val="auto"/>
              </w:rPr>
            </w:pPr>
            <w:r>
              <w:rPr>
                <w:rFonts w:ascii="Arial" w:cs="Arial" w:eastAsia="Arial" w:hAnsi="Arial"/>
                <w:sz w:val="18"/>
                <w:szCs w:val="18"/>
                <w:color w:val="auto"/>
              </w:rPr>
              <w:t>7/27/2012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0.18</w:t>
            </w:r>
          </w:p>
        </w:tc>
        <w:tc>
          <w:tcPr>
            <w:tcW w:w="12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3/16/2012</w:t>
            </w: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4/6/2012</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4/27/2012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Total declared in 2012</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0.94</w:t>
            </w:r>
          </w:p>
        </w:tc>
        <w:tc>
          <w:tcPr>
            <w:tcW w:w="12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200" w:type="dxa"/>
            <w:vAlign w:val="bottom"/>
            <w:tcBorders>
              <w:top w:val="single" w:sz="8" w:color="CCFFCC"/>
              <w:bottom w:val="single" w:sz="8" w:color="CCFFCC"/>
            </w:tcBorders>
            <w:gridSpan w:val="2"/>
            <w:vMerge w:val="restart"/>
          </w:tcPr>
          <w:p>
            <w:pPr>
              <w:jc w:val="right"/>
              <w:ind w:right="890"/>
              <w:spacing w:after="0"/>
              <w:rPr>
                <w:sz w:val="20"/>
                <w:szCs w:val="20"/>
                <w:color w:val="auto"/>
              </w:rPr>
            </w:pPr>
            <w:r>
              <w:rPr>
                <w:rFonts w:ascii="Arial" w:cs="Arial" w:eastAsia="Arial" w:hAnsi="Arial"/>
                <w:sz w:val="18"/>
                <w:szCs w:val="18"/>
                <w:color w:val="auto"/>
                <w:w w:val="99"/>
              </w:rPr>
              <w:t>56</w:t>
            </w:r>
          </w:p>
        </w:tc>
        <w:tc>
          <w:tcPr>
            <w:tcW w:w="80" w:type="dxa"/>
            <w:vAlign w:val="bottom"/>
            <w:tcBorders>
              <w:top w:val="single" w:sz="8" w:color="CCFFCC"/>
            </w:tcBorders>
          </w:tcPr>
          <w:p>
            <w:pPr>
              <w:spacing w:after="0" w:line="20" w:lineRule="exact"/>
              <w:rPr>
                <w:sz w:val="1"/>
                <w:szCs w:val="1"/>
                <w:color w:val="auto"/>
              </w:rPr>
            </w:pPr>
          </w:p>
        </w:tc>
        <w:tc>
          <w:tcPr>
            <w:tcW w:w="1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100" w:type="dxa"/>
            <w:vAlign w:val="bottom"/>
            <w:tcBorders>
              <w:top w:val="single" w:sz="8" w:color="CCFFCC"/>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58" w:name="page59"/>
    <w:bookmarkEnd w:id="58"/>
    <w:p>
      <w:pPr>
        <w:ind w:right="100" w:firstLine="324"/>
        <w:spacing w:after="0" w:line="255" w:lineRule="auto"/>
        <w:rPr>
          <w:sz w:val="20"/>
          <w:szCs w:val="20"/>
          <w:color w:val="auto"/>
        </w:rPr>
      </w:pPr>
      <w:r>
        <w:rPr>
          <w:rFonts w:ascii="Arial" w:cs="Arial" w:eastAsia="Arial" w:hAnsi="Arial"/>
          <w:sz w:val="18"/>
          <w:szCs w:val="18"/>
          <w:color w:val="auto"/>
        </w:rPr>
        <w:t>Due to our ownership of our Asset Manager Affiliates and certain timing, structural and tax considerations, our dividend distributions may include a return of capital for tax purposes. For the six months ended June 30, 2013, our Asset Manager Affiliates had approximately $5.2 million of EBITDA and made a distribution of $6.3 million to us. For the six months ended June 30, 2012, our Asset Manager Affiliates earned approximately $1.3 million of EBITDA and made a distribution of $2.0 million to us. Dividends are recorded as declared (where declaration date represents ex-dividend date) by our Asset Manager Affiliates as income on our statement of operations. It is anticipated that our Asset Manager Affiliates will make further dividend distributions to us during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Objective</w:t>
      </w:r>
    </w:p>
    <w:p>
      <w:pPr>
        <w:spacing w:after="0" w:line="229" w:lineRule="exact"/>
        <w:rPr>
          <w:sz w:val="20"/>
          <w:szCs w:val="20"/>
          <w:color w:val="auto"/>
        </w:rPr>
      </w:pPr>
    </w:p>
    <w:p>
      <w:pPr>
        <w:ind w:right="20" w:firstLine="414"/>
        <w:spacing w:after="0" w:line="270" w:lineRule="auto"/>
        <w:rPr>
          <w:sz w:val="20"/>
          <w:szCs w:val="20"/>
          <w:color w:val="auto"/>
        </w:rPr>
      </w:pPr>
      <w:r>
        <w:rPr>
          <w:rFonts w:ascii="Arial" w:cs="Arial" w:eastAsia="Arial" w:hAnsi="Arial"/>
          <w:sz w:val="17"/>
          <w:szCs w:val="17"/>
          <w:color w:val="auto"/>
        </w:rPr>
        <w:t>Our investment objective is to generate current income and capital appreciation from the investments made by our middle market business in senior secured term loans, mezzanine debt and selected equity investments in privately-held middle market companies. The Company also expects to receive distributions of recurring fee income and to generate capital appreciation from its investments in the asset management businesses of the Asset Manager Affiliates. We intend to grow our portfolio of assets by raising additional capital, including through the prudent use of leverage available to us.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While our primary investment focus is on making loans to, and selected equity investments in, privately-held middle market companies, we may also invest in other investments such as loans to larger, publicly-traded companies, high-yield bonds and distressed debt securities. We may also receive warrants or options to purchase common stock in connection with our debt investments. In addition, we may also invest in debt and equity securities issued by CLO Funds managed by our Asset Manager Affiliates or by other asset managers.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June 30, 2013 and December 31, 2012: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2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b w:val="1"/>
                <w:bCs w:val="1"/>
                <w:color w:val="auto"/>
                <w:w w:val="90"/>
              </w:rPr>
              <w:t>June 30, 2013 (unaudited)</w:t>
            </w:r>
          </w:p>
        </w:tc>
        <w:tc>
          <w:tcPr>
            <w:tcW w:w="5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8"/>
              </w:rPr>
              <w:t>December 31, 2012</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9"/>
                <w:szCs w:val="19"/>
                <w:color w:val="auto"/>
              </w:rPr>
            </w:pPr>
          </w:p>
        </w:tc>
        <w:tc>
          <w:tcPr>
            <w:tcW w:w="164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5"/>
              </w:rPr>
              <w:t>Fair Value</w:t>
            </w: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%¹</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%¹</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vMerge w:val="restart"/>
            <w:shd w:val="clear" w:color="auto" w:fill="CCFFCC"/>
          </w:tcPr>
          <w:p>
            <w:pPr>
              <w:spacing w:after="0"/>
              <w:rPr>
                <w:sz w:val="20"/>
                <w:szCs w:val="20"/>
                <w:color w:val="auto"/>
              </w:rPr>
            </w:pPr>
            <w:r>
              <w:rPr>
                <w:rFonts w:ascii="Arial" w:cs="Arial" w:eastAsia="Arial" w:hAnsi="Arial"/>
                <w:sz w:val="18"/>
                <w:szCs w:val="18"/>
                <w:color w:val="auto"/>
              </w:rPr>
              <w:t>Time Deposits</w:t>
            </w: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Borders>
              <w:right w:val="single" w:sz="8" w:color="CCFFCC"/>
            </w:tcBorders>
            <w:vMerge w:val="restart"/>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vMerge w:val="continue"/>
            <w:shd w:val="clear" w:color="auto" w:fill="CCFFCC"/>
          </w:tcPr>
          <w:p>
            <w:pPr>
              <w:spacing w:after="0"/>
              <w:rPr>
                <w:sz w:val="18"/>
                <w:szCs w:val="18"/>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FFCC"/>
            </w:tcBorders>
            <w:vMerge w:val="continue"/>
            <w:shd w:val="clear" w:color="auto" w:fill="CCFFCC"/>
          </w:tcPr>
          <w:p>
            <w:pPr>
              <w:spacing w:after="0"/>
              <w:rPr>
                <w:sz w:val="18"/>
                <w:szCs w:val="18"/>
                <w:color w:val="auto"/>
              </w:rPr>
            </w:pP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1,942,834</w:t>
            </w:r>
          </w:p>
        </w:tc>
        <w:tc>
          <w:tcPr>
            <w:tcW w:w="160" w:type="dxa"/>
            <w:vAlign w:val="bottom"/>
            <w:vMerge w:val="continue"/>
            <w:shd w:val="clear" w:color="auto" w:fill="CCFFCC"/>
          </w:tcPr>
          <w:p>
            <w:pPr>
              <w:spacing w:after="0"/>
              <w:rPr>
                <w:sz w:val="18"/>
                <w:szCs w:val="18"/>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1,942,834</w:t>
            </w:r>
          </w:p>
        </w:tc>
        <w:tc>
          <w:tcPr>
            <w:tcW w:w="220" w:type="dxa"/>
            <w:vAlign w:val="bottom"/>
            <w:vMerge w:val="continue"/>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Money Market Account</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67,494,608</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67,494,608</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30,543,824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30,543,824</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8"/>
                <w:szCs w:val="18"/>
                <w:color w:val="auto"/>
              </w:rPr>
              <w:t>Senior Secured Loan</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143,450,925</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136,475,845</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660" w:type="dxa"/>
            <w:vAlign w:val="bottom"/>
            <w:tcBorders>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67,874,565</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60,258,885</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Junior Secured Loan</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51,226,118</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38,393,950</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49,646,273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33,486,956</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8"/>
                <w:szCs w:val="18"/>
                <w:color w:val="auto"/>
              </w:rPr>
              <w:t>First Lien Bond</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2,932,604</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2,550,300</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660" w:type="dxa"/>
            <w:vAlign w:val="bottom"/>
            <w:tcBorders>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2,928,762</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3,000,000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Senior Subordinated Bond</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2,838,822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2,017,899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2,729,088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2,735,881</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8"/>
                <w:szCs w:val="18"/>
                <w:color w:val="auto"/>
              </w:rPr>
              <w:t>Senior Unsecured Bond</w:t>
            </w:r>
          </w:p>
        </w:tc>
        <w:tc>
          <w:tcPr>
            <w:tcW w:w="2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10,812,702</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11,293,900</w:t>
            </w:r>
          </w:p>
        </w:tc>
        <w:tc>
          <w:tcPr>
            <w:tcW w:w="3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660" w:type="dxa"/>
            <w:vAlign w:val="bottom"/>
            <w:tcBorders>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10,798,463</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11,185,000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CLO Fund Securities</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97,909,419</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81,484,885</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90,146,410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83,257,507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18,841,238</w:t>
            </w: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9,485,307</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660" w:type="dxa"/>
            <w:vAlign w:val="bottom"/>
            <w:tcBorders>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18,375,588</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8,020,716</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Preferred Stock</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371,160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8"/>
                <w:szCs w:val="18"/>
                <w:color w:val="auto"/>
              </w:rPr>
              <w:t>Asset Manager Affiliates</w:t>
            </w:r>
          </w:p>
        </w:tc>
        <w:tc>
          <w:tcPr>
            <w:tcW w:w="24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83,234,131</w:t>
            </w:r>
          </w:p>
        </w:tc>
        <w:tc>
          <w:tcPr>
            <w:tcW w:w="16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87,300,000</w:t>
            </w:r>
          </w:p>
        </w:tc>
        <w:tc>
          <w:tcPr>
            <w:tcW w:w="340" w:type="dxa"/>
            <w:vAlign w:val="bottom"/>
            <w:shd w:val="clear" w:color="auto" w:fill="CCFFCC"/>
          </w:tcPr>
          <w:p>
            <w:pPr>
              <w:spacing w:after="0"/>
              <w:rPr>
                <w:sz w:val="19"/>
                <w:szCs w:val="19"/>
                <w:color w:val="auto"/>
              </w:rPr>
            </w:pPr>
          </w:p>
        </w:tc>
        <w:tc>
          <w:tcPr>
            <w:tcW w:w="520" w:type="dxa"/>
            <w:vAlign w:val="bottom"/>
            <w:shd w:val="clear" w:color="auto" w:fill="CCFFCC"/>
          </w:tcPr>
          <w:p>
            <w:pPr>
              <w:spacing w:after="0"/>
              <w:rPr>
                <w:sz w:val="19"/>
                <w:szCs w:val="19"/>
                <w:color w:val="auto"/>
              </w:rPr>
            </w:pPr>
          </w:p>
        </w:tc>
        <w:tc>
          <w:tcPr>
            <w:tcW w:w="660" w:type="dxa"/>
            <w:vAlign w:val="bottom"/>
            <w:tcBorders>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FFCC"/>
          </w:tcPr>
          <w:p>
            <w:pPr>
              <w:spacing w:after="0"/>
              <w:rPr>
                <w:sz w:val="19"/>
                <w:szCs w:val="19"/>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83,161,529</w:t>
            </w: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77,242,000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479,140,566</w:t>
            </w:r>
          </w:p>
        </w:tc>
        <w:tc>
          <w:tcPr>
            <w:tcW w:w="200" w:type="dxa"/>
            <w:vAlign w:val="bottom"/>
            <w:shd w:val="clear" w:color="auto" w:fill="CCFFCC"/>
          </w:tcPr>
          <w:p>
            <w:pPr>
              <w:spacing w:after="0"/>
              <w:rPr>
                <w:sz w:val="21"/>
                <w:szCs w:val="21"/>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436,497,694</w:t>
            </w:r>
          </w:p>
        </w:tc>
        <w:tc>
          <w:tcPr>
            <w:tcW w:w="22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66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358,547,336</w:t>
            </w:r>
          </w:p>
        </w:tc>
        <w:tc>
          <w:tcPr>
            <w:tcW w:w="32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312,044,763</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43478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Calculated as a percentage of net asset value.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Investment Securities</w:t>
      </w:r>
    </w:p>
    <w:p>
      <w:pPr>
        <w:spacing w:after="0" w:line="229" w:lineRule="exact"/>
        <w:rPr>
          <w:sz w:val="20"/>
          <w:szCs w:val="20"/>
          <w:color w:val="auto"/>
        </w:rPr>
      </w:pPr>
    </w:p>
    <w:p>
      <w:pPr>
        <w:jc w:val="both"/>
        <w:ind w:right="220" w:firstLine="414"/>
        <w:spacing w:after="0" w:line="264" w:lineRule="auto"/>
        <w:rPr>
          <w:sz w:val="20"/>
          <w:szCs w:val="20"/>
          <w:color w:val="auto"/>
        </w:rPr>
      </w:pPr>
      <w:r>
        <w:rPr>
          <w:rFonts w:ascii="Arial" w:cs="Arial" w:eastAsia="Arial" w:hAnsi="Arial"/>
          <w:sz w:val="18"/>
          <w:szCs w:val="18"/>
          <w:color w:val="auto"/>
        </w:rPr>
        <w:t>We invest in senior secured loans, mezzanine debt and, to a lesser extent, equity of middle market companies in a variety of industries. However, we may invest in other industries if we are presented with attractive opportunities. We generally target companies that generate positive cash flows because we look to cash flows as the primary source for servicing debt.</w:t>
      </w:r>
    </w:p>
    <w:p>
      <w:pPr>
        <w:spacing w:after="0" w:line="181" w:lineRule="exact"/>
        <w:rPr>
          <w:sz w:val="20"/>
          <w:szCs w:val="20"/>
          <w:color w:val="auto"/>
        </w:rPr>
      </w:pPr>
    </w:p>
    <w:p>
      <w:pPr>
        <w:ind w:right="20" w:firstLine="414"/>
        <w:spacing w:after="0" w:line="293" w:lineRule="auto"/>
        <w:rPr>
          <w:sz w:val="20"/>
          <w:szCs w:val="20"/>
          <w:color w:val="auto"/>
        </w:rPr>
      </w:pPr>
      <w:r>
        <w:rPr>
          <w:rFonts w:ascii="Arial" w:cs="Arial" w:eastAsia="Arial" w:hAnsi="Arial"/>
          <w:sz w:val="16"/>
          <w:szCs w:val="16"/>
          <w:color w:val="auto"/>
        </w:rPr>
        <w:t>We employ a disciplined approach in the selection and monitoring of our investments. Generally, we target investments that will provide a current return through interest income to provide for stability in our net income and place less reliance on realized capital gains from our investments. Our investment philosophy is focused on preserving capital with an appropriate return profile relative to risk. Our investment due diligence and selection generally focuses on an underlying issuer’s net cash flow after capital expenditures to service its debt rather than on multiples of net income, valuations or other broad benchmarks which frequently miss the nuances of an issuer’s business and prospective financial performance. We also generally avoid concentrations in any one industry or issuer. We manage risk through a rigorous credit and investment underwriting process and an active portfolio monitoring program.</w:t>
      </w:r>
    </w:p>
    <w:p>
      <w:pPr>
        <w:spacing w:after="0" w:line="165" w:lineRule="exact"/>
        <w:rPr>
          <w:sz w:val="20"/>
          <w:szCs w:val="20"/>
          <w:color w:val="auto"/>
        </w:rPr>
      </w:pPr>
    </w:p>
    <w:p>
      <w:pPr>
        <w:ind w:right="80" w:firstLine="414"/>
        <w:spacing w:after="0" w:line="289" w:lineRule="auto"/>
        <w:rPr>
          <w:sz w:val="20"/>
          <w:szCs w:val="20"/>
          <w:color w:val="auto"/>
        </w:rPr>
      </w:pPr>
      <w:r>
        <w:rPr>
          <w:rFonts w:ascii="Arial" w:cs="Arial" w:eastAsia="Arial" w:hAnsi="Arial"/>
          <w:sz w:val="16"/>
          <w:szCs w:val="16"/>
          <w:color w:val="auto"/>
        </w:rPr>
        <w:t>Our Board of Directors is ultimately and solely responsible for making a good faith determination of the 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the Valuation Committee of the Board of Directors, and, in certain circumstances, third parties with valuation expertise. Valuations are conducted by management on 100% of the investment portfolio at the end of each quarter. Due to the inherent uncertainty of determining the fair value of investments that do not have a readily available market value, the fair value of our investments may differ materially from the values that would have existed had a ready market existed for such investments. Further, such investments may be generally subject to legal and other restrictions on resale or otherwise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167" w:lineRule="exact"/>
        <w:rPr>
          <w:sz w:val="20"/>
          <w:szCs w:val="20"/>
          <w:color w:val="auto"/>
        </w:rPr>
      </w:pPr>
    </w:p>
    <w:p>
      <w:pPr>
        <w:ind w:right="20" w:firstLine="414"/>
        <w:spacing w:after="0" w:line="267" w:lineRule="auto"/>
        <w:rPr>
          <w:sz w:val="20"/>
          <w:szCs w:val="20"/>
          <w:color w:val="auto"/>
        </w:rPr>
      </w:pPr>
      <w:r>
        <w:rPr>
          <w:rFonts w:ascii="Arial" w:cs="Arial" w:eastAsia="Arial" w:hAnsi="Arial"/>
          <w:sz w:val="17"/>
          <w:szCs w:val="17"/>
          <w:color w:val="auto"/>
        </w:rPr>
        <w:t>We derive fair value for our illiquid investments that do not have indicative fair values based upon active trades primarily by using a present value technique that discounts the estimated contractual cash flows for the underlying assets with discount rates imputed by broad market indices, bond spreads and yields for comparable issuers relative to the subject assets (the “Market Yield Approach”) and also consider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We have identified these two indices as benchmarks for broad market information related to our loan and debt investments. Because we have not identified any market index that directly correlates to the loan and debt investments held by us and therefore use the two benchmark indices, these market indices may require significant adjustment to better correlate such market data for the calculation of fair value of the investment under the Market Yield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The appropriateness of specific valuation methods and techniques may change as market conditions and available data change.</w:t>
      </w:r>
    </w:p>
    <w:p>
      <w:pPr>
        <w:spacing w:after="0" w:line="193" w:lineRule="exact"/>
        <w:rPr>
          <w:sz w:val="20"/>
          <w:szCs w:val="20"/>
          <w:color w:val="auto"/>
        </w:rPr>
      </w:pPr>
    </w:p>
    <w:p>
      <w:pPr>
        <w:ind w:right="260" w:firstLine="414"/>
        <w:spacing w:after="0" w:line="302" w:lineRule="auto"/>
        <w:rPr>
          <w:sz w:val="20"/>
          <w:szCs w:val="20"/>
          <w:color w:val="auto"/>
        </w:rPr>
      </w:pPr>
      <w:r>
        <w:rPr>
          <w:rFonts w:ascii="Arial" w:cs="Arial" w:eastAsia="Arial" w:hAnsi="Arial"/>
          <w:sz w:val="16"/>
          <w:szCs w:val="16"/>
          <w:color w:val="auto"/>
        </w:rPr>
        <w:t>The majority of our investment portfolio is composed of debt and equity securities with unique contract terms and conditions and/or complexity that requires a valuation of each individual investment that considers multiple levels of market and asset specific inputs, including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Loans and Debt Securities.</w:t>
      </w:r>
    </w:p>
    <w:p>
      <w:pPr>
        <w:spacing w:after="0" w:line="225" w:lineRule="exact"/>
        <w:rPr>
          <w:sz w:val="20"/>
          <w:szCs w:val="20"/>
          <w:color w:val="auto"/>
        </w:rPr>
      </w:pPr>
    </w:p>
    <w:p>
      <w:pPr>
        <w:ind w:firstLine="414"/>
        <w:spacing w:after="0" w:line="272" w:lineRule="auto"/>
        <w:rPr>
          <w:sz w:val="20"/>
          <w:szCs w:val="20"/>
          <w:color w:val="auto"/>
        </w:rPr>
      </w:pPr>
      <w:r>
        <w:rPr>
          <w:rFonts w:ascii="Arial" w:cs="Arial" w:eastAsia="Arial" w:hAnsi="Arial"/>
          <w:sz w:val="17"/>
          <w:szCs w:val="17"/>
          <w:color w:val="auto"/>
        </w:rPr>
        <w:t>To the extent that our investments are exchange traded and are priced or have sufficient price indications from normal course trading at or around the valuation date (financial reporting date), such pricing will determine fair value. Pricing service marks from third party pricing services may be used as an indication of fair value, depending on the volume and reliability of the marks, sufficient and reasonable correlation of bid and ask quotes, and, most importantly, the level of actual trading activity. However, most of our investments are illiquid investments with little or no trading activity. Further, we have been unable to identify directly comparable market indices or other market guidance that correlate directly to the types of investments we own. As a result, for most of our assets, we determine fair value using alternative methodologies and models using available market data, as adjusted, to reflect the types of assets we own, their structure, qualitative and credit attributes and other asset specific characteristics.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0" w:name="page61"/>
    <w:bookmarkEnd w:id="60"/>
    <w:p>
      <w:pPr>
        <w:ind w:firstLine="414"/>
        <w:spacing w:after="0" w:line="286" w:lineRule="auto"/>
        <w:rPr>
          <w:sz w:val="20"/>
          <w:szCs w:val="20"/>
          <w:color w:val="auto"/>
        </w:rPr>
      </w:pPr>
      <w:r>
        <w:rPr>
          <w:rFonts w:ascii="Arial" w:cs="Arial" w:eastAsia="Arial" w:hAnsi="Arial"/>
          <w:sz w:val="16"/>
          <w:szCs w:val="16"/>
          <w:color w:val="auto"/>
        </w:rPr>
        <w:t>We derive fair value for our illiquid investments that do not have indicative fair values based upon active trades primarily by using the Market Yield Approach and also consider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We have identified these two indices as benchmarks for broad market information related to our loan and debt investments. Because we have not identified any market index that directly correlates to the loan and debt investments held by us and therefore use the two benchmark indices, these market indices may require significant adjustment to better correlate such market data for the calculation of fair value of the investment under the Market Yield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and Equity-Related Securities.</w:t>
      </w:r>
    </w:p>
    <w:p>
      <w:pPr>
        <w:spacing w:after="0" w:line="225" w:lineRule="exact"/>
        <w:rPr>
          <w:sz w:val="20"/>
          <w:szCs w:val="20"/>
          <w:color w:val="auto"/>
        </w:rPr>
      </w:pPr>
    </w:p>
    <w:p>
      <w:pPr>
        <w:ind w:right="20" w:firstLine="414"/>
        <w:spacing w:after="0" w:line="273" w:lineRule="auto"/>
        <w:rPr>
          <w:sz w:val="20"/>
          <w:szCs w:val="20"/>
          <w:color w:val="auto"/>
        </w:rPr>
      </w:pPr>
      <w:r>
        <w:rPr>
          <w:rFonts w:ascii="Arial" w:cs="Arial" w:eastAsia="Arial" w:hAnsi="Arial"/>
          <w:sz w:val="17"/>
          <w:szCs w:val="17"/>
          <w:color w:val="auto"/>
        </w:rPr>
        <w:t>Our equity and equity-related securities in portfolio companies for which there is no liquid public market are carried at fair value based on the enterprise value of the portfolio company, which is determined using various factors, including EBITDA,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The values of our equity and equity-related securities in public companies for which market quotations are readily available are based upon the closing public market price on the balance sheet date. Securities that carry certain restrictions on sale are typically valued at a discount from the public market value of the security.</w:t>
      </w:r>
    </w:p>
    <w:p>
      <w:pPr>
        <w:spacing w:after="0" w:line="178" w:lineRule="exact"/>
        <w:rPr>
          <w:sz w:val="20"/>
          <w:szCs w:val="20"/>
          <w:color w:val="auto"/>
        </w:rPr>
      </w:pPr>
    </w:p>
    <w:p>
      <w:pPr>
        <w:ind w:right="160" w:firstLine="414"/>
        <w:spacing w:after="0" w:line="272" w:lineRule="auto"/>
        <w:rPr>
          <w:sz w:val="20"/>
          <w:szCs w:val="20"/>
          <w:color w:val="auto"/>
        </w:rPr>
      </w:pPr>
      <w:r>
        <w:rPr>
          <w:rFonts w:ascii="Arial" w:cs="Arial" w:eastAsia="Arial" w:hAnsi="Arial"/>
          <w:sz w:val="17"/>
          <w:szCs w:val="17"/>
          <w:color w:val="auto"/>
        </w:rPr>
        <w:t>The significant inputs used to determine the fair value of equity and equity-related securities include prices, earnings, EBITDA and cash flows after capital expenditures for similar peer comparables and the investment entity itself. Equity and equity-related securities are classified as Level III as described in—“Critical Accounting Policies—Valuation of Portfolio Investments” below), when there is limited activity or less transparency around inputs to the valuation given the lack of information related to such equity investments held in nonpublic companies. Significant assumptions observed for comparable companies as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78" w:lineRule="exact"/>
        <w:rPr>
          <w:sz w:val="20"/>
          <w:szCs w:val="20"/>
          <w:color w:val="auto"/>
        </w:rPr>
      </w:pPr>
    </w:p>
    <w:p>
      <w:pPr>
        <w:ind w:right="600" w:firstLine="414"/>
        <w:spacing w:after="0" w:line="277" w:lineRule="auto"/>
        <w:rPr>
          <w:sz w:val="20"/>
          <w:szCs w:val="20"/>
          <w:color w:val="auto"/>
        </w:rPr>
      </w:pPr>
      <w:r>
        <w:rPr>
          <w:rFonts w:ascii="Arial" w:cs="Arial" w:eastAsia="Arial" w:hAnsi="Arial"/>
          <w:sz w:val="18"/>
          <w:szCs w:val="18"/>
          <w:color w:val="auto"/>
        </w:rPr>
        <w:t>At June 30, 2013 and December 31, 2012, our investments in income producing loans and debt securities, excluding CLO Fund securities, had a weighted average interest rate of approximately 6.8% and 7.5%, respectively.</w:t>
      </w:r>
    </w:p>
    <w:p>
      <w:pPr>
        <w:spacing w:after="0" w:line="170" w:lineRule="exact"/>
        <w:rPr>
          <w:sz w:val="20"/>
          <w:szCs w:val="20"/>
          <w:color w:val="auto"/>
        </w:rPr>
      </w:pPr>
    </w:p>
    <w:p>
      <w:pPr>
        <w:jc w:val="both"/>
        <w:ind w:right="140" w:firstLine="324"/>
        <w:spacing w:after="0" w:line="302" w:lineRule="auto"/>
        <w:rPr>
          <w:sz w:val="20"/>
          <w:szCs w:val="20"/>
          <w:color w:val="auto"/>
        </w:rPr>
      </w:pPr>
      <w:r>
        <w:rPr>
          <w:rFonts w:ascii="Arial" w:cs="Arial" w:eastAsia="Arial" w:hAnsi="Arial"/>
          <w:sz w:val="16"/>
          <w:szCs w:val="16"/>
          <w:color w:val="auto"/>
        </w:rPr>
        <w:t>The investment portfolio (excluding the Company’s investments in its Asset Manager Affiliates and CLO Funds) at June 30, 2013 was spread across 26 different industries and 69 different entities with an average balance per entity of approximately $2.8 million. As of June 30, 2013, all but five of our issuers (representing less than 1% of total investments at fair value) were current on their debt service obligations. Our portfolio, including the CLO Funds in which it invests, and the CLO Funds managed by our Asset Manager Affiliates consist almost exclusively of credit instruments issued by corporations.</w:t>
      </w:r>
    </w:p>
    <w:p>
      <w:pPr>
        <w:spacing w:after="0" w:line="154"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We may invest up to 30% of our investment portfolio in opportunistic investments in high-yield bonds, debt and equity securities of CLO Funds or, distressed debt or equity securities of public companies. At June 30, 2013, approximately 18.3% of our total assets were invested in such assets.</w:t>
      </w:r>
    </w:p>
    <w:p>
      <w:pPr>
        <w:spacing w:after="0" w:line="124"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At June 30, 2013, our ten largest portfolio companies represented approximately 55% of the total fair value of our investments. Our largest investment is comprised of our wholly-owned Asset Manager Affiliates and represented 20% of the total fair value of our investments. Excluding our Asset Manager Affiliates and CLO Fund securities, our ten largest portfolio companies represent approximately 12% of the total fair value of our investments.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1" w:name="page62"/>
    <w:bookmarkEnd w:id="61"/>
    <w:p>
      <w:pPr>
        <w:ind w:left="220"/>
        <w:spacing w:after="0"/>
        <w:rPr>
          <w:sz w:val="20"/>
          <w:szCs w:val="20"/>
          <w:color w:val="auto"/>
        </w:rPr>
      </w:pPr>
      <w:r>
        <w:rPr>
          <w:rFonts w:ascii="Arial" w:cs="Arial" w:eastAsia="Arial" w:hAnsi="Arial"/>
          <w:sz w:val="18"/>
          <w:szCs w:val="18"/>
          <w:b w:val="1"/>
          <w:bCs w:val="1"/>
          <w:i w:val="1"/>
          <w:iCs w:val="1"/>
          <w:color w:val="auto"/>
        </w:rPr>
        <w:t>CLO Fund Securities</w:t>
      </w:r>
    </w:p>
    <w:p>
      <w:pPr>
        <w:spacing w:after="0" w:line="225" w:lineRule="exact"/>
        <w:rPr>
          <w:sz w:val="20"/>
          <w:szCs w:val="20"/>
          <w:color w:val="auto"/>
        </w:rPr>
      </w:pPr>
    </w:p>
    <w:p>
      <w:pPr>
        <w:ind w:right="440" w:firstLine="324"/>
        <w:spacing w:after="0" w:line="312" w:lineRule="auto"/>
        <w:rPr>
          <w:sz w:val="20"/>
          <w:szCs w:val="20"/>
          <w:color w:val="auto"/>
        </w:rPr>
      </w:pPr>
      <w:r>
        <w:rPr>
          <w:rFonts w:ascii="Arial" w:cs="Arial" w:eastAsia="Arial" w:hAnsi="Arial"/>
          <w:sz w:val="16"/>
          <w:szCs w:val="16"/>
          <w:color w:val="auto"/>
        </w:rPr>
        <w:t>We typically make a minority investment in the subordinated securities or preferred stock of CLO Funds raised and managed by our Asset Manager Affiliates and may selectively invest in securities issued by CLO Funds managed by other asset management companies. As of June 30, 2013, we had approximately $81 million invested in CLO Fund securities, including those issued by funds managed by our Asset Manager Affiliates.</w:t>
      </w:r>
    </w:p>
    <w:p>
      <w:pPr>
        <w:spacing w:after="0" w:line="147" w:lineRule="exact"/>
        <w:rPr>
          <w:sz w:val="20"/>
          <w:szCs w:val="20"/>
          <w:color w:val="auto"/>
        </w:rPr>
      </w:pPr>
    </w:p>
    <w:p>
      <w:pPr>
        <w:ind w:right="360" w:firstLine="414"/>
        <w:spacing w:after="0" w:line="264" w:lineRule="auto"/>
        <w:rPr>
          <w:sz w:val="20"/>
          <w:szCs w:val="20"/>
          <w:color w:val="auto"/>
        </w:rPr>
      </w:pPr>
      <w:r>
        <w:rPr>
          <w:rFonts w:ascii="Arial" w:cs="Arial" w:eastAsia="Arial" w:hAnsi="Arial"/>
          <w:sz w:val="18"/>
          <w:szCs w:val="18"/>
          <w:color w:val="auto"/>
        </w:rPr>
        <w:t>The CLO Funds managed by our Asset Manager Affiliates invest primarily in broadly syndicated non-investment grade loans, high-yield bonds and other credit instruments of corporate issuers. The underlying assets in each of the CLO Funds in which we have an investment are generally diversified secured or unsecured corporate debt.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CLO Fund investments as of June 30, 2013 and December 31, 2012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vMerge w:val="restart"/>
          </w:tcPr>
          <w:p>
            <w:pPr>
              <w:jc w:val="right"/>
              <w:ind w:right="371"/>
              <w:spacing w:after="0"/>
              <w:rPr>
                <w:sz w:val="20"/>
                <w:szCs w:val="20"/>
                <w:color w:val="auto"/>
              </w:rPr>
            </w:pPr>
            <w:r>
              <w:rPr>
                <w:rFonts w:ascii="Arial" w:cs="Arial" w:eastAsia="Arial" w:hAnsi="Arial"/>
                <w:sz w:val="36"/>
                <w:szCs w:val="36"/>
                <w:b w:val="1"/>
                <w:bCs w:val="1"/>
                <w:color w:val="auto"/>
                <w:vertAlign w:val="subscript"/>
              </w:rPr>
              <w:t>%</w:t>
            </w:r>
            <w:r>
              <w:rPr>
                <w:rFonts w:ascii="Arial" w:cs="Arial" w:eastAsia="Arial" w:hAnsi="Arial"/>
                <w:sz w:val="15"/>
                <w:szCs w:val="15"/>
                <w:b w:val="1"/>
                <w:bCs w:val="1"/>
                <w:color w:val="auto"/>
              </w:rPr>
              <w:t>1</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w w:val="94"/>
              </w:rPr>
              <w:t>June 30, 2013 (unaudited)</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December 31, 2012</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CLO Fund Securities</w:t>
            </w:r>
          </w:p>
        </w:tc>
        <w:tc>
          <w:tcPr>
            <w:tcW w:w="100" w:type="dxa"/>
            <w:vAlign w:val="bottom"/>
            <w:tcBorders>
              <w:bottom w:val="single" w:sz="8" w:color="CCFFCC"/>
            </w:tcBorders>
          </w:tcPr>
          <w:p>
            <w:pPr>
              <w:spacing w:after="0"/>
              <w:rPr>
                <w:sz w:val="20"/>
                <w:szCs w:val="20"/>
                <w:color w:val="auto"/>
              </w:rPr>
            </w:pPr>
          </w:p>
        </w:tc>
        <w:tc>
          <w:tcPr>
            <w:tcW w:w="17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Investment</w:t>
            </w:r>
          </w:p>
        </w:tc>
        <w:tc>
          <w:tcPr>
            <w:tcW w:w="10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Borders>
              <w:bottom w:val="single" w:sz="8" w:color="CCFFCC"/>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shd w:val="clear" w:color="auto" w:fill="CCFFCC"/>
          </w:tcPr>
          <w:p>
            <w:pPr>
              <w:spacing w:after="0"/>
              <w:rPr>
                <w:sz w:val="20"/>
                <w:szCs w:val="20"/>
                <w:color w:val="auto"/>
              </w:rPr>
            </w:pPr>
            <w:r>
              <w:rPr>
                <w:rFonts w:ascii="Arial" w:cs="Arial" w:eastAsia="Arial" w:hAnsi="Arial"/>
                <w:sz w:val="18"/>
                <w:szCs w:val="18"/>
                <w:color w:val="auto"/>
              </w:rPr>
              <w:t>Grant Grove CLO, Ltd.</w:t>
            </w:r>
          </w:p>
        </w:tc>
        <w:tc>
          <w:tcPr>
            <w:tcW w:w="10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20"/>
                <w:szCs w:val="20"/>
                <w:color w:val="auto"/>
              </w:rPr>
            </w:pPr>
            <w:r>
              <w:rPr>
                <w:rFonts w:ascii="Arial" w:cs="Arial" w:eastAsia="Arial" w:hAnsi="Arial"/>
                <w:sz w:val="18"/>
                <w:szCs w:val="18"/>
                <w:color w:val="auto"/>
                <w:w w:val="88"/>
              </w:rPr>
              <w:t>Subordinated Securities</w:t>
            </w:r>
          </w:p>
        </w:tc>
        <w:tc>
          <w:tcPr>
            <w:tcW w:w="1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4,774,950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1,508,300</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4,925,009</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3,124,924</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0" w:type="dxa"/>
            <w:vAlign w:val="bottom"/>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Preferred Shares</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1,638,683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275,000</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2,242,014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Katonah V, Ltd.</w:t>
            </w:r>
            <w:r>
              <w:rPr>
                <w:rFonts w:ascii="Arial" w:cs="Arial" w:eastAsia="Arial" w:hAnsi="Arial"/>
                <w:sz w:val="29"/>
                <w:szCs w:val="29"/>
                <w:color w:val="auto"/>
                <w:vertAlign w:val="superscript"/>
              </w:rPr>
              <w:t>3</w:t>
            </w:r>
          </w:p>
        </w:tc>
        <w:tc>
          <w:tcPr>
            <w:tcW w:w="1920" w:type="dxa"/>
            <w:vAlign w:val="bottom"/>
            <w:gridSpan w:val="3"/>
            <w:shd w:val="clear" w:color="auto" w:fill="CCFFCC"/>
          </w:tcPr>
          <w:p>
            <w:pPr>
              <w:ind w:left="100"/>
              <w:spacing w:after="0"/>
              <w:rPr>
                <w:sz w:val="20"/>
                <w:szCs w:val="20"/>
                <w:color w:val="auto"/>
              </w:rPr>
            </w:pPr>
            <w:r>
              <w:rPr>
                <w:rFonts w:ascii="Arial" w:cs="Arial" w:eastAsia="Arial" w:hAnsi="Arial"/>
                <w:sz w:val="18"/>
                <w:szCs w:val="18"/>
                <w:color w:val="auto"/>
              </w:rPr>
              <w:t>Preferred Shares</w:t>
            </w:r>
          </w:p>
        </w:tc>
        <w:tc>
          <w:tcPr>
            <w:tcW w:w="1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3,320,000</w:t>
            </w: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FFCC"/>
          </w:tcPr>
          <w:p>
            <w:pPr>
              <w:spacing w:after="0"/>
              <w:rPr>
                <w:sz w:val="22"/>
                <w:szCs w:val="22"/>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3,320,000</w:t>
            </w:r>
          </w:p>
        </w:tc>
        <w:tc>
          <w:tcPr>
            <w:tcW w:w="2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0" w:type="dxa"/>
            <w:vAlign w:val="bottom"/>
          </w:tcPr>
          <w:p>
            <w:pPr>
              <w:spacing w:after="0" w:line="256" w:lineRule="exact"/>
              <w:rPr>
                <w:sz w:val="20"/>
                <w:szCs w:val="20"/>
                <w:color w:val="auto"/>
              </w:rPr>
            </w:pPr>
            <w:r>
              <w:rPr>
                <w:rFonts w:ascii="Arial" w:cs="Arial" w:eastAsia="Arial" w:hAnsi="Arial"/>
                <w:sz w:val="18"/>
                <w:szCs w:val="18"/>
                <w:color w:val="auto"/>
              </w:rPr>
              <w:t>Katonah VII CLO Ltd.</w:t>
            </w:r>
            <w:r>
              <w:rPr>
                <w:rFonts w:ascii="Arial" w:cs="Arial" w:eastAsia="Arial" w:hAnsi="Arial"/>
                <w:sz w:val="29"/>
                <w:szCs w:val="29"/>
                <w:color w:val="auto"/>
                <w:vertAlign w:val="superscript"/>
              </w:rPr>
              <w:t>2</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w w:val="94"/>
              </w:rPr>
              <w:t>Subordinated Securities</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4,506,993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1,794,645</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4,574,393</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2,120,168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Katonah VIII CLO Ltd.</w:t>
            </w:r>
            <w:r>
              <w:rPr>
                <w:rFonts w:ascii="Arial" w:cs="Arial" w:eastAsia="Arial" w:hAnsi="Arial"/>
                <w:sz w:val="29"/>
                <w:szCs w:val="29"/>
                <w:color w:val="auto"/>
                <w:vertAlign w:val="superscript"/>
              </w:rPr>
              <w:t>2</w:t>
            </w:r>
          </w:p>
        </w:tc>
        <w:tc>
          <w:tcPr>
            <w:tcW w:w="1920" w:type="dxa"/>
            <w:vAlign w:val="bottom"/>
            <w:gridSpan w:val="3"/>
            <w:shd w:val="clear" w:color="auto" w:fill="CCFFCC"/>
          </w:tcPr>
          <w:p>
            <w:pPr>
              <w:ind w:left="100"/>
              <w:spacing w:after="0"/>
              <w:rPr>
                <w:sz w:val="20"/>
                <w:szCs w:val="20"/>
                <w:color w:val="auto"/>
              </w:rPr>
            </w:pPr>
            <w:r>
              <w:rPr>
                <w:rFonts w:ascii="Arial" w:cs="Arial" w:eastAsia="Arial" w:hAnsi="Arial"/>
                <w:sz w:val="18"/>
                <w:szCs w:val="18"/>
                <w:color w:val="auto"/>
                <w:w w:val="94"/>
              </w:rPr>
              <w:t>Subordinated Securities</w:t>
            </w:r>
          </w:p>
        </w:tc>
        <w:tc>
          <w:tcPr>
            <w:tcW w:w="1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3,402,805</w:t>
            </w: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1,693,953</w:t>
            </w:r>
          </w:p>
        </w:tc>
        <w:tc>
          <w:tcPr>
            <w:tcW w:w="240" w:type="dxa"/>
            <w:vAlign w:val="bottom"/>
            <w:shd w:val="clear" w:color="auto" w:fill="CCFFCC"/>
          </w:tcPr>
          <w:p>
            <w:pPr>
              <w:spacing w:after="0"/>
              <w:rPr>
                <w:sz w:val="22"/>
                <w:szCs w:val="22"/>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3,450,705</w:t>
            </w:r>
          </w:p>
        </w:tc>
        <w:tc>
          <w:tcPr>
            <w:tcW w:w="2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2,171,998</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0" w:type="dxa"/>
            <w:vAlign w:val="bottom"/>
          </w:tcPr>
          <w:p>
            <w:pPr>
              <w:spacing w:after="0" w:line="256" w:lineRule="exact"/>
              <w:rPr>
                <w:sz w:val="20"/>
                <w:szCs w:val="20"/>
                <w:color w:val="auto"/>
              </w:rPr>
            </w:pPr>
            <w:r>
              <w:rPr>
                <w:rFonts w:ascii="Arial" w:cs="Arial" w:eastAsia="Arial" w:hAnsi="Arial"/>
                <w:sz w:val="18"/>
                <w:szCs w:val="18"/>
                <w:color w:val="auto"/>
              </w:rPr>
              <w:t>Katonah IX CLO Ltd.</w:t>
            </w:r>
            <w:r>
              <w:rPr>
                <w:rFonts w:ascii="Arial" w:cs="Arial" w:eastAsia="Arial" w:hAnsi="Arial"/>
                <w:sz w:val="29"/>
                <w:szCs w:val="29"/>
                <w:color w:val="auto"/>
                <w:vertAlign w:val="superscript"/>
              </w:rPr>
              <w:t>2</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Preferred Shares</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2,048,387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1,152,825</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2,082,987</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1,488,895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Katonah X CLO Ltd.</w:t>
            </w:r>
            <w:r>
              <w:rPr>
                <w:rFonts w:ascii="Arial" w:cs="Arial" w:eastAsia="Arial" w:hAnsi="Arial"/>
                <w:sz w:val="29"/>
                <w:szCs w:val="29"/>
                <w:color w:val="auto"/>
                <w:vertAlign w:val="superscript"/>
              </w:rPr>
              <w:t>2</w:t>
            </w:r>
          </w:p>
        </w:tc>
        <w:tc>
          <w:tcPr>
            <w:tcW w:w="1920" w:type="dxa"/>
            <w:vAlign w:val="bottom"/>
            <w:gridSpan w:val="3"/>
            <w:shd w:val="clear" w:color="auto" w:fill="CCFFCC"/>
          </w:tcPr>
          <w:p>
            <w:pPr>
              <w:ind w:left="100"/>
              <w:spacing w:after="0"/>
              <w:rPr>
                <w:sz w:val="20"/>
                <w:szCs w:val="20"/>
                <w:color w:val="auto"/>
              </w:rPr>
            </w:pPr>
            <w:r>
              <w:rPr>
                <w:rFonts w:ascii="Arial" w:cs="Arial" w:eastAsia="Arial" w:hAnsi="Arial"/>
                <w:sz w:val="18"/>
                <w:szCs w:val="18"/>
                <w:color w:val="auto"/>
                <w:w w:val="94"/>
              </w:rPr>
              <w:t>Subordinated Securities</w:t>
            </w:r>
          </w:p>
        </w:tc>
        <w:tc>
          <w:tcPr>
            <w:tcW w:w="1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11,808,757</w:t>
            </w: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7,248,469</w:t>
            </w:r>
          </w:p>
        </w:tc>
        <w:tc>
          <w:tcPr>
            <w:tcW w:w="240" w:type="dxa"/>
            <w:vAlign w:val="bottom"/>
            <w:shd w:val="clear" w:color="auto" w:fill="CCFFCC"/>
          </w:tcPr>
          <w:p>
            <w:pPr>
              <w:spacing w:after="0"/>
              <w:rPr>
                <w:sz w:val="22"/>
                <w:szCs w:val="22"/>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11,934,600</w:t>
            </w:r>
          </w:p>
        </w:tc>
        <w:tc>
          <w:tcPr>
            <w:tcW w:w="1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9,455,511</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0" w:type="dxa"/>
            <w:vAlign w:val="bottom"/>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2</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Preferred Shares</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31,086,319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28,839,886</w:t>
            </w:r>
          </w:p>
        </w:tc>
        <w:tc>
          <w:tcPr>
            <w:tcW w:w="2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31,189,147</w:t>
            </w:r>
          </w:p>
        </w:tc>
        <w:tc>
          <w:tcPr>
            <w:tcW w:w="1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30,091,886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2</w:t>
            </w:r>
          </w:p>
        </w:tc>
        <w:tc>
          <w:tcPr>
            <w:tcW w:w="1920" w:type="dxa"/>
            <w:vAlign w:val="bottom"/>
            <w:gridSpan w:val="3"/>
            <w:shd w:val="clear" w:color="auto" w:fill="CCFFCC"/>
          </w:tcPr>
          <w:p>
            <w:pPr>
              <w:ind w:left="100"/>
              <w:spacing w:after="0"/>
              <w:rPr>
                <w:sz w:val="20"/>
                <w:szCs w:val="20"/>
                <w:color w:val="auto"/>
              </w:rPr>
            </w:pPr>
            <w:r>
              <w:rPr>
                <w:rFonts w:ascii="Arial" w:cs="Arial" w:eastAsia="Arial" w:hAnsi="Arial"/>
                <w:sz w:val="18"/>
                <w:szCs w:val="18"/>
                <w:color w:val="auto"/>
              </w:rPr>
              <w:t>Class B-2L Notes</w:t>
            </w:r>
          </w:p>
        </w:tc>
        <w:tc>
          <w:tcPr>
            <w:tcW w:w="1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1,271,689</w:t>
            </w: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9,300,000</w:t>
            </w:r>
          </w:p>
        </w:tc>
        <w:tc>
          <w:tcPr>
            <w:tcW w:w="240" w:type="dxa"/>
            <w:vAlign w:val="bottom"/>
            <w:shd w:val="clear" w:color="auto" w:fill="CCFFCC"/>
          </w:tcPr>
          <w:p>
            <w:pPr>
              <w:spacing w:after="0"/>
              <w:rPr>
                <w:sz w:val="22"/>
                <w:szCs w:val="22"/>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1,252,191</w:t>
            </w:r>
          </w:p>
        </w:tc>
        <w:tc>
          <w:tcPr>
            <w:tcW w:w="2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9,140,000</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0" w:type="dxa"/>
            <w:vAlign w:val="bottom"/>
          </w:tcPr>
          <w:p>
            <w:pPr>
              <w:spacing w:after="0" w:line="256" w:lineRule="exact"/>
              <w:rPr>
                <w:sz w:val="20"/>
                <w:szCs w:val="20"/>
                <w:color w:val="auto"/>
              </w:rPr>
            </w:pPr>
            <w:r>
              <w:rPr>
                <w:rFonts w:ascii="Arial" w:cs="Arial" w:eastAsia="Arial" w:hAnsi="Arial"/>
                <w:sz w:val="18"/>
                <w:szCs w:val="18"/>
                <w:color w:val="auto"/>
              </w:rPr>
              <w:t>Trimaran CLO IV, Ltd.</w:t>
            </w:r>
            <w:r>
              <w:rPr>
                <w:rFonts w:ascii="Arial" w:cs="Arial" w:eastAsia="Arial" w:hAnsi="Arial"/>
                <w:sz w:val="29"/>
                <w:szCs w:val="29"/>
                <w:color w:val="auto"/>
                <w:vertAlign w:val="superscript"/>
              </w:rPr>
              <w:t>2</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Preferred Shares</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3,564,300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2,720,782</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3,616,600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3,575,571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Trimaran CLO V, Ltd.</w:t>
            </w:r>
            <w:r>
              <w:rPr>
                <w:rFonts w:ascii="Arial" w:cs="Arial" w:eastAsia="Arial" w:hAnsi="Arial"/>
                <w:sz w:val="29"/>
                <w:szCs w:val="29"/>
                <w:color w:val="auto"/>
                <w:vertAlign w:val="superscript"/>
              </w:rPr>
              <w:t>2</w:t>
            </w:r>
          </w:p>
        </w:tc>
        <w:tc>
          <w:tcPr>
            <w:tcW w:w="1920" w:type="dxa"/>
            <w:vAlign w:val="bottom"/>
            <w:gridSpan w:val="3"/>
            <w:shd w:val="clear" w:color="auto" w:fill="CCFFCC"/>
          </w:tcPr>
          <w:p>
            <w:pPr>
              <w:ind w:left="100"/>
              <w:spacing w:after="0"/>
              <w:rPr>
                <w:sz w:val="20"/>
                <w:szCs w:val="20"/>
                <w:color w:val="auto"/>
              </w:rPr>
            </w:pPr>
            <w:r>
              <w:rPr>
                <w:rFonts w:ascii="Arial" w:cs="Arial" w:eastAsia="Arial" w:hAnsi="Arial"/>
                <w:sz w:val="18"/>
                <w:szCs w:val="18"/>
                <w:color w:val="auto"/>
              </w:rPr>
              <w:t>Subordinated Notes</w:t>
            </w:r>
          </w:p>
        </w:tc>
        <w:tc>
          <w:tcPr>
            <w:tcW w:w="1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2,725,500</w:t>
            </w: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2,285,013</w:t>
            </w:r>
          </w:p>
        </w:tc>
        <w:tc>
          <w:tcPr>
            <w:tcW w:w="240" w:type="dxa"/>
            <w:vAlign w:val="bottom"/>
            <w:shd w:val="clear" w:color="auto" w:fill="CCFFCC"/>
          </w:tcPr>
          <w:p>
            <w:pPr>
              <w:spacing w:after="0"/>
              <w:rPr>
                <w:sz w:val="22"/>
                <w:szCs w:val="22"/>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2,757,100</w:t>
            </w:r>
          </w:p>
        </w:tc>
        <w:tc>
          <w:tcPr>
            <w:tcW w:w="2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2,930,004</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0" w:type="dxa"/>
            <w:vAlign w:val="bottom"/>
          </w:tcPr>
          <w:p>
            <w:pPr>
              <w:spacing w:after="0" w:line="256" w:lineRule="exact"/>
              <w:rPr>
                <w:sz w:val="20"/>
                <w:szCs w:val="20"/>
                <w:color w:val="auto"/>
              </w:rPr>
            </w:pPr>
            <w:r>
              <w:rPr>
                <w:rFonts w:ascii="Arial" w:cs="Arial" w:eastAsia="Arial" w:hAnsi="Arial"/>
                <w:sz w:val="18"/>
                <w:szCs w:val="18"/>
                <w:color w:val="auto"/>
              </w:rPr>
              <w:t>Trimaran CLO VI, Ltd.</w:t>
            </w:r>
            <w:r>
              <w:rPr>
                <w:rFonts w:ascii="Arial" w:cs="Arial" w:eastAsia="Arial" w:hAnsi="Arial"/>
                <w:sz w:val="29"/>
                <w:szCs w:val="29"/>
                <w:color w:val="auto"/>
                <w:vertAlign w:val="superscript"/>
              </w:rPr>
              <w:t>2</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Income Notes</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2,822,200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2,100,121</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2,894,700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2,936,626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2</w:t>
            </w:r>
          </w:p>
        </w:tc>
        <w:tc>
          <w:tcPr>
            <w:tcW w:w="1920" w:type="dxa"/>
            <w:vAlign w:val="bottom"/>
            <w:gridSpan w:val="3"/>
            <w:shd w:val="clear" w:color="auto" w:fill="CCFFCC"/>
          </w:tcPr>
          <w:p>
            <w:pPr>
              <w:ind w:left="100"/>
              <w:spacing w:after="0"/>
              <w:rPr>
                <w:sz w:val="20"/>
                <w:szCs w:val="20"/>
                <w:color w:val="auto"/>
              </w:rPr>
            </w:pPr>
            <w:r>
              <w:rPr>
                <w:rFonts w:ascii="Arial" w:cs="Arial" w:eastAsia="Arial" w:hAnsi="Arial"/>
                <w:sz w:val="18"/>
                <w:szCs w:val="18"/>
                <w:color w:val="auto"/>
              </w:rPr>
              <w:t>Income Notes</w:t>
            </w:r>
          </w:p>
        </w:tc>
        <w:tc>
          <w:tcPr>
            <w:tcW w:w="1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3,135,000</w:t>
            </w: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2,665,891</w:t>
            </w:r>
          </w:p>
        </w:tc>
        <w:tc>
          <w:tcPr>
            <w:tcW w:w="240" w:type="dxa"/>
            <w:vAlign w:val="bottom"/>
            <w:shd w:val="clear" w:color="auto" w:fill="CCFFCC"/>
          </w:tcPr>
          <w:p>
            <w:pPr>
              <w:spacing w:after="0"/>
              <w:rPr>
                <w:sz w:val="22"/>
                <w:szCs w:val="22"/>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3,146,900</w:t>
            </w:r>
          </w:p>
        </w:tc>
        <w:tc>
          <w:tcPr>
            <w:tcW w:w="2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3,357,924</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0" w:type="dxa"/>
            <w:vAlign w:val="bottom"/>
          </w:tcPr>
          <w:p>
            <w:pPr>
              <w:spacing w:after="0" w:line="256" w:lineRule="exact"/>
              <w:rPr>
                <w:sz w:val="20"/>
                <w:szCs w:val="20"/>
                <w:color w:val="auto"/>
              </w:rPr>
            </w:pPr>
            <w:r>
              <w:rPr>
                <w:rFonts w:ascii="Arial" w:cs="Arial" w:eastAsia="Arial" w:hAnsi="Arial"/>
                <w:sz w:val="18"/>
                <w:szCs w:val="18"/>
                <w:color w:val="auto"/>
              </w:rPr>
              <w:t>Catamaran CLO 2012-1 Ltd.</w:t>
            </w:r>
            <w:r>
              <w:rPr>
                <w:rFonts w:ascii="Arial" w:cs="Arial" w:eastAsia="Arial" w:hAnsi="Arial"/>
                <w:sz w:val="29"/>
                <w:szCs w:val="29"/>
                <w:color w:val="auto"/>
                <w:vertAlign w:val="superscript"/>
              </w:rPr>
              <w:t>2</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Subordinated Notes</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8,991,591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7,599,000</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8,982,400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8,493,000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Catamaran CLO 2012-1 Ltd.</w:t>
            </w:r>
            <w:r>
              <w:rPr>
                <w:rFonts w:ascii="Arial" w:cs="Arial" w:eastAsia="Arial" w:hAnsi="Arial"/>
                <w:sz w:val="29"/>
                <w:szCs w:val="29"/>
                <w:color w:val="auto"/>
                <w:vertAlign w:val="superscript"/>
              </w:rPr>
              <w:t>2</w:t>
            </w:r>
          </w:p>
        </w:tc>
        <w:tc>
          <w:tcPr>
            <w:tcW w:w="1920" w:type="dxa"/>
            <w:vAlign w:val="bottom"/>
            <w:gridSpan w:val="3"/>
            <w:shd w:val="clear" w:color="auto" w:fill="CCFFCC"/>
          </w:tcPr>
          <w:p>
            <w:pPr>
              <w:ind w:left="100"/>
              <w:spacing w:after="0"/>
              <w:rPr>
                <w:sz w:val="20"/>
                <w:szCs w:val="20"/>
                <w:color w:val="auto"/>
              </w:rPr>
            </w:pPr>
            <w:r>
              <w:rPr>
                <w:rFonts w:ascii="Arial" w:cs="Arial" w:eastAsia="Arial" w:hAnsi="Arial"/>
                <w:sz w:val="18"/>
                <w:szCs w:val="18"/>
                <w:color w:val="auto"/>
              </w:rPr>
              <w:t>Class F Notes</w:t>
            </w:r>
          </w:p>
        </w:tc>
        <w:tc>
          <w:tcPr>
            <w:tcW w:w="1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3,803,846</w:t>
            </w: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4,020,000</w:t>
            </w:r>
          </w:p>
        </w:tc>
        <w:tc>
          <w:tcPr>
            <w:tcW w:w="240" w:type="dxa"/>
            <w:vAlign w:val="bottom"/>
            <w:shd w:val="clear" w:color="auto" w:fill="CCFFCC"/>
          </w:tcPr>
          <w:p>
            <w:pPr>
              <w:spacing w:after="0"/>
              <w:rPr>
                <w:sz w:val="22"/>
                <w:szCs w:val="22"/>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3,777,664</w:t>
            </w:r>
          </w:p>
        </w:tc>
        <w:tc>
          <w:tcPr>
            <w:tcW w:w="2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3,770,000</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0" w:type="dxa"/>
            <w:vAlign w:val="bottom"/>
          </w:tcPr>
          <w:p>
            <w:pPr>
              <w:spacing w:after="0" w:line="269" w:lineRule="exact"/>
              <w:rPr>
                <w:sz w:val="20"/>
                <w:szCs w:val="20"/>
                <w:color w:val="auto"/>
              </w:rPr>
            </w:pPr>
            <w:r>
              <w:rPr>
                <w:rFonts w:ascii="Arial" w:cs="Arial" w:eastAsia="Arial" w:hAnsi="Arial"/>
                <w:sz w:val="18"/>
                <w:szCs w:val="18"/>
                <w:color w:val="auto"/>
                <w:w w:val="99"/>
              </w:rPr>
              <w:t>Catamaran CLO 2013-1 Ltd.</w:t>
            </w:r>
            <w:r>
              <w:rPr>
                <w:rFonts w:ascii="Arial" w:cs="Arial" w:eastAsia="Arial" w:hAnsi="Arial"/>
                <w:sz w:val="30"/>
                <w:szCs w:val="30"/>
                <w:color w:val="auto"/>
                <w:w w:val="99"/>
                <w:vertAlign w:val="superscript"/>
              </w:rPr>
              <w:t>2</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Subordinated Notes</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9,008,400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8,280,000</w:t>
            </w:r>
          </w:p>
        </w:tc>
        <w:tc>
          <w:tcPr>
            <w:tcW w:w="2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7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97,909,420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81,484,885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90,146,410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83,257,507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¹ Represents percentage of class held.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² An affiliate CLO Fund managed by an Asset Manager Affiliate.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³ As of June 30, 2013, this CLO Fund security was not providing a dividend distribution.</w:t>
      </w:r>
    </w:p>
    <w:p>
      <w:pPr>
        <w:spacing w:after="0" w:line="211" w:lineRule="exact"/>
        <w:rPr>
          <w:sz w:val="20"/>
          <w:szCs w:val="20"/>
          <w:color w:val="auto"/>
        </w:rPr>
      </w:pPr>
    </w:p>
    <w:p>
      <w:pPr>
        <w:ind w:right="20" w:firstLine="414"/>
        <w:spacing w:after="0" w:line="269" w:lineRule="auto"/>
        <w:rPr>
          <w:sz w:val="20"/>
          <w:szCs w:val="20"/>
          <w:color w:val="auto"/>
        </w:rPr>
      </w:pPr>
      <w:r>
        <w:rPr>
          <w:rFonts w:ascii="Arial" w:cs="Arial" w:eastAsia="Arial" w:hAnsi="Arial"/>
          <w:sz w:val="17"/>
          <w:szCs w:val="17"/>
          <w:color w:val="auto"/>
        </w:rPr>
        <w:t>Our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us,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we have invested.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investments. We determine the fair value of our investments in CLO Fund securities on a security-by-security basis.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2" w:name="page63"/>
    <w:bookmarkEnd w:id="62"/>
    <w:p>
      <w:pPr>
        <w:ind w:right="40" w:firstLine="414"/>
        <w:spacing w:after="0" w:line="288" w:lineRule="auto"/>
        <w:rPr>
          <w:sz w:val="20"/>
          <w:szCs w:val="20"/>
          <w:color w:val="auto"/>
        </w:rPr>
      </w:pPr>
      <w:r>
        <w:rPr>
          <w:rFonts w:ascii="Arial" w:cs="Arial" w:eastAsia="Arial" w:hAnsi="Arial"/>
          <w:sz w:val="16"/>
          <w:szCs w:val="16"/>
          <w:color w:val="auto"/>
        </w:rPr>
        <w:t>Due to the individual attributes of each CLO Fund security, they are classified as a Level III (as described in—“Critical Accounting Policies—Valuation of Portfolio Investments” below) investment unless specific trading activity can be identified at or near the valuation date. When available, Level II (as described in “—Critical Accounting Policies—Valuation of Portfolio Investments” below)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characterizations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We evaluate the source of market data for reliability as an indicative market input, consistency amongst other inputs and results and also the context in which such data is presented.</w:t>
      </w:r>
    </w:p>
    <w:p>
      <w:pPr>
        <w:spacing w:after="0" w:line="169" w:lineRule="exact"/>
        <w:rPr>
          <w:sz w:val="20"/>
          <w:szCs w:val="20"/>
          <w:color w:val="auto"/>
        </w:rPr>
      </w:pPr>
    </w:p>
    <w:p>
      <w:pPr>
        <w:ind w:right="20" w:firstLine="414"/>
        <w:spacing w:after="0" w:line="297" w:lineRule="auto"/>
        <w:rPr>
          <w:sz w:val="20"/>
          <w:szCs w:val="20"/>
          <w:color w:val="auto"/>
        </w:rPr>
      </w:pPr>
      <w:r>
        <w:rPr>
          <w:rFonts w:ascii="Arial" w:cs="Arial" w:eastAsia="Arial" w:hAnsi="Arial"/>
          <w:sz w:val="16"/>
          <w:szCs w:val="16"/>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considers other factors such as the default and recovery rates of underlying assets in the CLO Fund, as may be applicable. Such model assumptions may vary and incorporate adjustments for risk premiums and CLO Fund specific attributes. Such adjustments require judgment and may be material to the calculation of fair value.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unaudited table below summarizes certain attributes of each CLO Fund as per their most recent trustee reports as of June 30,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CLO Fund Securities</w:t>
            </w:r>
            <w:r>
              <w:rPr>
                <w:rFonts w:ascii="Arial" w:cs="Arial" w:eastAsia="Arial" w:hAnsi="Arial"/>
                <w:sz w:val="30"/>
                <w:szCs w:val="30"/>
                <w:b w:val="1"/>
                <w:bCs w:val="1"/>
                <w:color w:val="auto"/>
                <w:vertAlign w:val="superscript"/>
              </w:rPr>
              <w:t>1</w:t>
            </w:r>
          </w:p>
        </w:tc>
        <w:tc>
          <w:tcPr>
            <w:tcW w:w="120" w:type="dxa"/>
            <w:vAlign w:val="bottom"/>
            <w:vMerge w:val="restart"/>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 of</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 of</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Average Security</w:t>
            </w:r>
          </w:p>
        </w:tc>
        <w:tc>
          <w:tcPr>
            <w:tcW w:w="100" w:type="dxa"/>
            <w:vAlign w:val="bottom"/>
          </w:tcPr>
          <w:p>
            <w:pPr>
              <w:spacing w:after="0"/>
              <w:rPr>
                <w:sz w:val="18"/>
                <w:szCs w:val="18"/>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Average Issuer</w:t>
            </w:r>
          </w:p>
        </w:tc>
        <w:tc>
          <w:tcPr>
            <w:tcW w:w="0" w:type="dxa"/>
            <w:vAlign w:val="bottom"/>
          </w:tcPr>
          <w:p>
            <w:pPr>
              <w:spacing w:after="0"/>
              <w:rPr>
                <w:sz w:val="1"/>
                <w:szCs w:val="1"/>
                <w:color w:val="auto"/>
              </w:rPr>
            </w:pPr>
          </w:p>
        </w:tc>
      </w:tr>
      <w:tr>
        <w:trPr>
          <w:trHeight w:val="234"/>
        </w:trPr>
        <w:tc>
          <w:tcPr>
            <w:tcW w:w="40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FFCC"/>
            </w:tcBorders>
            <w:vMerge w:val="continue"/>
          </w:tcPr>
          <w:p>
            <w:pPr>
              <w:spacing w:after="0"/>
              <w:rPr>
                <w:sz w:val="20"/>
                <w:szCs w:val="20"/>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Securities</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Issuers</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Industries</w:t>
            </w:r>
          </w:p>
        </w:tc>
        <w:tc>
          <w:tcPr>
            <w:tcW w:w="12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9"/>
              </w:rPr>
              <w:t>Position Size</w:t>
            </w: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7"/>
              </w:rPr>
              <w:t>Position Size</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00" w:type="dxa"/>
            <w:vAlign w:val="bottom"/>
            <w:shd w:val="clear" w:color="auto" w:fill="CCFFCC"/>
          </w:tcPr>
          <w:p>
            <w:pPr>
              <w:spacing w:after="0" w:line="250" w:lineRule="exact"/>
              <w:rPr>
                <w:sz w:val="20"/>
                <w:szCs w:val="20"/>
                <w:color w:val="auto"/>
              </w:rPr>
            </w:pPr>
            <w:r>
              <w:rPr>
                <w:rFonts w:ascii="Arial" w:cs="Arial" w:eastAsia="Arial" w:hAnsi="Arial"/>
                <w:sz w:val="17"/>
                <w:szCs w:val="17"/>
                <w:color w:val="auto"/>
              </w:rPr>
              <w:t>Grant Grove CLO, Ltd.</w:t>
            </w:r>
            <w:r>
              <w:rPr>
                <w:rFonts w:ascii="Arial" w:cs="Arial" w:eastAsia="Arial" w:hAnsi="Arial"/>
                <w:sz w:val="28"/>
                <w:szCs w:val="28"/>
                <w:color w:val="auto"/>
                <w:vertAlign w:val="superscript"/>
              </w:rPr>
              <w:t>2</w:t>
            </w:r>
          </w:p>
        </w:tc>
        <w:tc>
          <w:tcPr>
            <w:tcW w:w="1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261</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215</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w:t>
            </w:r>
          </w:p>
        </w:tc>
        <w:tc>
          <w:tcPr>
            <w:tcW w:w="2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837,991</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1,017,282</w:t>
            </w:r>
          </w:p>
        </w:tc>
        <w:tc>
          <w:tcPr>
            <w:tcW w:w="0" w:type="dxa"/>
            <w:vAlign w:val="bottom"/>
          </w:tcPr>
          <w:p>
            <w:pPr>
              <w:spacing w:after="0"/>
              <w:rPr>
                <w:sz w:val="1"/>
                <w:szCs w:val="1"/>
                <w:color w:val="auto"/>
              </w:rPr>
            </w:pPr>
          </w:p>
        </w:tc>
      </w:tr>
      <w:tr>
        <w:trPr>
          <w:trHeight w:val="257"/>
        </w:trPr>
        <w:tc>
          <w:tcPr>
            <w:tcW w:w="4120" w:type="dxa"/>
            <w:vAlign w:val="bottom"/>
            <w:gridSpan w:val="2"/>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37,182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74,364</w:t>
            </w:r>
          </w:p>
        </w:tc>
        <w:tc>
          <w:tcPr>
            <w:tcW w:w="0" w:type="dxa"/>
            <w:vAlign w:val="bottom"/>
          </w:tcPr>
          <w:p>
            <w:pPr>
              <w:spacing w:after="0"/>
              <w:rPr>
                <w:sz w:val="1"/>
                <w:szCs w:val="1"/>
                <w:color w:val="auto"/>
              </w:rPr>
            </w:pPr>
          </w:p>
        </w:tc>
      </w:tr>
      <w:tr>
        <w:trPr>
          <w:trHeight w:val="257"/>
        </w:trPr>
        <w:tc>
          <w:tcPr>
            <w:tcW w:w="4120" w:type="dxa"/>
            <w:vAlign w:val="bottom"/>
            <w:gridSpan w:val="2"/>
            <w:shd w:val="clear" w:color="auto" w:fill="CCFFCC"/>
          </w:tcPr>
          <w:p>
            <w:pPr>
              <w:spacing w:after="0" w:line="256" w:lineRule="exact"/>
              <w:rPr>
                <w:sz w:val="20"/>
                <w:szCs w:val="20"/>
                <w:color w:val="auto"/>
              </w:rPr>
            </w:pPr>
            <w:r>
              <w:rPr>
                <w:rFonts w:ascii="Arial" w:cs="Arial" w:eastAsia="Arial" w:hAnsi="Arial"/>
                <w:sz w:val="18"/>
                <w:szCs w:val="18"/>
                <w:color w:val="auto"/>
              </w:rPr>
              <w:t>Katonah V, Ltd.</w:t>
            </w:r>
            <w:r>
              <w:rPr>
                <w:rFonts w:ascii="Arial" w:cs="Arial" w:eastAsia="Arial" w:hAnsi="Arial"/>
                <w:sz w:val="29"/>
                <w:szCs w:val="29"/>
                <w:color w:val="auto"/>
                <w:vertAlign w:val="superscript"/>
              </w:rPr>
              <w:t>2</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FFCC"/>
          </w:tcPr>
          <w:p>
            <w:pPr>
              <w:spacing w:after="0"/>
              <w:rPr>
                <w:sz w:val="22"/>
                <w:szCs w:val="22"/>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248,402</w:t>
            </w:r>
          </w:p>
        </w:tc>
        <w:tc>
          <w:tcPr>
            <w:tcW w:w="1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745,205</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Katonah VII CLO Ltd.</w:t>
            </w:r>
          </w:p>
        </w:tc>
        <w:tc>
          <w:tcPr>
            <w:tcW w:w="124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1,971,802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2,174,781</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Katonah VIII CLO Ltd.</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94</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2,596,567</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2,320,337</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Katonah IX CLO Ltd.</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1,870,083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2,669,264</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Katonah X CLO Ltd.</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228</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181</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2,056,667</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2,590,719</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Katonah 2007-I CLO Ltd.</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1,592,496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1,952,092</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Trimaran CLO IV, Ltd.</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2,911,106</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3,281,610</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Trimaran CLO V, Ltd.</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2,167,624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2,561,738</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Trimaran CLO VI, Ltd.</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106</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89</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1,857,266</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2,212,024</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Trimaran CLO VII, Ltd.</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2,792,807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3,306,190</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Catamaran 2012-1 CLO Ltd.</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155</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142</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2,506,438</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2,735,901</w:t>
            </w: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Catamaran 2013-1 CLO Ltd.</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2,489,536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2,656,744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860" w:firstLine="8"/>
        <w:spacing w:after="0" w:line="277" w:lineRule="auto"/>
        <w:tabs>
          <w:tab w:leader="none" w:pos="9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data from most recent Trustee reports as of June 30, 2013. ² Managed by non-affiliates as of June 30, 2013.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3" w:name="page64"/>
    <w:bookmarkEnd w:id="63"/>
    <w:p>
      <w:pPr>
        <w:ind w:right="80" w:firstLine="414"/>
        <w:spacing w:after="0" w:line="264" w:lineRule="auto"/>
        <w:rPr>
          <w:sz w:val="20"/>
          <w:szCs w:val="20"/>
          <w:color w:val="auto"/>
        </w:rPr>
      </w:pPr>
      <w:r>
        <w:rPr>
          <w:rFonts w:ascii="Arial" w:cs="Arial" w:eastAsia="Arial" w:hAnsi="Arial"/>
          <w:sz w:val="18"/>
          <w:szCs w:val="18"/>
          <w:color w:val="auto"/>
        </w:rPr>
        <w:t>All CLO Funds managed by Asset Manager Affiliates are currently making quarterly dividend distributions to us and are paying all senior and subordinate management fees to our Asset Manager Affiliates. With the exception of the Katonah III, Ltd. CLO Fund and the Katonah V, Ltd. CLO Fund, all third-party managed CLO Funds held as investments are making quarterly dividend distributions to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Asset Manager Affiliates are our wholly-owned asset management companies that manage CLO Funds that invest in broadly syndicated loans, high yield bonds and other credit instruments. The CLO Funds managed by our Asset Manager Affiliates consist exclusively of credit instruments issued by corporations. As of June 30, 2013, our Asset Manager Affiliates had approximately $3.7 billion of par value of assets under management on which they earn management fees, and were valued at approximately $87 million.</w:t>
      </w:r>
    </w:p>
    <w:p>
      <w:pPr>
        <w:spacing w:after="0" w:line="187" w:lineRule="exact"/>
        <w:rPr>
          <w:sz w:val="20"/>
          <w:szCs w:val="20"/>
          <w:color w:val="auto"/>
        </w:rPr>
      </w:pPr>
    </w:p>
    <w:p>
      <w:pPr>
        <w:ind w:right="280" w:firstLine="324"/>
        <w:spacing w:after="0" w:line="273" w:lineRule="auto"/>
        <w:rPr>
          <w:sz w:val="20"/>
          <w:szCs w:val="20"/>
          <w:color w:val="auto"/>
        </w:rPr>
      </w:pPr>
      <w:r>
        <w:rPr>
          <w:rFonts w:ascii="Arial" w:cs="Arial" w:eastAsia="Arial" w:hAnsi="Arial"/>
          <w:sz w:val="17"/>
          <w:szCs w:val="17"/>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annual operating income equal to the amount by which their fee income exceeds their operating expenses. The annual management fees the Asset Manager Affiliates receive have two components-a senior management fee and a subordinated management fee. Currently, all CLO Funds managed by the Asset Manager Affiliates are paying both their senior and subordinated management fees on a current basis.</w:t>
      </w:r>
    </w:p>
    <w:p>
      <w:pPr>
        <w:spacing w:after="0" w:line="178"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The annual management fees which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are not subject to market value fluctuations in the underlying collateral. The annual management fees our Asset Manager Affiliates receive have two components: a senior management fee and a subordinated management fee. Currently, all CLO Funds managed by Asset Manager Affiliates are paying both their senior and subordinated management fees on a current basis.</w:t>
      </w:r>
    </w:p>
    <w:p>
      <w:pPr>
        <w:spacing w:after="0" w:line="15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Asset Manager Affiliates may receive incentive fees from CLO Funds they manage provided such CLO Funds have achieved a minimum investment return to holders of their subordinated securities or preferred shares.</w:t>
      </w:r>
    </w:p>
    <w:p>
      <w:pPr>
        <w:spacing w:after="0" w:line="170" w:lineRule="exact"/>
        <w:rPr>
          <w:sz w:val="20"/>
          <w:szCs w:val="20"/>
          <w:color w:val="auto"/>
        </w:rPr>
      </w:pPr>
    </w:p>
    <w:p>
      <w:pPr>
        <w:ind w:right="100" w:firstLine="414"/>
        <w:spacing w:after="0" w:line="259" w:lineRule="auto"/>
        <w:rPr>
          <w:sz w:val="20"/>
          <w:szCs w:val="20"/>
          <w:color w:val="auto"/>
        </w:rPr>
      </w:pPr>
      <w:r>
        <w:rPr>
          <w:rFonts w:ascii="Arial" w:cs="Arial" w:eastAsia="Arial" w:hAnsi="Arial"/>
          <w:sz w:val="18"/>
          <w:szCs w:val="18"/>
          <w:color w:val="auto"/>
        </w:rPr>
        <w:t>Subject to market conditions, we expect to continue to make investments in CLO Funds managed by our Asset Manager Affiliates, which we believe will provide us with a current cash investment return. We believe that these investments will provide our Asset Manager Affiliates with greater opportunities to access new sources of capital which will ultimately increase our Asset Manager Affiliates’ assets under management and resulting management fee income.</w:t>
      </w:r>
    </w:p>
    <w:p>
      <w:pPr>
        <w:spacing w:after="0" w:line="187" w:lineRule="exact"/>
        <w:rPr>
          <w:sz w:val="20"/>
          <w:szCs w:val="20"/>
          <w:color w:val="auto"/>
        </w:rPr>
      </w:pPr>
    </w:p>
    <w:p>
      <w:pPr>
        <w:ind w:right="40" w:firstLine="414"/>
        <w:spacing w:after="0" w:line="289" w:lineRule="auto"/>
        <w:rPr>
          <w:sz w:val="20"/>
          <w:szCs w:val="20"/>
          <w:color w:val="auto"/>
        </w:rPr>
      </w:pPr>
      <w:r>
        <w:rPr>
          <w:rFonts w:ascii="Arial" w:cs="Arial" w:eastAsia="Arial" w:hAnsi="Arial"/>
          <w:sz w:val="16"/>
          <w:szCs w:val="16"/>
          <w:color w:val="auto"/>
        </w:rPr>
        <w:t>The revenue that our Asset Manager Affiliates generate through the fees they receive for managing CLO Funds and after paying the expenses pursuant to an overhead allocation agreement with the Company associated with its operations, including compensation of its employees, may be distributed to us. Cash distributions of our Asset Manager Affiliates’ net income are recorded as “dividends from an asset manager affiliates” in our financial statements when declared. As with all other investments, the fair value for Asset Manager Affiliates is determined quarterly. Our investment in our Asset Manager Affiliates is carried at fair value, which is determined after taking into consideration a percentage of assets under management and a discounted cash flow model incorporating different levels of discount rates depending on the hierarchy of fees earned (including the likelihood of realization of senior, subordinate and incentive fees) and prospective modeled performance. Such valuation includes an analysis of comparable asset management companies. The Asset Manager Affiliates are classified as a Level III investment as described in—“Critical Accounting Policies—Valuation of Portfolio Investments” below). Any change in value from period to period is recognized as net change in unrealized appreciation or depreciation.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portfolio investment activity (excluding activity in time deposit and money market investments) for the six months ended June 30, 2013 (unaudited)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for the year ended December 31, 2012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CLO Fund</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ind w:left="80"/>
              <w:spacing w:after="0"/>
              <w:rPr>
                <w:sz w:val="20"/>
                <w:szCs w:val="20"/>
                <w:color w:val="auto"/>
              </w:rPr>
            </w:pPr>
            <w:r>
              <w:rPr>
                <w:rFonts w:ascii="Arial" w:cs="Arial" w:eastAsia="Arial" w:hAnsi="Arial"/>
                <w:sz w:val="18"/>
                <w:szCs w:val="18"/>
                <w:b w:val="1"/>
                <w:bCs w:val="1"/>
                <w:color w:val="auto"/>
                <w:w w:val="98"/>
              </w:rPr>
              <w:t>Asset Manager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Debt Securities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Securities</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97"/>
              </w:rPr>
              <w:t>Equity Securities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Affiliates</w:t>
            </w:r>
          </w:p>
        </w:tc>
        <w:tc>
          <w:tcPr>
            <w:tcW w:w="1300" w:type="dxa"/>
            <w:vAlign w:val="bottom"/>
            <w:gridSpan w:val="4"/>
          </w:tcPr>
          <w:p>
            <w:pPr>
              <w:ind w:left="80"/>
              <w:spacing w:after="0"/>
              <w:rPr>
                <w:sz w:val="20"/>
                <w:szCs w:val="20"/>
                <w:color w:val="auto"/>
              </w:rPr>
            </w:pPr>
            <w:r>
              <w:rPr>
                <w:rFonts w:ascii="Arial" w:cs="Arial" w:eastAsia="Arial" w:hAnsi="Arial"/>
                <w:sz w:val="18"/>
                <w:szCs w:val="18"/>
                <w:b w:val="1"/>
                <w:bCs w:val="1"/>
                <w:color w:val="auto"/>
                <w:w w:val="98"/>
              </w:rPr>
              <w:t>Total Portfolio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Fair Value at December 31, 2011</w:t>
            </w:r>
          </w:p>
        </w:tc>
        <w:tc>
          <w:tcPr>
            <w:tcW w:w="1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114,673,506</w:t>
            </w:r>
          </w:p>
        </w:tc>
        <w:tc>
          <w:tcPr>
            <w:tcW w:w="22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5"/>
              </w:rPr>
              <w:t>$ 48,438,317</w:t>
            </w:r>
          </w:p>
        </w:tc>
        <w:tc>
          <w:tcPr>
            <w:tcW w:w="22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6,040,895</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40,814,000</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209,966,718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2012 Activity:</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Purchases / originations /draws</w:t>
            </w: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107,417,624</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5"/>
              </w:rPr>
              <w:t>$ 24,715,500</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1,815,978</w:t>
            </w:r>
          </w:p>
        </w:tc>
        <w:tc>
          <w:tcPr>
            <w:tcW w:w="2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38,823,228</w:t>
            </w:r>
          </w:p>
        </w:tc>
        <w:tc>
          <w:tcPr>
            <w:tcW w:w="2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7"/>
              </w:rPr>
              <w:t>172,772,330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Pay-downs / pay-offs / sales</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(104,504,327)</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(2,234,916)</w:t>
            </w: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(106,739,243)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accretion of interest</w:t>
            </w: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385,590</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1,137,344</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1,522,934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Net realized losses</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(3,232,975)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(3,232,975)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(decrease) in fair value</w:t>
            </w:r>
          </w:p>
        </w:tc>
        <w:tc>
          <w:tcPr>
            <w:tcW w:w="14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(3,701,536)</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11,201,262</w:t>
            </w:r>
          </w:p>
        </w:tc>
        <w:tc>
          <w:tcPr>
            <w:tcW w:w="34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163,843</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(2,395,228)</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5,268,341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Fair Value at December 31, 2012</w:t>
            </w: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111,037,882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83,257,507</w:t>
            </w:r>
          </w:p>
        </w:tc>
        <w:tc>
          <w:tcPr>
            <w:tcW w:w="3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8,020,716</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77,242,000</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7"/>
              </w:rPr>
              <w:t>279,558,105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Year to Date 2013 Activity:</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Purchases / originations /draws</w:t>
            </w:r>
          </w:p>
        </w:tc>
        <w:tc>
          <w:tcPr>
            <w:tcW w:w="14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212,321,168</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9,000,000</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1,128,647</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7"/>
              </w:rPr>
              <w:t>222,449,815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Pay-downs / pay-offs / sales</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(133,897,690)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(603,332)</w:t>
            </w:r>
          </w:p>
        </w:tc>
        <w:tc>
          <w:tcPr>
            <w:tcW w:w="3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(404,212)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(134,905,234)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accretion of interest</w:t>
            </w: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247,223</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88,392</w:t>
            </w:r>
          </w:p>
        </w:tc>
        <w:tc>
          <w:tcPr>
            <w:tcW w:w="3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Net realized losses</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(1,386,681)</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(722,051)</w:t>
            </w:r>
          </w:p>
        </w:tc>
        <w:tc>
          <w:tcPr>
            <w:tcW w:w="3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(258,785)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72,601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(2,294,916)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(decrease) in fair value</w:t>
            </w:r>
          </w:p>
        </w:tc>
        <w:tc>
          <w:tcPr>
            <w:tcW w:w="140" w:type="dxa"/>
            <w:vAlign w:val="bottom"/>
            <w:shd w:val="clear" w:color="auto" w:fill="CCFFCC"/>
          </w:tcPr>
          <w:p>
            <w:pPr>
              <w:spacing w:after="0"/>
              <w:rPr>
                <w:sz w:val="19"/>
                <w:szCs w:val="19"/>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2,410,992</w:t>
            </w:r>
          </w:p>
        </w:tc>
        <w:tc>
          <w:tcPr>
            <w:tcW w:w="22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(9,535,631)</w:t>
            </w:r>
          </w:p>
        </w:tc>
        <w:tc>
          <w:tcPr>
            <w:tcW w:w="34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998,941</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9,985,399</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3,859,701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color w:val="auto"/>
              </w:rPr>
              <w:t>Fair Value at June 30, 2013</w:t>
            </w: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190,732,894</w:t>
            </w:r>
          </w:p>
        </w:tc>
        <w:tc>
          <w:tcPr>
            <w:tcW w:w="2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81,484,885</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9,485,307</w:t>
            </w:r>
          </w:p>
        </w:tc>
        <w:tc>
          <w:tcPr>
            <w:tcW w:w="2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87,300,000</w:t>
            </w:r>
          </w:p>
        </w:tc>
        <w:tc>
          <w:tcPr>
            <w:tcW w:w="2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7"/>
              </w:rPr>
              <w:t>369,003,086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60" w:firstLine="41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net assets resulting from operations which includes net investment income (loss) and net realized and unrealized appreciation (depreciation). Net investment income (loss) is the difference between our income from interest, dividends,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discussion of our results of operations for the three and six months ended June 30, 2013 and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8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Dividends from CLO Fund securities are dependent on the performance of the underlying assets in each CLO Fund; interest payments, principal amortization and prepayments of the underlying loans in each CLO Fund are primary factors which determine the level of income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w:t>
      </w:r>
    </w:p>
    <w:p>
      <w:pPr>
        <w:spacing w:after="0" w:line="19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Investment income for the three months ended June 30, 2013 and 2012 was approximately $11 million and $9 million, respectively. Of these amounts, approximately $3.0 million and $2.7 million was attributable to interest income on our loan and bond investments, respectively. For the three months ended June 30, 2013 and 2012, approximately $5 million and $5 million of investment income is attributable to dividends earned on CLO equity investments,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5" w:name="page66"/>
    <w:bookmarkEnd w:id="65"/>
    <w:p>
      <w:pPr>
        <w:ind w:right="260" w:firstLine="324"/>
        <w:spacing w:after="0" w:line="259" w:lineRule="auto"/>
        <w:rPr>
          <w:sz w:val="20"/>
          <w:szCs w:val="20"/>
          <w:color w:val="auto"/>
        </w:rPr>
      </w:pPr>
      <w:r>
        <w:rPr>
          <w:rFonts w:ascii="Arial" w:cs="Arial" w:eastAsia="Arial" w:hAnsi="Arial"/>
          <w:sz w:val="18"/>
          <w:szCs w:val="18"/>
          <w:color w:val="auto"/>
        </w:rPr>
        <w:t>Investment income for the six months ended June 30, 2013 and 2012 was approximately $23 million and $17 million, respectively. Of these amounts, approximately $5 million and $5 million was attributable to interest income on our loan and bond investments, respectively. For the six months ended June 30, 2013 and 2012, approximately $11 million and $10 million of investment income is attributable to dividends earned on CLO equity investments,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from Asset Manager Affiliates</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Distributions of net income from our Asset Manager Affiliates are recorded as “dividends from affiliate asset managers” in our financial statements. The Company intends to distribute to its shareholders the accumulated undistributed net income of the Asset Manager Affiliates in the future. For purposes of calculating distributable tax income for required quarterly dividends as a RIC, the Asset Manager Affiliates’ net income is further reduced by approximately $5.5 million per annum for tax goodwill amortization resulting from the acquisition of Katonah Debt Advisors by us prior to our initial public offering and our recent acquisition of Trimaran Advisors. As a result, the amount of our declared dividends, as evaluated by management and approved by our Board of Directors, is based on our evaluation of both distributable income for tax purposes and GAAP net investment income (which excludes unrealized gains and losses).</w:t>
      </w:r>
    </w:p>
    <w:p>
      <w:pPr>
        <w:spacing w:after="0" w:line="18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As of June 30, 2013, our investment in the Asset Manager Affiliates was valued at approximately $87 million. For the three months ended June 30, 2013 and 2012, our Asset Manager Affiliates had EBITDA of approximately $3.2 million and $1.3 million, respectively. For the six months ended June 30, 2013 and 2012, our Asset Manager Affiliates had EBITDA of approximately $5.2 million and $1.3 million, respectively. For the three months ended June 30, 2013 and 2012, our Asset Manager Affiliates made distributions of income of $3.3 million and $1.2 million, respectively. For the six months ended June 30, 2013 and 2012, our Asset Manager Affiliates made distributions of income of $6.3 million and $2.03 million, respectively. The distributions from our Asset Manager Affiliates in 2013 represent a portion of the expected net income for our Asset Manager Affiliates for the year ending December 31,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Total expenses for the six months ended June 30, 2013 and 2012 were approximately $9 million and $7 million, respectively. Interest expense and amortization on debt issuance costs for the periods, which includes facility and program fees on the unused loan balance, were approximately $5 million and $3 million, respectively, on average debt outstanding of $105 million and $68 million, respectively. Approximately $2 million and $2 million of expenses were attributable to employment compensation, including salaries, bonuses and stock option expense for the six months ended June 30, 2013 and 2012, respectively. For the three months ended June 30, 2013, other expenses included approximately $1 million for professional fees, insurance, administrative and other. For the six months ended June 30, 2012, other expenses included approximately $757,000 for professional fees, insurance, administrative and other. For the six months ended June 30, 2013 and 2012, administrative and other costs (including occupancy expense, insurance, technology and other office expenses) totaled approximately $513,000 and $369,000, respectively. Total expenses for the three months ended June 30, 2013 and 2012 were approximately $5 million and $3 million, respectively. Interest expense and amortization on debt issuance costs for the periods, which includes facility and program fees on the unused loan balance, were approximately $2 million and $2 million, respectively, on average debt outstanding of $96 million and $75 million, respectively. Approximately $1 million and $1 million of expenses were attributable to employment compensation, including salaries, bonuses and stock option expense for the three months ended June 30, 2013 and 2012, respectively.</w:t>
      </w:r>
    </w:p>
    <w:p>
      <w:pPr>
        <w:spacing w:after="0" w:line="180" w:lineRule="exact"/>
        <w:rPr>
          <w:sz w:val="20"/>
          <w:szCs w:val="20"/>
          <w:color w:val="auto"/>
        </w:rPr>
      </w:pPr>
    </w:p>
    <w:p>
      <w:pPr>
        <w:ind w:right="420" w:firstLine="414"/>
        <w:spacing w:after="0" w:line="302" w:lineRule="auto"/>
        <w:rPr>
          <w:sz w:val="20"/>
          <w:szCs w:val="20"/>
          <w:color w:val="auto"/>
        </w:rPr>
      </w:pPr>
      <w:r>
        <w:rPr>
          <w:rFonts w:ascii="Arial" w:cs="Arial" w:eastAsia="Arial" w:hAnsi="Arial"/>
          <w:sz w:val="16"/>
          <w:szCs w:val="16"/>
          <w:color w:val="auto"/>
        </w:rPr>
        <w:t>Interest and compensation expense are generally expected to be our largest expenses each period. Interest expense is dependent on the average outstanding principal balance on our borrowings and the related interest rate for the period. Compensation expense includes base salaries, bonuses, stock compensation, employee benefits and employer related payroll costs. The largest components of total compensation costs are base salaries and bonuses; generally, base salaries are expensed as incurred and bonus expenses are estimated and accrued since bonuses are generally paid annually.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During the three months ended June 30, 2013, our total investments had an increase in net unrealized appreciation of approximately $1.9 million. During the three months ended June 30, 2012, our total investments had an increase in net unrealized depreciation of approximately $4.4 million. For the three months ended June 30, 2013, our Asset Manager Affiliates had an increase in net unrealized appreciation of approximately $6.9 million. For the three months ended June 30, 2012, our Asset Manager Affiliates had a decrease in net unrealized appreciation of approximately $1.7 million. For the three months ended June 30, 2013, our middle market portfolio of debt securities, equity securities, and CLO Fund securities had a net decrease in unrealized appreciation due to fair value adjustments of approximately $3.4 million. For the three months ended June 30, 2012, our middle market portfolio of debt securities, equity securities, and CLO Fund securities had a net increase in unrealized appreciation due to fair value adjustments of approximately $2.7 million.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6" w:name="page67"/>
    <w:bookmarkEnd w:id="66"/>
    <w:p>
      <w:pPr>
        <w:ind w:right="40" w:firstLine="324"/>
        <w:spacing w:after="0" w:line="291" w:lineRule="auto"/>
        <w:rPr>
          <w:sz w:val="20"/>
          <w:szCs w:val="20"/>
          <w:color w:val="auto"/>
        </w:rPr>
      </w:pPr>
      <w:r>
        <w:rPr>
          <w:rFonts w:ascii="Arial" w:cs="Arial" w:eastAsia="Arial" w:hAnsi="Arial"/>
          <w:sz w:val="16"/>
          <w:szCs w:val="16"/>
          <w:color w:val="auto"/>
        </w:rPr>
        <w:t>During the six months ended June 30, 2013, our total investments had an increase in net unrealized appreciation of approximately $2.2 million. During the six months ended June 30, 2012, our total investments had an increase in net unrealized depreciation of approximately $7.4 million. For the six months ended June 30, 2013, our Asset Manager Affiliates had an increase in net unrealized appreciation of approximately $10 million. For the six months ended June 30, 2012, our Asset Manager Affiliates had a decrease in net unrealized appreciation of approximately $7 million. For the six months ended June 30, 2013, our middle market portfolio of debt securities, equity securities, and CLO Fund securities had a net decrease in unrealized depreciation due to fair value adjustments of approximately $6.1 million. For the six months ended June 30, 2012, our middle market portfolio of debt securities, equity securities, and CLO Fund securities had a net increase in unrealized appreciation due to fair value adjustments of approximately $750,000.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June 30, 2013 the net change in net assets resulting from operations was an approximate increase of $8.5 million, or $0.26 per share. For the six months ended June 30, 2013 the net change in net assets resulting from operations was an approximate increase of $16 million, or $0.51 per share. The net change in net assets resulting from operations for the three and six months ended June 30, 2012 was an approximate increase of $2 million and $2 million, or $0.06 and $0.09 per share,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dividends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abnormal and unexpected funding requirements. We plan to satisfy our liquidity needs through normal operations with the goal of avoiding unplanned sales of assets or emergency borrowing of funds.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2013 and December 31, 2012 the fair value of investments and cash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Investments at Fair Value</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gridSpan w:val="4"/>
          </w:tcPr>
          <w:p>
            <w:pPr>
              <w:jc w:val="right"/>
              <w:spacing w:after="0" w:line="205" w:lineRule="exact"/>
              <w:rPr>
                <w:sz w:val="20"/>
                <w:szCs w:val="20"/>
                <w:color w:val="auto"/>
              </w:rPr>
            </w:pPr>
            <w:r>
              <w:rPr>
                <w:rFonts w:ascii="Arial" w:cs="Arial" w:eastAsia="Arial" w:hAnsi="Arial"/>
                <w:sz w:val="18"/>
                <w:szCs w:val="18"/>
                <w:b w:val="1"/>
                <w:bCs w:val="1"/>
                <w:color w:val="auto"/>
                <w:w w:val="93"/>
              </w:rPr>
              <w:t>June 30, 2013   December 31, 2012</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(unaudited)</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Cash</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7,669,782</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738,756</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Time Deposits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1,942,834</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Money Market Accounts</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67,494,608</w:t>
            </w:r>
          </w:p>
        </w:tc>
        <w:tc>
          <w:tcPr>
            <w:tcW w:w="320" w:type="dxa"/>
            <w:vAlign w:val="bottom"/>
            <w:shd w:val="clear" w:color="auto" w:fill="CCFFCC"/>
          </w:tcPr>
          <w:p>
            <w:pPr>
              <w:spacing w:after="0"/>
              <w:rPr>
                <w:sz w:val="18"/>
                <w:szCs w:val="18"/>
                <w:color w:val="auto"/>
              </w:rPr>
            </w:pPr>
          </w:p>
        </w:tc>
        <w:tc>
          <w:tcPr>
            <w:tcW w:w="12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30,543,824</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Senior Secured Loan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136,475,846</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60,258,885</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Junior Secured Loan</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38,393,950</w:t>
            </w:r>
          </w:p>
        </w:tc>
        <w:tc>
          <w:tcPr>
            <w:tcW w:w="320" w:type="dxa"/>
            <w:vAlign w:val="bottom"/>
            <w:shd w:val="clear" w:color="auto" w:fill="CCFFCC"/>
          </w:tcPr>
          <w:p>
            <w:pPr>
              <w:spacing w:after="0"/>
              <w:rPr>
                <w:sz w:val="18"/>
                <w:szCs w:val="18"/>
                <w:color w:val="auto"/>
              </w:rPr>
            </w:pPr>
          </w:p>
        </w:tc>
        <w:tc>
          <w:tcPr>
            <w:tcW w:w="12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33,486,956</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First Lien Bond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2,550,300</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3,000,000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Senior Subordinated Bond</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2,017,898</w:t>
            </w:r>
          </w:p>
        </w:tc>
        <w:tc>
          <w:tcPr>
            <w:tcW w:w="320" w:type="dxa"/>
            <w:vAlign w:val="bottom"/>
            <w:shd w:val="clear" w:color="auto" w:fill="CCFFCC"/>
          </w:tcPr>
          <w:p>
            <w:pPr>
              <w:spacing w:after="0"/>
              <w:rPr>
                <w:sz w:val="18"/>
                <w:szCs w:val="18"/>
                <w:color w:val="auto"/>
              </w:rPr>
            </w:pPr>
          </w:p>
        </w:tc>
        <w:tc>
          <w:tcPr>
            <w:tcW w:w="12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2,735,881</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Senior Unsecured Bond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11,293,900</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11,185,000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CLO Fund Securities</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81,484,885</w:t>
            </w:r>
          </w:p>
        </w:tc>
        <w:tc>
          <w:tcPr>
            <w:tcW w:w="320" w:type="dxa"/>
            <w:vAlign w:val="bottom"/>
            <w:shd w:val="clear" w:color="auto" w:fill="CCFFCC"/>
          </w:tcPr>
          <w:p>
            <w:pPr>
              <w:spacing w:after="0"/>
              <w:rPr>
                <w:sz w:val="18"/>
                <w:szCs w:val="18"/>
                <w:color w:val="auto"/>
              </w:rPr>
            </w:pPr>
          </w:p>
        </w:tc>
        <w:tc>
          <w:tcPr>
            <w:tcW w:w="12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83,257,507</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Equity Securities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9,485,307</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8,020,716</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Preferred</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FFCC"/>
          </w:tcPr>
          <w:p>
            <w:pPr>
              <w:spacing w:after="0"/>
              <w:rPr>
                <w:sz w:val="18"/>
                <w:szCs w:val="18"/>
                <w:color w:val="auto"/>
              </w:rPr>
            </w:pPr>
          </w:p>
        </w:tc>
        <w:tc>
          <w:tcPr>
            <w:tcW w:w="12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371,160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Affiliate Asset Managers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87,300,000</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77,242,000</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200" w:type="dxa"/>
            <w:vAlign w:val="bottom"/>
            <w:tcBorders>
              <w:top w:val="single" w:sz="8" w:color="auto"/>
              <w:right w:val="single" w:sz="8" w:color="CCFFCC"/>
            </w:tcBorders>
            <w:shd w:val="clear" w:color="auto" w:fill="CCFFCC"/>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444,167,476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312,783,519</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67" w:name="page68"/>
    <w:bookmarkEnd w:id="67"/>
    <w:p>
      <w:pPr>
        <w:ind w:right="20" w:firstLine="414"/>
        <w:spacing w:after="0" w:line="297" w:lineRule="auto"/>
        <w:rPr>
          <w:sz w:val="20"/>
          <w:szCs w:val="20"/>
          <w:color w:val="auto"/>
        </w:rPr>
      </w:pPr>
      <w:r>
        <w:rPr>
          <w:rFonts w:ascii="Arial" w:cs="Arial" w:eastAsia="Arial" w:hAnsi="Arial"/>
          <w:sz w:val="16"/>
          <w:szCs w:val="16"/>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immediately after such borrowing. As of June 30, 2013, we had approximately $198 million of outstanding borrowings and our asset coverage ratio of total assets to total borrowings was 239%, compliant with the minimum asset coverage level of 200% generally required for a BDC by the 1940 Act. We may also borrow amounts of up to 5% of the value of our total assets for temporary purposes.</w:t>
      </w:r>
    </w:p>
    <w:p>
      <w:pPr>
        <w:spacing w:after="0" w:line="158" w:lineRule="exact"/>
        <w:rPr>
          <w:sz w:val="20"/>
          <w:szCs w:val="20"/>
          <w:color w:val="auto"/>
        </w:rPr>
      </w:pPr>
    </w:p>
    <w:p>
      <w:pPr>
        <w:ind w:right="340" w:firstLine="414"/>
        <w:spacing w:after="0" w:line="259" w:lineRule="auto"/>
        <w:rPr>
          <w:sz w:val="20"/>
          <w:szCs w:val="20"/>
          <w:color w:val="auto"/>
        </w:rPr>
      </w:pPr>
      <w:r>
        <w:rPr>
          <w:rFonts w:ascii="Arial" w:cs="Arial" w:eastAsia="Arial" w:hAnsi="Arial"/>
          <w:sz w:val="18"/>
          <w:szCs w:val="18"/>
          <w:color w:val="auto"/>
        </w:rPr>
        <w:t>On June 18, 2013, the Company completed the sale of notes in a $140,000,000 debt securitization financing transaction. The notes offered in this transaction (the “Senior Funding I Notes”) were issued by KCAP Senior Funding I, LLC, a newly formed special purpose vehicle (the “Issuer”), in which KCAP Senior Funding I Holdings, LLC, a wholly-owned subsidiary of the Company (the “Depositor”), owns all of the equity, and are secured by a diversified portfolio of bank loans.</w:t>
      </w:r>
    </w:p>
    <w:p>
      <w:pPr>
        <w:spacing w:after="0" w:line="187" w:lineRule="exact"/>
        <w:rPr>
          <w:sz w:val="20"/>
          <w:szCs w:val="20"/>
          <w:color w:val="auto"/>
        </w:rPr>
      </w:pPr>
    </w:p>
    <w:p>
      <w:pPr>
        <w:ind w:right="180" w:firstLine="414"/>
        <w:spacing w:after="0" w:line="259" w:lineRule="auto"/>
        <w:rPr>
          <w:sz w:val="20"/>
          <w:szCs w:val="20"/>
          <w:color w:val="auto"/>
        </w:rPr>
      </w:pPr>
      <w:r>
        <w:rPr>
          <w:rFonts w:ascii="Arial" w:cs="Arial" w:eastAsia="Arial" w:hAnsi="Arial"/>
          <w:sz w:val="18"/>
          <w:szCs w:val="18"/>
          <w:color w:val="auto"/>
        </w:rPr>
        <w:t>In October 2012, we issued $41.4 million in aggregate principal amount of 7.375% unsecured notes due 2019 (the “Retail Notes”). The Retail Notes mature on September 30, 2019, and may be redeemed in whole or in part at any time or from time to time at our option on or after September 30, 2015. The Retail Notes bear interest at a rate of 7.375% per year payable quarterly on March 30, June 30, September 30 and December 30 of each year, beginning December 30, 2012.</w:t>
      </w:r>
    </w:p>
    <w:p>
      <w:pPr>
        <w:spacing w:after="0" w:line="187" w:lineRule="exact"/>
        <w:rPr>
          <w:sz w:val="20"/>
          <w:szCs w:val="20"/>
          <w:color w:val="auto"/>
        </w:rPr>
      </w:pPr>
    </w:p>
    <w:p>
      <w:pPr>
        <w:ind w:firstLine="414"/>
        <w:spacing w:after="0" w:line="279" w:lineRule="auto"/>
        <w:rPr>
          <w:sz w:val="20"/>
          <w:szCs w:val="20"/>
          <w:color w:val="auto"/>
        </w:rPr>
      </w:pPr>
      <w:r>
        <w:rPr>
          <w:rFonts w:ascii="Arial" w:cs="Arial" w:eastAsia="Arial" w:hAnsi="Arial"/>
          <w:sz w:val="17"/>
          <w:szCs w:val="17"/>
          <w:color w:val="auto"/>
        </w:rPr>
        <w:t>In February 2012, we entered into a Note Purchase Agreement with Credit Suisse AG, Cayman Islands Branch (“CS”), Credit Suisse Securities (USA) LLC, as arranger, The Bank of New York Mellon Trust Company, National Association, as collateral administrator and collateral agent, and KCAP Funding, a special-purpose bankruptcy remote wholly-owned subsidiary of ours, under which we may obtain up to $30 million in financing (the “Facility”). The scheduled maturity date for the Facility is December 20, 2014. Interest on the Facility is LIBOR + 300 basis points and payable quarterly.</w:t>
      </w:r>
    </w:p>
    <w:p>
      <w:pPr>
        <w:spacing w:after="0" w:line="171" w:lineRule="exact"/>
        <w:rPr>
          <w:sz w:val="20"/>
          <w:szCs w:val="20"/>
          <w:color w:val="auto"/>
        </w:rPr>
      </w:pPr>
    </w:p>
    <w:p>
      <w:pPr>
        <w:ind w:right="20" w:firstLine="414"/>
        <w:spacing w:after="0" w:line="259" w:lineRule="auto"/>
        <w:rPr>
          <w:sz w:val="20"/>
          <w:szCs w:val="20"/>
          <w:color w:val="auto"/>
        </w:rPr>
      </w:pPr>
      <w:r>
        <w:rPr>
          <w:rFonts w:ascii="Arial" w:cs="Arial" w:eastAsia="Arial" w:hAnsi="Arial"/>
          <w:sz w:val="18"/>
          <w:szCs w:val="18"/>
          <w:color w:val="auto"/>
        </w:rPr>
        <w:t>On March 16, 2011, we issued $60 million in aggregate principal amount of unsecured 8.75% convertible notes due March 15, 2016 (“Convertible Notes”). The net proceeds for the Convertible Notes, following underwriting expenses, were approximately $57.7 million. Interest on the Convertible Notes is paid semi-annually in arrears on March 15 and September 15, at a rate of 8.75%, commencing September 15, 2011. The Notes mature on March 15, 2016 unless converted earlier. The Convertible Notes are senior unsecured obligations of the Company.</w:t>
      </w:r>
    </w:p>
    <w:p>
      <w:pPr>
        <w:spacing w:after="0" w:line="187" w:lineRule="exact"/>
        <w:rPr>
          <w:sz w:val="20"/>
          <w:szCs w:val="20"/>
          <w:color w:val="auto"/>
        </w:rPr>
      </w:pPr>
    </w:p>
    <w:p>
      <w:pPr>
        <w:ind w:right="160" w:firstLine="414"/>
        <w:spacing w:after="0" w:line="255" w:lineRule="auto"/>
        <w:rPr>
          <w:sz w:val="20"/>
          <w:szCs w:val="20"/>
          <w:color w:val="auto"/>
        </w:rPr>
      </w:pPr>
      <w:r>
        <w:rPr>
          <w:rFonts w:ascii="Arial" w:cs="Arial" w:eastAsia="Arial" w:hAnsi="Arial"/>
          <w:sz w:val="18"/>
          <w:szCs w:val="18"/>
          <w:color w:val="auto"/>
        </w:rPr>
        <w:t>The Convertible Notes are convertible into shares of Company’s common stock. The conversion rate is subject to customary anti-dilution adjustments, including for any cash dividends or distributions paid on shares of our common stock in excess of a quarterly dividend of $0.17 per share, but will not be adjusted for any accrued and unpaid interest. The conversion price of the Convertible Senior Notes as of June 30, 2013 is approximately 123.8203 shares of our common stock per $1,000 principle amount of Convertible Senior Notes, equivalent to a conversion price of approximately $8.08 per share of our common stock. In addition, if certain corporate events occur prior to the maturity date of the Convertible Senior Notes, the conversion rate will be increased for converting holders.</w:t>
      </w:r>
    </w:p>
    <w:p>
      <w:pPr>
        <w:spacing w:after="0" w:line="193" w:lineRule="exact"/>
        <w:rPr>
          <w:sz w:val="20"/>
          <w:szCs w:val="20"/>
          <w:color w:val="auto"/>
        </w:rPr>
      </w:pPr>
    </w:p>
    <w:p>
      <w:pPr>
        <w:ind w:right="20" w:firstLine="414"/>
        <w:spacing w:after="0" w:line="259" w:lineRule="auto"/>
        <w:rPr>
          <w:sz w:val="20"/>
          <w:szCs w:val="20"/>
          <w:color w:val="auto"/>
        </w:rPr>
      </w:pPr>
      <w:r>
        <w:rPr>
          <w:rFonts w:ascii="Arial" w:cs="Arial" w:eastAsia="Arial" w:hAnsi="Arial"/>
          <w:sz w:val="18"/>
          <w:szCs w:val="18"/>
          <w:color w:val="auto"/>
        </w:rPr>
        <w:t>Subject to prevailing market conditions, we intend to grow our portfolio of assets by raising additional capital, including through the prudent use of leverage available to us. As a result, we may seek to enter into new agreements with other lenders or into other financing arrangements as market conditions permit. Such financing arrangements may include a new secured and/or unsecured credit facility, the issuance of preferred securities or debt guaranteed by the Small Business Administration.</w:t>
      </w:r>
    </w:p>
    <w:p>
      <w:pPr>
        <w:spacing w:after="0" w:line="187" w:lineRule="exact"/>
        <w:rPr>
          <w:sz w:val="20"/>
          <w:szCs w:val="20"/>
          <w:color w:val="auto"/>
        </w:rPr>
      </w:pPr>
    </w:p>
    <w:p>
      <w:pPr>
        <w:ind w:right="220" w:firstLine="414"/>
        <w:spacing w:after="0" w:line="259" w:lineRule="auto"/>
        <w:rPr>
          <w:sz w:val="20"/>
          <w:szCs w:val="20"/>
          <w:color w:val="auto"/>
        </w:rPr>
      </w:pPr>
      <w:r>
        <w:rPr>
          <w:rFonts w:ascii="Arial" w:cs="Arial" w:eastAsia="Arial" w:hAnsi="Arial"/>
          <w:sz w:val="18"/>
          <w:szCs w:val="18"/>
          <w:color w:val="auto"/>
        </w:rPr>
        <w:t>If our common stock trades below our net asset value per share, we will generally not be able to issue additional common stock at the market price unless our shareholders approve such a sale and our Board of Directors makes certain determinations. We are currently in the process of obtaining approval from our stockholders to do so. Even if we obtain approval, we would need similar future approval from our shareholders to issue shares below the then current net asset value per share any time after the expiration of such approval.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OFF-BALANCE SHEET ARRANGEMENTS</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are, from time to time, a party to financial instruments with off-balance sheet risk in the normal course of business in order to meet the needs of our investment in portfolio companies.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both June 30, 2013 and December 31, 2012, we had $23 million and $0 commitments to fund investments,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The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accompanying unaudited financial statements have been prepared on the accrual basis of accounting in conformity with GAAP for interim financial information. Accordingly, they do not include all of the information and footnotes required for annual financial statements. The unaudited interim financial statements and notes thereto should be read in conjunction with the financial statements and notes thereto in the Company’s Form 10-K for the fiscal year ended December 31, 2012, as filed with the Commission.</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225" w:lineRule="exact"/>
        <w:rPr>
          <w:sz w:val="20"/>
          <w:szCs w:val="20"/>
          <w:color w:val="auto"/>
        </w:rPr>
      </w:pPr>
    </w:p>
    <w:p>
      <w:pPr>
        <w:ind w:right="740" w:firstLine="414"/>
        <w:spacing w:after="0" w:line="277" w:lineRule="auto"/>
        <w:rPr>
          <w:sz w:val="20"/>
          <w:szCs w:val="20"/>
          <w:color w:val="auto"/>
        </w:rPr>
      </w:pPr>
      <w:r>
        <w:rPr>
          <w:rFonts w:ascii="Arial" w:cs="Arial" w:eastAsia="Arial" w:hAnsi="Arial"/>
          <w:sz w:val="18"/>
          <w:szCs w:val="18"/>
          <w:color w:val="auto"/>
        </w:rPr>
        <w:t>The most significant estimate inherent in the preparation of our financial statements is the valuation of investments and the related amounts of unrealized appreciation and depreciation of investments recorded.</w:t>
      </w:r>
    </w:p>
    <w:p>
      <w:pPr>
        <w:spacing w:after="0" w:line="170" w:lineRule="exact"/>
        <w:rPr>
          <w:sz w:val="20"/>
          <w:szCs w:val="20"/>
          <w:color w:val="auto"/>
        </w:rPr>
      </w:pPr>
    </w:p>
    <w:p>
      <w:pPr>
        <w:ind w:firstLine="414"/>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193" w:lineRule="exact"/>
        <w:rPr>
          <w:sz w:val="20"/>
          <w:szCs w:val="20"/>
          <w:color w:val="auto"/>
        </w:rPr>
      </w:pPr>
    </w:p>
    <w:p>
      <w:pPr>
        <w:ind w:right="80" w:firstLine="414"/>
        <w:spacing w:after="0" w:line="257" w:lineRule="auto"/>
        <w:rPr>
          <w:sz w:val="20"/>
          <w:szCs w:val="20"/>
          <w:color w:val="auto"/>
        </w:rPr>
      </w:pPr>
      <w:r>
        <w:rPr>
          <w:rFonts w:ascii="Arial" w:cs="Arial" w:eastAsia="Arial" w:hAnsi="Arial"/>
          <w:sz w:val="18"/>
          <w:szCs w:val="18"/>
          <w:color w:val="auto"/>
        </w:rPr>
        <w:t>We are, for GAAP purposes, an investment company under the AICPA Audit and Accounting Guide for Investment Companies. As a result, we reflect our investments on our balance sheet at their estimated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 Additionally, we do not consolidate majority or wholly-owned and controlled investments.</w:t>
      </w:r>
    </w:p>
    <w:p>
      <w:pPr>
        <w:spacing w:after="0" w:line="188" w:lineRule="exact"/>
        <w:rPr>
          <w:sz w:val="20"/>
          <w:szCs w:val="20"/>
          <w:color w:val="auto"/>
        </w:rPr>
      </w:pPr>
    </w:p>
    <w:p>
      <w:pPr>
        <w:ind w:right="520" w:firstLine="414"/>
        <w:spacing w:after="0" w:line="264" w:lineRule="auto"/>
        <w:rPr>
          <w:sz w:val="20"/>
          <w:szCs w:val="20"/>
          <w:color w:val="auto"/>
        </w:rPr>
      </w:pPr>
      <w:r>
        <w:rPr>
          <w:rFonts w:ascii="Arial" w:cs="Arial" w:eastAsia="Arial" w:hAnsi="Arial"/>
          <w:sz w:val="18"/>
          <w:szCs w:val="18"/>
          <w:color w:val="auto"/>
        </w:rPr>
        <w:t xml:space="preserve">Effective January 1, 2008 we adopted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among other things, requires enhanced disclosures about financial instruments carried at fair value. See Note 4 to the financial statements for the additional information about the level of market observability associated with investments carried at fair value.</w:t>
      </w:r>
    </w:p>
    <w:p>
      <w:pPr>
        <w:spacing w:after="0" w:line="181" w:lineRule="exact"/>
        <w:rPr>
          <w:sz w:val="20"/>
          <w:szCs w:val="20"/>
          <w:color w:val="auto"/>
        </w:rPr>
      </w:pPr>
    </w:p>
    <w:p>
      <w:pPr>
        <w:ind w:right="20" w:firstLine="414"/>
        <w:spacing w:after="0" w:line="286" w:lineRule="auto"/>
        <w:rPr>
          <w:sz w:val="20"/>
          <w:szCs w:val="20"/>
          <w:color w:val="auto"/>
        </w:rPr>
      </w:pPr>
      <w:r>
        <w:rPr>
          <w:rFonts w:ascii="Arial" w:cs="Arial" w:eastAsia="Arial" w:hAnsi="Arial"/>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6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begin to sell assets and/or use principal repayments to pay-down CLO Fund debt, and for which there continue to be net cash distributions to the class of we securities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Investment. We determine the fair value of our investments in CLO Fund securities on a security-by-security basis.</w:t>
      </w:r>
    </w:p>
    <w:p>
      <w:pPr>
        <w:spacing w:after="0" w:line="183" w:lineRule="exact"/>
        <w:rPr>
          <w:sz w:val="20"/>
          <w:szCs w:val="20"/>
          <w:color w:val="auto"/>
        </w:rPr>
      </w:pPr>
    </w:p>
    <w:p>
      <w:pPr>
        <w:ind w:right="100" w:firstLine="414"/>
        <w:spacing w:after="0" w:line="276" w:lineRule="auto"/>
        <w:rPr>
          <w:sz w:val="20"/>
          <w:szCs w:val="20"/>
          <w:color w:val="auto"/>
        </w:rPr>
      </w:pPr>
      <w:r>
        <w:rPr>
          <w:rFonts w:ascii="Arial" w:cs="Arial" w:eastAsia="Arial" w:hAnsi="Arial"/>
          <w:sz w:val="17"/>
          <w:szCs w:val="17"/>
          <w:color w:val="auto"/>
        </w:rPr>
        <w:t>Our investment in our Asset Manager Affiliates is carried at fair value, which is determined after taking into consideration a percentage of assets under management and a discounted cash flow model incorporating different levels of discount rates depending on the hierarchy of fees earned (including the likelihood of realization of senior, subordinate and incentive fees) and prospective modeled performance. Such valuation includes an analysis of comparable asset management companies. Our investment in our Asset Manager Affiliates is classified as a Level III investment (as described below). Any change in value from period to period is recognized as net change in unrealized appreciation or depreciation.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sectPr>
      </w:pPr>
    </w:p>
    <w:bookmarkStart w:id="69" w:name="page70"/>
    <w:bookmarkEnd w:id="69"/>
    <w:p>
      <w:pPr>
        <w:ind w:firstLine="32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 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82" w:lineRule="exact"/>
        <w:rPr>
          <w:sz w:val="20"/>
          <w:szCs w:val="20"/>
          <w:color w:val="auto"/>
        </w:rPr>
      </w:pPr>
    </w:p>
    <w:p>
      <w:pPr>
        <w:ind w:right="40" w:firstLine="414"/>
        <w:spacing w:after="0" w:line="279" w:lineRule="auto"/>
        <w:rPr>
          <w:sz w:val="20"/>
          <w:szCs w:val="20"/>
          <w:color w:val="auto"/>
        </w:rPr>
      </w:pPr>
      <w:r>
        <w:rPr>
          <w:rFonts w:ascii="Arial" w:cs="Arial" w:eastAsia="Arial" w:hAnsi="Arial"/>
          <w:sz w:val="17"/>
          <w:szCs w:val="17"/>
          <w:color w:val="auto"/>
        </w:rPr>
        <w:t>We derive fair value for our illiquid loan investments that do not have indicative fair values based upon active trades primarily by using the Market Yield Approach, and also consider recent loan amendments or other activity specific to the subject asset as described above. Other significant assumptions, such as coupon and maturity, are asset-specific and are noted for each investment in the Schedules of Investments. Our Board of Directors may consider other methods of valuation to determine the fair value of investments as appropriate in conformity with GAAP.</w:t>
      </w:r>
    </w:p>
    <w:p>
      <w:pPr>
        <w:spacing w:after="0" w:line="171"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187" w:lineRule="exact"/>
        <w:rPr>
          <w:sz w:val="20"/>
          <w:szCs w:val="20"/>
          <w:color w:val="auto"/>
        </w:rPr>
      </w:pPr>
    </w:p>
    <w:p>
      <w:pPr>
        <w:ind w:right="120" w:firstLine="414"/>
        <w:spacing w:after="0" w:line="277" w:lineRule="auto"/>
        <w:rPr>
          <w:sz w:val="20"/>
          <w:szCs w:val="20"/>
          <w:color w:val="auto"/>
        </w:rPr>
      </w:pPr>
      <w:r>
        <w:rPr>
          <w:rFonts w:ascii="Arial" w:cs="Arial" w:eastAsia="Arial" w:hAnsi="Arial"/>
          <w:sz w:val="18"/>
          <w:szCs w:val="18"/>
          <w:color w:val="auto"/>
        </w:rPr>
        <w:t xml:space="preserve">After our adoption of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investments measured and reported at fair value are classified and disclosed in one of the following categories:</w:t>
      </w:r>
    </w:p>
    <w:p>
      <w:pPr>
        <w:spacing w:after="0" w:line="170" w:lineRule="exact"/>
        <w:rPr>
          <w:sz w:val="20"/>
          <w:szCs w:val="20"/>
          <w:color w:val="auto"/>
        </w:rPr>
      </w:pPr>
    </w:p>
    <w:p>
      <w:pPr>
        <w:ind w:left="780" w:right="240" w:hanging="326"/>
        <w:spacing w:after="0" w:line="259"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Level I – Unadjusted quoted prices are available in active markets for identical investments as of the reporting date. The type of investments included in Level I include listed equities and listed securities. As required by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the Company does not adjust the quoted price for these investments, even in situations where the Company holds a large position and a sale could reasonably affect the quoted price.</w:t>
      </w:r>
    </w:p>
    <w:p>
      <w:pPr>
        <w:spacing w:after="0" w:line="186" w:lineRule="exact"/>
        <w:rPr>
          <w:rFonts w:ascii="Arial" w:cs="Arial" w:eastAsia="Arial" w:hAnsi="Arial"/>
          <w:sz w:val="18"/>
          <w:szCs w:val="18"/>
          <w:color w:val="auto"/>
        </w:rPr>
      </w:pPr>
    </w:p>
    <w:p>
      <w:pPr>
        <w:ind w:left="780" w:right="20" w:hanging="326"/>
        <w:spacing w:after="0" w:line="297" w:lineRule="auto"/>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corporate loans and bonds and less liquid, privately held or restricted equity securities for which some level of recent trading activity has been observed.</w:t>
      </w:r>
    </w:p>
    <w:p>
      <w:pPr>
        <w:spacing w:after="0" w:line="158" w:lineRule="exact"/>
        <w:rPr>
          <w:rFonts w:ascii="Arial" w:cs="Arial" w:eastAsia="Arial" w:hAnsi="Arial"/>
          <w:sz w:val="16"/>
          <w:szCs w:val="16"/>
          <w:color w:val="auto"/>
        </w:rPr>
      </w:pPr>
    </w:p>
    <w:p>
      <w:pPr>
        <w:ind w:left="780" w:right="20" w:hanging="326"/>
        <w:spacing w:after="0" w:line="293" w:lineRule="auto"/>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right="20" w:firstLine="414"/>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it considers factors specific to the investment. Substantially all of our investments are classified as Level III.</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Board of Directors may consider other methods of valuation to determine the fair value of investments as appropriate in conformity with GAAP.</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0" w:name="page71"/>
    <w:bookmarkEnd w:id="70"/>
    <w:p>
      <w:pPr>
        <w:ind w:left="2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80" w:firstLine="414"/>
        <w:spacing w:after="0" w:line="273" w:lineRule="auto"/>
        <w:rPr>
          <w:sz w:val="20"/>
          <w:szCs w:val="20"/>
          <w:color w:val="auto"/>
        </w:rPr>
      </w:pPr>
      <w:r>
        <w:rPr>
          <w:rFonts w:ascii="Arial" w:cs="Arial" w:eastAsia="Arial" w:hAnsi="Arial"/>
          <w:sz w:val="17"/>
          <w:szCs w:val="17"/>
          <w:color w:val="auto"/>
        </w:rPr>
        <w:t>Interest income, adjusted for amortization of premium and accretion of discount,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Non-accrual loans remain in such status until the borrower has demonstrated the ability and intent to pay contractual amounts due or such loans become current. As of June 30, 2013, five issuers representing less than 1% of our total investments at fair value were on non-accrual status. As of December 31, 2012, five issuers representing less than 1% of our total investments at fair value were on non-accrual status.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 Income from CLO Fund Securities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generate dividend income from our investments in the most junior class of securities of CLO Funds (typically preferred shares or subordinated securities) managed by the Asset Manager Affiliates and selective investments in securities issued by funds managed by other asset management companies using the effective interest method based on anticipated yield and estimated cash flows as updated quarterly for changes in prepayments, re-investment, credit losses and other items that may impact distributions.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 We make estimated interim accruals of such dividend income based on recent historical distributions and CLO Fund performance and adjust such accruals on a quarterly basis to reflect actual distributions.</w:t>
      </w:r>
    </w:p>
    <w:p>
      <w:pPr>
        <w:spacing w:after="0" w:line="169" w:lineRule="exact"/>
        <w:rPr>
          <w:sz w:val="20"/>
          <w:szCs w:val="20"/>
          <w:color w:val="auto"/>
        </w:rPr>
      </w:pPr>
    </w:p>
    <w:p>
      <w:pPr>
        <w:ind w:right="220" w:firstLine="41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B-2L notes of Katonah 2007-I CLO and the class F notes of Catamaran 2012-1, interest is earned at a fixed spread relative to the LIBOR index.</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 from Asset Manager Affiliates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record dividend income from our Asset Manager Affiliates on the declaration date, which represents the ex-dividend date.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225" w:lineRule="exact"/>
        <w:rPr>
          <w:sz w:val="20"/>
          <w:szCs w:val="20"/>
          <w:color w:val="auto"/>
        </w:rPr>
      </w:pPr>
    </w:p>
    <w:p>
      <w:pPr>
        <w:ind w:right="220" w:firstLine="414"/>
        <w:spacing w:after="0" w:line="264" w:lineRule="auto"/>
        <w:rPr>
          <w:sz w:val="20"/>
          <w:szCs w:val="20"/>
          <w:color w:val="auto"/>
        </w:rPr>
      </w:pPr>
      <w:r>
        <w:rPr>
          <w:rFonts w:ascii="Arial" w:cs="Arial" w:eastAsia="Arial" w:hAnsi="Arial"/>
          <w:sz w:val="18"/>
          <w:szCs w:val="18"/>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paid out to stockholders in the form of dividends, even though we have not yet collected the cash.</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Fee Income</w:t>
      </w:r>
    </w:p>
    <w:p>
      <w:pPr>
        <w:spacing w:after="0" w:line="225" w:lineRule="exact"/>
        <w:rPr>
          <w:sz w:val="20"/>
          <w:szCs w:val="20"/>
          <w:color w:val="auto"/>
        </w:rPr>
      </w:pPr>
    </w:p>
    <w:p>
      <w:pPr>
        <w:ind w:right="100" w:firstLine="41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25"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 xml:space="preserve">We may, from time to time, issue stock options or restricted stock under our equity compensation plan to officers and employees for services rendered to us. We follow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a method by which the fair value of options or restricted stock is determined and expensed. We use a Binary Option Pricing Model (American, call option) as its valuation model to establish the expected value of all stock option grants.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internally managed and therefore do not incur management fees payable to third parties.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1" w:name="page72"/>
    <w:bookmarkEnd w:id="71"/>
    <w:p>
      <w:pPr>
        <w:ind w:left="22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225" w:lineRule="exact"/>
        <w:rPr>
          <w:sz w:val="20"/>
          <w:szCs w:val="20"/>
          <w:color w:val="auto"/>
        </w:rPr>
      </w:pPr>
    </w:p>
    <w:p>
      <w:pPr>
        <w:ind w:right="40" w:firstLine="414"/>
        <w:spacing w:after="0" w:line="257"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firstLine="414"/>
        <w:spacing w:after="0" w:line="308" w:lineRule="auto"/>
        <w:rPr>
          <w:sz w:val="20"/>
          <w:szCs w:val="20"/>
          <w:color w:val="auto"/>
        </w:rPr>
      </w:pPr>
      <w:r>
        <w:rPr>
          <w:rFonts w:ascii="Arial" w:cs="Arial" w:eastAsia="Arial" w:hAnsi="Arial"/>
          <w:sz w:val="17"/>
          <w:szCs w:val="17"/>
          <w:color w:val="auto"/>
        </w:rPr>
        <w:t>Dividends and distributions to common stockholders are recorded on the ex-dividend date. The amount to be paid out as a dividend is determined by the Board of Directors each quarter and is generally based upon the earnings estimated by management for the period and year.</w:t>
      </w:r>
    </w:p>
    <w:p>
      <w:pPr>
        <w:spacing w:after="0" w:line="147" w:lineRule="exact"/>
        <w:rPr>
          <w:sz w:val="20"/>
          <w:szCs w:val="20"/>
          <w:color w:val="auto"/>
        </w:rPr>
      </w:pPr>
    </w:p>
    <w:p>
      <w:pPr>
        <w:ind w:right="280" w:firstLine="414"/>
        <w:spacing w:after="0" w:line="342" w:lineRule="auto"/>
        <w:rPr>
          <w:sz w:val="20"/>
          <w:szCs w:val="20"/>
          <w:color w:val="auto"/>
        </w:rPr>
      </w:pPr>
      <w:r>
        <w:rPr>
          <w:rFonts w:ascii="Arial" w:cs="Arial" w:eastAsia="Arial" w:hAnsi="Arial"/>
          <w:sz w:val="16"/>
          <w:szCs w:val="16"/>
          <w:color w:val="auto"/>
        </w:rPr>
        <w:t>We have adopted a dividend reinvestment plan that provides for reinvestment of our distributions on behalf of our stockholders, unless a stockholder “opts out” of the plan to receive cash in lieu of having their cash dividends automatically reinvested in additional shares of our common stock.</w:t>
      </w:r>
    </w:p>
    <w:p>
      <w:pPr>
        <w:spacing w:after="0" w:line="1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188" w:lineRule="exact"/>
        <w:rPr>
          <w:sz w:val="20"/>
          <w:szCs w:val="20"/>
          <w:color w:val="auto"/>
        </w:rPr>
      </w:pPr>
    </w:p>
    <w:p>
      <w:pPr>
        <w:ind w:right="120" w:firstLine="414"/>
        <w:spacing w:after="0" w:line="259" w:lineRule="auto"/>
        <w:rPr>
          <w:sz w:val="20"/>
          <w:szCs w:val="20"/>
          <w:color w:val="auto"/>
        </w:rPr>
      </w:pPr>
      <w:r>
        <w:rPr>
          <w:rFonts w:ascii="Arial" w:cs="Arial" w:eastAsia="Arial" w:hAnsi="Arial"/>
          <w:sz w:val="18"/>
          <w:szCs w:val="18"/>
          <w:color w:val="auto"/>
        </w:rPr>
        <w:t>Our investment income is affected by fluctuations in various interest rates, including LIBOR and prime rates. As of June 30, 2013, approximately 95% of our loans at fair value in our portfolio were at floating rates with a spread to an interest rate index such as LIBOR or the prime rate. We generally expect that future portfolio investments will predominately be floating rate investments. As of June 30, 2013, we had $197.7 million of borrowings outstanding at a weighted average rate of 8.09%.</w:t>
      </w:r>
    </w:p>
    <w:p>
      <w:pPr>
        <w:spacing w:after="0" w:line="187" w:lineRule="exact"/>
        <w:rPr>
          <w:sz w:val="20"/>
          <w:szCs w:val="20"/>
          <w:color w:val="auto"/>
        </w:rPr>
      </w:pPr>
    </w:p>
    <w:p>
      <w:pPr>
        <w:ind w:right="220" w:firstLine="414"/>
        <w:spacing w:after="0" w:line="293" w:lineRule="auto"/>
        <w:rPr>
          <w:sz w:val="20"/>
          <w:szCs w:val="20"/>
          <w:color w:val="auto"/>
        </w:rPr>
      </w:pPr>
      <w:r>
        <w:rPr>
          <w:rFonts w:ascii="Arial" w:cs="Arial" w:eastAsia="Arial" w:hAnsi="Arial"/>
          <w:sz w:val="16"/>
          <w:szCs w:val="16"/>
          <w:color w:val="auto"/>
        </w:rPr>
        <w:t>Because we borrow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or lowering interest rates, the cost of the proportion of our debt associated with our Convertible Senior Notes would remain the same at 8.75% given that this debt is at a fixed rate. We would expect that an increase in the base rate index for our floating rate investment assets would increase our net investment income and that a decrease in the base rate index for such assets would decrease our net investment income (in either case, such increase/decrease may be limited by interest rate floors/minimums for certain investment assets).</w:t>
      </w:r>
    </w:p>
    <w:p>
      <w:pPr>
        <w:spacing w:after="0" w:line="16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We have analyzed the potential impact of changes in interest rates on interest income net of interest expense. Assuming that our balance sheet at June 30, 2013 was to remain constant and no actions were taken to alter the existing interest rate sensitivity, a hypothetical increase of a 1% change in interest rates would correspondingly increase net interest income proportionately by approximately $540,000 over a one-year period. Conversely, a hypothetical decrease of a 1% change in interest rates would correspondingly decrease net interest income proportionately by approximately $127,000 over a one-year period.</w:t>
      </w:r>
    </w:p>
    <w:p>
      <w:pPr>
        <w:spacing w:after="0" w:line="154" w:lineRule="exact"/>
        <w:rPr>
          <w:sz w:val="20"/>
          <w:szCs w:val="20"/>
          <w:color w:val="auto"/>
        </w:rPr>
      </w:pPr>
    </w:p>
    <w:p>
      <w:pPr>
        <w:ind w:right="20" w:firstLine="414"/>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hold any derivative financial instruments for hedging purposes as of June 30, 2013.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72" w:name="page73"/>
    <w:bookmarkEnd w:id="72"/>
    <w:p>
      <w:pPr>
        <w:ind w:left="22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225"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2012 we engaged an independent valuation firm, to provide a third-party review of our CLO fair value model relative to its functionality, model inputs and calculations as a reasonable method to determine CLO fair values, in the absence of Level I or Level II trading activity or observable market inputs. The independent valuation firm concluded that our CLO model appropriately factors in all the necessary inputs required to build a CLO equity cash flow for fair value purposes and that the inputs were being employed correctly.</w:t>
      </w:r>
    </w:p>
    <w:p>
      <w:pPr>
        <w:spacing w:after="0" w:line="18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Company’s Board of Directors. Each quarter, the independent valuation firm will perform third party valuations on the Company’s investments on illiquid securities such that they are reviewed at least once during a trailing 12 month period. These third party valuation estimates were considered as one of the relevant data inputs in the Company’s determination of fair value. The Board of Directors intends to continue to engage an independent valuation firm in the future to provide certain valuation services, including the review of certain portfolio assets, as part of the quarterly and annual year-end valuation process.</w:t>
      </w:r>
    </w:p>
    <w:p>
      <w:pPr>
        <w:spacing w:after="0" w:line="1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right="200" w:firstLine="414"/>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various members of management, including our CEO and our CFO, has evaluated the effectiveness of the design and operation of our disclosure controls and procedures (as defined in Rule 13a-15(e) or Rule 15d-15(e) of the Exchange Act) as of the end of the period covered by this report. Based upon that evaluation, our CEO and CFO have concluded that our current disclosure controls and procedures are effective as of the end of the period covered by this Quarterly Report on Form 10-Q.</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0" w:firstLine="414"/>
        <w:spacing w:after="0" w:line="277" w:lineRule="auto"/>
        <w:rPr>
          <w:sz w:val="20"/>
          <w:szCs w:val="20"/>
          <w:color w:val="auto"/>
        </w:rPr>
      </w:pPr>
      <w:r>
        <w:rPr>
          <w:rFonts w:ascii="Arial" w:cs="Arial" w:eastAsia="Arial" w:hAnsi="Arial"/>
          <w:sz w:val="18"/>
          <w:szCs w:val="18"/>
          <w:color w:val="auto"/>
        </w:rPr>
        <w:t>During the quarter ended June 30, 2013, the Company had no changes in its internal control over financial reporting that have materially affected, or are reasonably likely to materially affect, the Company’s internal control over financial reporting.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320" w:firstLine="414"/>
        <w:spacing w:after="0" w:line="308" w:lineRule="auto"/>
        <w:rPr>
          <w:sz w:val="20"/>
          <w:szCs w:val="20"/>
          <w:color w:val="auto"/>
        </w:rPr>
      </w:pPr>
      <w:r>
        <w:rPr>
          <w:rFonts w:ascii="Arial" w:cs="Arial" w:eastAsia="Arial" w:hAnsi="Arial"/>
          <w:sz w:val="17"/>
          <w:szCs w:val="17"/>
          <w:color w:val="auto"/>
        </w:rPr>
        <w:t>The Company is not currently a party to any material legal proceedings, other than routine litigation arising in the ordinary course of business. Such litigation is not expected to have a material adverse effect on the business, financial condition, or results of the Company’s operations.</w:t>
      </w:r>
    </w:p>
    <w:p>
      <w:pPr>
        <w:spacing w:after="0" w:line="143"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right="240" w:firstLine="414"/>
        <w:spacing w:after="0" w:line="277" w:lineRule="auto"/>
        <w:rPr>
          <w:sz w:val="20"/>
          <w:szCs w:val="20"/>
          <w:color w:val="auto"/>
        </w:rPr>
      </w:pPr>
      <w:r>
        <w:rPr>
          <w:rFonts w:ascii="Arial" w:cs="Arial" w:eastAsia="Arial" w:hAnsi="Arial"/>
          <w:sz w:val="18"/>
          <w:szCs w:val="18"/>
          <w:color w:val="auto"/>
        </w:rPr>
        <w:t>Other than as set forth below, there have been no material changes from the risk factors previously disclosed in Part I, “Item 1A. Risk Factors” in our Annual Report on Form 10-K for the year ended December 31, 2012.</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are subject to risks associated with our debt securitization financing transactions.</w:t>
      </w:r>
    </w:p>
    <w:p>
      <w:pPr>
        <w:spacing w:after="0" w:line="225" w:lineRule="exact"/>
        <w:rPr>
          <w:sz w:val="20"/>
          <w:szCs w:val="20"/>
          <w:color w:val="auto"/>
        </w:rPr>
      </w:pPr>
    </w:p>
    <w:p>
      <w:pPr>
        <w:ind w:right="180" w:firstLine="414"/>
        <w:spacing w:after="0" w:line="277" w:lineRule="auto"/>
        <w:rPr>
          <w:sz w:val="20"/>
          <w:szCs w:val="20"/>
          <w:color w:val="auto"/>
        </w:rPr>
      </w:pPr>
      <w:r>
        <w:rPr>
          <w:rFonts w:ascii="Arial" w:cs="Arial" w:eastAsia="Arial" w:hAnsi="Arial"/>
          <w:sz w:val="18"/>
          <w:szCs w:val="18"/>
          <w:color w:val="auto"/>
        </w:rPr>
        <w:t>As a result of the debt securitization financing transaction that we completed on June 18, 2013, we are subject to a variety of risks, including those set forth below:</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We are subject to certain risks as a result of our indirect interests in the subordinated notes and membership interests of KCAP Senior Funding I, LLC.</w:t>
      </w:r>
    </w:p>
    <w:p>
      <w:pPr>
        <w:spacing w:after="0" w:line="248" w:lineRule="exact"/>
        <w:rPr>
          <w:sz w:val="20"/>
          <w:szCs w:val="20"/>
          <w:color w:val="auto"/>
        </w:rPr>
      </w:pPr>
    </w:p>
    <w:p>
      <w:pPr>
        <w:ind w:firstLine="414"/>
        <w:spacing w:after="0" w:line="288" w:lineRule="auto"/>
        <w:rPr>
          <w:sz w:val="20"/>
          <w:szCs w:val="20"/>
          <w:color w:val="auto"/>
        </w:rPr>
      </w:pPr>
      <w:r>
        <w:rPr>
          <w:rFonts w:ascii="Arial" w:cs="Arial" w:eastAsia="Arial" w:hAnsi="Arial"/>
          <w:sz w:val="16"/>
          <w:szCs w:val="16"/>
          <w:color w:val="auto"/>
        </w:rPr>
        <w:t>Under the terms of the master loan sale agreement governing the debt securitization financing transaction, (1) we sold and/or contributed to KCAP Senior Funding I Holdings, LLC (“Holdings”) all of our ownership interest in our portfolio loans and participations for the purchase price and other consideration set forth in the master loan sale agreement and (2) Holdings, in turn, sold and/or contributed to KCAP Senior Funding I, LLC (the “Issuer”) all of its ownership interest in such portfolio loans and participations for the purchase price and the consideration set forth in the master loan sale agreement. Following these transfers, the Issuer, and not Holdings or us, held all of the ownership interest in such portfolio loans and participations. As a result of the debt securitization financing transaction, we hold indirectly through Holdings all of the subordinated notes and membership interests of the Issuer. As a result, we consolidate the financial statements of Holdings and the Issuer in our consolidated financial statements. Because Holdings and the Issuer are disregarded as entities separate from its owner for U.S. federal income tax purposes, each of the sale or contribution of portfolio loans by us to Holdings, and the sale of portfolio loans by Holdings to the Issuer, did not constitute a taxable event for U.S. federal income tax purposes. If the U.S. Internal Revenue Service were to take a contrary position, there could be a material adverse effect on our business, financial condition, results of operations or cash flows.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 subordinated notes and membership interests of the Issuer are subordinated obligations of the Issuer.</w:t>
      </w:r>
    </w:p>
    <w:p>
      <w:pPr>
        <w:spacing w:after="0" w:line="225" w:lineRule="exact"/>
        <w:rPr>
          <w:sz w:val="20"/>
          <w:szCs w:val="20"/>
          <w:color w:val="auto"/>
        </w:rPr>
      </w:pPr>
    </w:p>
    <w:p>
      <w:pPr>
        <w:ind w:firstLine="414"/>
        <w:spacing w:after="0" w:line="290" w:lineRule="auto"/>
        <w:rPr>
          <w:sz w:val="20"/>
          <w:szCs w:val="20"/>
          <w:color w:val="auto"/>
        </w:rPr>
      </w:pPr>
      <w:r>
        <w:rPr>
          <w:rFonts w:ascii="Arial" w:cs="Arial" w:eastAsia="Arial" w:hAnsi="Arial"/>
          <w:sz w:val="16"/>
          <w:szCs w:val="16"/>
          <w:color w:val="auto"/>
        </w:rPr>
        <w:t>The subordinated notes of the Issuer are the junior class of notes issued by the Issuer, are subordinated in priority of payment to the secured notes issued by the Issuer and are subject to certain payment restrictions set forth in the indenture governing the notes of the Issuer. Therefore, Holdings only receives cash distributions on the subordinated notes if the Issuer has made all cash interest payments on the secured notes it has issued, and we only receive cash distributions in respect of our indirect ownership of the Issuer to the extent that Holdings receives any cash distributions in respect of its direct ownership of the Issuer. The subordinated notes of the Issuer are also unsecured and rank behind all of the secured creditors, known or unknown, of the Issuer, including the holders of the secured notes it has issued. Consequently, to the extent that the value of either the Issuer’s portfolio of loan investments has been reduced as a result of conditions in the credit markets, or as a result of defaulted loans or individual fund assets, the value of the subordinated notes of such securitization issuer at their redemption could be reduced. Accordingly, our investment in the Issuer may be subject to complete loss.</w:t>
      </w:r>
    </w:p>
    <w:p>
      <w:pPr>
        <w:spacing w:after="0" w:line="166" w:lineRule="exact"/>
        <w:rPr>
          <w:sz w:val="20"/>
          <w:szCs w:val="20"/>
          <w:color w:val="auto"/>
        </w:rPr>
      </w:pPr>
    </w:p>
    <w:p>
      <w:pPr>
        <w:ind w:right="200" w:firstLine="414"/>
        <w:spacing w:after="0" w:line="264" w:lineRule="auto"/>
        <w:rPr>
          <w:sz w:val="20"/>
          <w:szCs w:val="20"/>
          <w:color w:val="auto"/>
        </w:rPr>
      </w:pPr>
      <w:r>
        <w:rPr>
          <w:rFonts w:ascii="Arial" w:cs="Arial" w:eastAsia="Arial" w:hAnsi="Arial"/>
          <w:sz w:val="18"/>
          <w:szCs w:val="18"/>
          <w:color w:val="auto"/>
        </w:rPr>
        <w:t>The membership interests in the Issuer represent all of the equity interest in the Issuer. As such, the holder of the membership interests of the Issuer is the residual claimant on distributions, if any, made by the Issuer after holders of all classes of notes issued by the Issuer have been paid in full on each payment date or upon maturity of such notes under the debt securitization financing transaction documents.</w:t>
      </w:r>
    </w:p>
    <w:p>
      <w:pPr>
        <w:spacing w:after="0" w:line="181" w:lineRule="exact"/>
        <w:rPr>
          <w:sz w:val="20"/>
          <w:szCs w:val="20"/>
          <w:color w:val="auto"/>
        </w:rPr>
      </w:pPr>
    </w:p>
    <w:p>
      <w:pPr>
        <w:ind w:right="160" w:firstLine="414"/>
        <w:spacing w:after="0" w:line="289" w:lineRule="auto"/>
        <w:rPr>
          <w:sz w:val="20"/>
          <w:szCs w:val="20"/>
          <w:color w:val="auto"/>
        </w:rPr>
      </w:pPr>
      <w:r>
        <w:rPr>
          <w:rFonts w:ascii="Arial" w:cs="Arial" w:eastAsia="Arial" w:hAnsi="Arial"/>
          <w:sz w:val="16"/>
          <w:szCs w:val="16"/>
          <w:color w:val="auto"/>
        </w:rPr>
        <w:t>If an event of default has occurred and acceleration occurs in accordance with the terms of the indenture governing the notes of the Issuer, the secured notes of the Issuer then outstanding will be paid in full before any further payment or distribution on the subordinated notes of the Issuer. In addition, if an event of default occurs, holders of a majority of the most senior class of secured notes then outstanding will be entitled to determine the remedies to be exercised under the indenture, subject to the terms of the indenture. For example, upon the occurrence of an event of default with respect to the notes issued by the Issuer, the trustee or holders of a majority of the most senior class of secured notes of the Issuer then outstanding may declare the principal, together with any accrued interest, of all the notes of such class and any junior classes to be immediately due and payable. This would have the effect of accelerating the principal on such notes, triggering a repayment obligation on the part of the Issuer. If at such time the portfolio loans of the Issuer were not performing well, the Issuer may not have sufficient proceeds available to enable the trustee under the indenture to repay the obligations of holders of the subordinated notes of the Securitization Issuer, or to pay a dividend to holders of the membership interests of the Issuer.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74" w:name="page75"/>
    <w:bookmarkEnd w:id="74"/>
    <w:p>
      <w:pPr>
        <w:ind w:right="120" w:firstLine="414"/>
        <w:spacing w:after="0" w:line="273" w:lineRule="auto"/>
        <w:rPr>
          <w:sz w:val="20"/>
          <w:szCs w:val="20"/>
          <w:color w:val="auto"/>
        </w:rPr>
      </w:pPr>
      <w:r>
        <w:rPr>
          <w:rFonts w:ascii="Arial" w:cs="Arial" w:eastAsia="Arial" w:hAnsi="Arial"/>
          <w:sz w:val="17"/>
          <w:szCs w:val="17"/>
          <w:color w:val="auto"/>
        </w:rPr>
        <w:t>Remedies pursued by the holders of the secured notes of the Issuer could be adverse to the interests of the holders of the subordinated notes of the Issuer, and the holders of such secured notes will have no obligation to consider any possible adverse effect on such other interests. Thus, any remedies pursued by the holders of the secured notes of the Issuer may not be in our best interests and we may not receive payments or distributions upon an acceleration of the secured notes. Any failure of the Issuer to make distributions on the subordinated notes we hold, directly or indirectly, whether as a result of an event of default or otherwise, could have a material adverse effect on our business, financial condition, results of operations and cash flows and may result in an inability of us to make distributions sufficient to allow our qualification as a RIC.</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 Issuer may fail to meet certain asset coverage tests.</w:t>
      </w:r>
    </w:p>
    <w:p>
      <w:pPr>
        <w:spacing w:after="0" w:line="225" w:lineRule="exact"/>
        <w:rPr>
          <w:sz w:val="20"/>
          <w:szCs w:val="20"/>
          <w:color w:val="auto"/>
        </w:rPr>
      </w:pPr>
    </w:p>
    <w:p>
      <w:pPr>
        <w:ind w:firstLine="414"/>
        <w:spacing w:after="0" w:line="286" w:lineRule="auto"/>
        <w:rPr>
          <w:sz w:val="20"/>
          <w:szCs w:val="20"/>
          <w:color w:val="auto"/>
        </w:rPr>
      </w:pPr>
      <w:r>
        <w:rPr>
          <w:rFonts w:ascii="Arial" w:cs="Arial" w:eastAsia="Arial" w:hAnsi="Arial"/>
          <w:sz w:val="16"/>
          <w:szCs w:val="16"/>
          <w:color w:val="auto"/>
        </w:rPr>
        <w:t>Under the documents governing the debt securitization financing transaction, there are two coverage tests applicable to the secured notes. The first such test compares the amount of interest received on the portfolio loans held by the Issuer to the amount of interest payable in respect of the secured notes of the Issuer. To meet this test at any time, interest received on the portfolio loans must equal at least 127% to 150% (based upon a graduated scale for the most senior class of secured notes then outstanding as provided for in the indenture) of the interest payable in respect of the secured notes of the Issuer. The second such test compares the principal amount of the portfolio loans held by the Issuer to the aggregate outstanding principal amount of the secured notes of the Issuer. To meet this test at any time, the aggregate principal amount of the portfolio loans held by the Issuer must equal at least 124% to 147% (based upon a graduated scale for the most senior class of secured notes then outstanding as provided for in the indenture) of the outstanding principal amount of the secured notes of the Issuer. If either coverage test is not satisfied, interest and principal received by the Issuer are diverted on the following payment date to pay the most senior class or classes of secured notes to the extent necessary to cause all coverage tests to be satisfied on a pro forma basis after giving effect to all payments made in respect of the notes, which, with respect to the payment of any principal amount of the secured notes, we refer to as a mandatory redemption. If any asset coverage test with respect to the secured notes is not met, proceeds from the portfolio of loan investments that otherwise would have been distributed to the Issuer and the holders of its subordinated notes will instead be used to redeem first the secured notes of the Issuer, to the extent necessary to satisfy the applicable asset coverage tests.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We may not receive cash on our equity interests in the Issuer.</w:t>
      </w:r>
    </w:p>
    <w:p>
      <w:pPr>
        <w:spacing w:after="0" w:line="225" w:lineRule="exact"/>
        <w:rPr>
          <w:sz w:val="20"/>
          <w:szCs w:val="20"/>
          <w:color w:val="auto"/>
        </w:rPr>
      </w:pPr>
    </w:p>
    <w:p>
      <w:pPr>
        <w:ind w:right="220" w:firstLine="414"/>
        <w:spacing w:after="0" w:line="270" w:lineRule="auto"/>
        <w:rPr>
          <w:sz w:val="20"/>
          <w:szCs w:val="20"/>
          <w:color w:val="auto"/>
        </w:rPr>
      </w:pPr>
      <w:r>
        <w:rPr>
          <w:rFonts w:ascii="Arial" w:cs="Arial" w:eastAsia="Arial" w:hAnsi="Arial"/>
          <w:sz w:val="17"/>
          <w:szCs w:val="17"/>
          <w:color w:val="auto"/>
        </w:rPr>
        <w:t>We receive cash from the Issuer only to the extent that we or Holdings, as applicable, receives payments on the subordinated notes or membership interests of the Issuer. The Issuer may only make payments on such securities to the extent permitted by the payment priority provisions of the indenture governing the notes, which generally provides that principal payments on the subordinated notes may not be made on any payment date unless all amounts owing under the secured notes issued under such indenture are paid in full. In addition, if the Issuer does not meet the asset coverage tests set forth in the documents governing the debt securitization financing transaction, cash would be diverted from the subordinated notes of the Issuer to first pay the secured notes of the Issuer in amounts sufficient to cause such tests to be satisfied. In the event that we fail to directly or indirectly receive cash from the Issuer, we could be unable to make such distributions in amounts sufficient to maintain our status as a RIC, or at all. We also could be forced to sell investments in portfolio companies at less than their fair value in order to continue making such distributions. However, the indenture places significant restrictions on the Issuer’s ability to sell investments. As a result, there may be times or circumstances during which the Issuer are unable to sell investments or take other actions that might be in our best interests.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We may incur liability to the Issuer.</w:t>
      </w:r>
    </w:p>
    <w:p>
      <w:pPr>
        <w:spacing w:after="0" w:line="225" w:lineRule="exact"/>
        <w:rPr>
          <w:sz w:val="20"/>
          <w:szCs w:val="20"/>
          <w:color w:val="auto"/>
        </w:rPr>
      </w:pPr>
    </w:p>
    <w:p>
      <w:pPr>
        <w:ind w:right="80" w:firstLine="414"/>
        <w:spacing w:after="0" w:line="259" w:lineRule="auto"/>
        <w:rPr>
          <w:sz w:val="20"/>
          <w:szCs w:val="20"/>
          <w:color w:val="auto"/>
        </w:rPr>
      </w:pPr>
      <w:r>
        <w:rPr>
          <w:rFonts w:ascii="Arial" w:cs="Arial" w:eastAsia="Arial" w:hAnsi="Arial"/>
          <w:sz w:val="18"/>
          <w:szCs w:val="18"/>
          <w:color w:val="auto"/>
        </w:rPr>
        <w:t>As part of the debt securitization financing transaction, we entered into a master loan sale agreement under which we would be required to repurchase any loan (or participation interest therein) which was sold to the Issuer in breach of any representation or warranty made by us with respect to such loan on the date such loan was sold. To the extent we fail to satisfy any such repurchase obligation, the trustee may, on behalf of the Issuer, bring an action against us to enforce these repurchase obligations.</w:t>
      </w:r>
    </w:p>
    <w:p>
      <w:pPr>
        <w:spacing w:after="0" w:line="187" w:lineRule="exact"/>
        <w:rPr>
          <w:sz w:val="20"/>
          <w:szCs w:val="20"/>
          <w:color w:val="auto"/>
        </w:rPr>
      </w:pPr>
    </w:p>
    <w:p>
      <w:pPr>
        <w:ind w:firstLine="414"/>
        <w:spacing w:after="0" w:line="255" w:lineRule="auto"/>
        <w:rPr>
          <w:sz w:val="20"/>
          <w:szCs w:val="20"/>
          <w:color w:val="auto"/>
        </w:rPr>
      </w:pPr>
      <w:r>
        <w:rPr>
          <w:rFonts w:ascii="Arial" w:cs="Arial" w:eastAsia="Arial" w:hAnsi="Arial"/>
          <w:sz w:val="18"/>
          <w:szCs w:val="18"/>
          <w:color w:val="auto"/>
        </w:rPr>
        <w:t>In connection with our debt securitization financing transaction, we indirectly transferred all of our interests in certain portfolio loans to the Issuer. In doing so, we transferred any right we previously had to the payments made on such portfolio loans in exchange for 100% of the residual interests in the Issuer. As a result, we face a heightened risk of loss due to the impact of leverage utilized by the Issuer, which would have the effect of magnifying the impact on us of a loss on any portfolio loan held by the Issuer. In addition, while we serve as the collateral manager for the Issuer, which provides us with the authority to enforce payment obligations and loan covenants of the portfolio loans that we transferred to the Issuer, we are required to exercise such authority for the interests of the Issuer, rather than for our own interests alone.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75" w:name="page76"/>
    <w:bookmarkEnd w:id="75"/>
    <w:p>
      <w:pPr>
        <w:ind w:firstLine="414"/>
        <w:spacing w:after="0" w:line="272" w:lineRule="auto"/>
        <w:rPr>
          <w:sz w:val="20"/>
          <w:szCs w:val="20"/>
          <w:color w:val="auto"/>
        </w:rPr>
      </w:pPr>
      <w:r>
        <w:rPr>
          <w:rFonts w:ascii="Arial" w:cs="Arial" w:eastAsia="Arial" w:hAnsi="Arial"/>
          <w:sz w:val="17"/>
          <w:szCs w:val="17"/>
          <w:color w:val="auto"/>
        </w:rPr>
        <w:t>The structure of the debt securitization financing transaction is intended to prevent, in the event of our bankruptcy or the bankruptcy of Holdings, the consolidation for purposes of such bankruptcy proceedings of the Issuer with our operations or those of Holdings. If the true sale of these assets were not respected in the event of our insolvency, a trustee or debtor-in-possession might reclaim the assets of the Issuer for our estate. However, in doing so, we would become directly liable for all of the indebtedness then outstanding under the debt securitization financing transaction, which would equal the full amount of debt of the Issuer reflected on our consolidated balance sheet. In addition, we cannot assure that the recovery in the event we were consolidated with the Issuer for purposes of any bankruptcy proceeding would exceed the amount to which we would otherwise be entitled as a direct or indirect holder of the subordinated notes had we not been consolidated with the Issuer.</w:t>
      </w:r>
    </w:p>
    <w:p>
      <w:pPr>
        <w:spacing w:after="0" w:line="174"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right="100" w:firstLine="414"/>
        <w:spacing w:after="0" w:line="312" w:lineRule="auto"/>
        <w:rPr>
          <w:sz w:val="20"/>
          <w:szCs w:val="20"/>
          <w:color w:val="auto"/>
        </w:rPr>
      </w:pPr>
      <w:r>
        <w:rPr>
          <w:rFonts w:ascii="Arial" w:cs="Arial" w:eastAsia="Arial" w:hAnsi="Arial"/>
          <w:sz w:val="16"/>
          <w:szCs w:val="16"/>
          <w:color w:val="auto"/>
        </w:rPr>
        <w:t>While we did not engage in any sales of unregistered securities during the three months ended June 30, 2013, we issued a total of 14,360 shares of common stock under our dividend reinvestment plan (“DRIP”). This issuance was not subject to the registration requirements of the Securities Act of 1933. For the six months ended June 30, 2013, the aggregate value of the shares of our common stock issued under our DRIP was approximately $238,000.</w:t>
      </w:r>
    </w:p>
    <w:p>
      <w:pPr>
        <w:spacing w:after="0" w:line="143"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right="520" w:firstLine="414"/>
        <w:spacing w:after="0" w:line="277" w:lineRule="auto"/>
        <w:rPr>
          <w:sz w:val="20"/>
          <w:szCs w:val="20"/>
          <w:color w:val="auto"/>
        </w:rPr>
      </w:pPr>
      <w:r>
        <w:rPr>
          <w:rFonts w:ascii="Arial" w:cs="Arial" w:eastAsia="Arial" w:hAnsi="Arial"/>
          <w:sz w:val="18"/>
          <w:szCs w:val="18"/>
          <w:color w:val="auto"/>
        </w:rPr>
        <w:t>On August 2, 2013, KCAP Financial, Inc. (“the Compnay”) appointed Jill Simeone, General Counsel, as its Chief Compliance Officer, effective immediately. She succeeds Daniel P. Gilligan, who stepped down after more than a year of service in that role.</w:t>
      </w:r>
    </w:p>
    <w:p>
      <w:pPr>
        <w:spacing w:after="0" w:line="166"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Reference is made to the Exhibit List filed as a part of this report beginning on page E-1. Each of such exhibits is incorporated by reference herein.</w:t>
      </w: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2" w:right="339" w:bottom="1440" w:gutter="0" w:footer="0" w:header="0"/>
        </w:sectPr>
      </w:pPr>
    </w:p>
    <w:bookmarkStart w:id="76" w:name="page77"/>
    <w:bookmarkEnd w:id="76"/>
    <w:p>
      <w:pPr>
        <w:ind w:left="54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41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3760" w:type="dxa"/>
            <w:vAlign w:val="bottom"/>
            <w:gridSpan w:val="2"/>
          </w:tcPr>
          <w:p>
            <w:pPr>
              <w:ind w:left="2080"/>
              <w:spacing w:after="0"/>
              <w:rPr>
                <w:sz w:val="20"/>
                <w:szCs w:val="20"/>
                <w:color w:val="auto"/>
              </w:rPr>
            </w:pPr>
            <w:r>
              <w:rPr>
                <w:rFonts w:ascii="Arial" w:cs="Arial" w:eastAsia="Arial" w:hAnsi="Arial"/>
                <w:sz w:val="18"/>
                <w:szCs w:val="18"/>
                <w:color w:val="auto"/>
              </w:rPr>
              <w:t>KCAP F</w:t>
            </w:r>
            <w:r>
              <w:rPr>
                <w:rFonts w:ascii="Arial" w:cs="Arial" w:eastAsia="Arial" w:hAnsi="Arial"/>
                <w:sz w:val="12"/>
                <w:szCs w:val="12"/>
                <w:color w:val="auto"/>
              </w:rPr>
              <w:t>INANCIAL</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tc>
        <w:tc>
          <w:tcPr>
            <w:tcW w:w="4020" w:type="dxa"/>
            <w:vAlign w:val="bottom"/>
          </w:tcPr>
          <w:p>
            <w:pPr>
              <w:spacing w:after="0"/>
              <w:rPr>
                <w:sz w:val="20"/>
                <w:szCs w:val="20"/>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6, 2013</w:t>
            </w:r>
          </w:p>
        </w:tc>
        <w:tc>
          <w:tcPr>
            <w:tcW w:w="3760" w:type="dxa"/>
            <w:vAlign w:val="bottom"/>
            <w:gridSpan w:val="2"/>
          </w:tcPr>
          <w:p>
            <w:pPr>
              <w:ind w:left="2080"/>
              <w:spacing w:after="0"/>
              <w:rPr>
                <w:sz w:val="20"/>
                <w:szCs w:val="20"/>
                <w:color w:val="auto"/>
              </w:rPr>
            </w:pPr>
            <w:r>
              <w:rPr>
                <w:rFonts w:ascii="Arial" w:cs="Arial" w:eastAsia="Arial" w:hAnsi="Arial"/>
                <w:sz w:val="18"/>
                <w:szCs w:val="18"/>
                <w:color w:val="auto"/>
              </w:rPr>
              <w:t>By</w:t>
            </w:r>
          </w:p>
        </w:tc>
        <w:tc>
          <w:tcPr>
            <w:tcW w:w="4020" w:type="dxa"/>
            <w:vAlign w:val="bottom"/>
          </w:tcPr>
          <w:p>
            <w:pPr>
              <w:jc w:val="center"/>
              <w:ind w:right="1030"/>
              <w:spacing w:after="0"/>
              <w:rPr>
                <w:sz w:val="20"/>
                <w:szCs w:val="20"/>
                <w:color w:val="auto"/>
              </w:rPr>
            </w:pPr>
            <w:r>
              <w:rPr>
                <w:rFonts w:ascii="Arial" w:cs="Arial" w:eastAsia="Arial" w:hAnsi="Arial"/>
                <w:sz w:val="18"/>
                <w:szCs w:val="18"/>
                <w:color w:val="auto"/>
                <w:w w:val="89"/>
              </w:rPr>
              <w:t>/s/ Dayl W. Pearson</w:t>
            </w:r>
          </w:p>
        </w:tc>
      </w:tr>
      <w:tr>
        <w:trPr>
          <w:trHeight w:val="195"/>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4020" w:type="dxa"/>
            <w:vAlign w:val="bottom"/>
            <w:tcBorders>
              <w:top w:val="single" w:sz="8" w:color="auto"/>
            </w:tcBorders>
          </w:tcPr>
          <w:p>
            <w:pPr>
              <w:jc w:val="center"/>
              <w:ind w:right="1030"/>
              <w:spacing w:after="0" w:line="195" w:lineRule="exact"/>
              <w:rPr>
                <w:sz w:val="20"/>
                <w:szCs w:val="20"/>
                <w:color w:val="auto"/>
              </w:rPr>
            </w:pPr>
            <w:r>
              <w:rPr>
                <w:rFonts w:ascii="Arial" w:cs="Arial" w:eastAsia="Arial" w:hAnsi="Arial"/>
                <w:sz w:val="18"/>
                <w:szCs w:val="18"/>
                <w:color w:val="auto"/>
                <w:w w:val="90"/>
              </w:rPr>
              <w:t>Dayl W. Pearson</w:t>
            </w:r>
          </w:p>
        </w:tc>
      </w:tr>
      <w:tr>
        <w:trPr>
          <w:trHeight w:val="216"/>
        </w:trPr>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20" w:type="dxa"/>
            <w:vAlign w:val="bottom"/>
          </w:tcPr>
          <w:p>
            <w:pPr>
              <w:jc w:val="center"/>
              <w:ind w:right="1030"/>
              <w:spacing w:after="0"/>
              <w:rPr>
                <w:sz w:val="20"/>
                <w:szCs w:val="20"/>
                <w:color w:val="auto"/>
              </w:rPr>
            </w:pPr>
            <w:r>
              <w:rPr>
                <w:rFonts w:ascii="Arial" w:cs="Arial" w:eastAsia="Arial" w:hAnsi="Arial"/>
                <w:sz w:val="18"/>
                <w:szCs w:val="18"/>
                <w:i w:val="1"/>
                <w:iCs w:val="1"/>
                <w:color w:val="auto"/>
                <w:w w:val="91"/>
              </w:rPr>
              <w:t>President and Chief Executive Officer</w:t>
            </w:r>
          </w:p>
        </w:tc>
      </w:tr>
      <w:tr>
        <w:trPr>
          <w:trHeight w:val="230"/>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20" w:type="dxa"/>
            <w:vAlign w:val="bottom"/>
          </w:tcPr>
          <w:p>
            <w:pPr>
              <w:jc w:val="center"/>
              <w:ind w:right="1030"/>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6, 2013</w:t>
            </w:r>
          </w:p>
        </w:tc>
        <w:tc>
          <w:tcPr>
            <w:tcW w:w="3760" w:type="dxa"/>
            <w:vAlign w:val="bottom"/>
            <w:gridSpan w:val="2"/>
          </w:tcPr>
          <w:p>
            <w:pPr>
              <w:ind w:left="2080"/>
              <w:spacing w:after="0"/>
              <w:rPr>
                <w:sz w:val="20"/>
                <w:szCs w:val="20"/>
                <w:color w:val="auto"/>
              </w:rPr>
            </w:pPr>
            <w:r>
              <w:rPr>
                <w:rFonts w:ascii="Arial" w:cs="Arial" w:eastAsia="Arial" w:hAnsi="Arial"/>
                <w:sz w:val="18"/>
                <w:szCs w:val="18"/>
                <w:color w:val="auto"/>
              </w:rPr>
              <w:t>By</w:t>
            </w:r>
          </w:p>
        </w:tc>
        <w:tc>
          <w:tcPr>
            <w:tcW w:w="4020" w:type="dxa"/>
            <w:vAlign w:val="bottom"/>
          </w:tcPr>
          <w:p>
            <w:pPr>
              <w:jc w:val="center"/>
              <w:ind w:right="1030"/>
              <w:spacing w:after="0"/>
              <w:rPr>
                <w:sz w:val="20"/>
                <w:szCs w:val="20"/>
                <w:color w:val="auto"/>
              </w:rPr>
            </w:pPr>
            <w:r>
              <w:rPr>
                <w:rFonts w:ascii="Arial" w:cs="Arial" w:eastAsia="Arial" w:hAnsi="Arial"/>
                <w:sz w:val="18"/>
                <w:szCs w:val="18"/>
                <w:color w:val="auto"/>
                <w:w w:val="94"/>
              </w:rPr>
              <w:t>/s/ Edward U. Gilpin</w:t>
            </w:r>
          </w:p>
        </w:tc>
      </w:tr>
    </w:tbl>
    <w:p>
      <w:pPr>
        <w:jc w:val="center"/>
        <w:ind w:left="6280"/>
        <w:spacing w:after="0"/>
        <w:rPr>
          <w:sz w:val="20"/>
          <w:szCs w:val="20"/>
          <w:color w:val="auto"/>
        </w:rPr>
      </w:pPr>
      <w:r>
        <w:rPr>
          <w:rFonts w:ascii="Arial" w:cs="Arial" w:eastAsia="Arial" w:hAnsi="Arial"/>
          <w:sz w:val="18"/>
          <w:szCs w:val="18"/>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24"/>
                <w:szCs w:val="24"/>
                <w:color w:val="auto"/>
              </w:rPr>
            </w:pPr>
          </w:p>
        </w:tc>
      </w:t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411"/>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Purchase Agreement, dated June 16, 2013, by and among KCAP Financial, Inc., KCAP Senior Funding I Holdings, LLC, KCAP Senior</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Funding I, LLC and Guggenheim Securities, LLC (previously filed as Exhibit 10.1 to KCAP Financial, Inc.’s Current Report on Form 8-K</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filed June 19, 2013)</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Master Loan Sale Agreement, dated June 18, 2013, by and among KCAP Financial, Inc., KCAP Senior Funding I Holdings, LLC and</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KCAP Senior Funding I, LLC (previously filed as Exhibit 10.2 to KCAP Financial, Inc.’s Current Report on Form 8-K filed June 19,</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2013)</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Indenture, dated June 18, 2013, by and between KCAP Senior Funding I, LLC and U.S. Bank National Association (previously filed as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Exhibit 10.3 to KCAP Financial, Inc.’s Current Report on Form 8-K filed June 19, 2013)</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Collateral Management Agreement, dated June 18, 2013, by and between KCAP Senior Funding I, LLC and KCAP Financial, Inc.</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(previously filed as Exhibit 10.4 to KCAP Financial, Inc.’s Current Report on Form 8-K filed June 19, 2013)</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Collateral Administration Agreement, dated June 18, 2013, by and among KCAP Senior Funding I, LLC, KCAP Financial, Inc. and U.S.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Bank National Association (previously filed as Exhibit 10.5 to KCAP Financial, Inc.’s Current Report on Form 8-K filed June 19, 2013)</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Certification of Chief Executive Officer Pursuant to Rule 13a-14(a) under the Securities Exchange Act of 1934, as adopted pursuant to</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Certification of Chief Financial Officer Pursuant to Rule 13a-14(a) under the Securities Exchange Act of 1934, as adopted pursuant to</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Certification of Chief Executive Officer Pursuant to 18 U. S. C. 1350, as adopted pursuant to Section 906 of the Sarbanes-Oxley Act of</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2002.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Certification of Chief Financial Officer Pursuant to 18 U. S. C. 1350, as adopted pursuant to Section 906 of the Sarbanes-Oxley Act of</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137160</wp:posOffset>
            </wp:positionV>
            <wp:extent cx="3689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5280" w:firstLine="8"/>
        <w:spacing w:after="0" w:line="277" w:lineRule="auto"/>
        <w:tabs>
          <w:tab w:leader="none" w:pos="459"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agreement. ** Submitted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Dayl W. Pearson, certify that:</w:t>
      </w:r>
    </w:p>
    <w:p>
      <w:pPr>
        <w:spacing w:after="0" w:line="225" w:lineRule="exact"/>
        <w:rPr>
          <w:sz w:val="20"/>
          <w:szCs w:val="20"/>
          <w:color w:val="auto"/>
        </w:rPr>
      </w:pPr>
    </w:p>
    <w:p>
      <w:pPr>
        <w:ind w:left="600" w:hanging="178"/>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2013 of KCAP Financial, Inc. (the “registrant”);</w:t>
      </w:r>
    </w:p>
    <w:p>
      <w:pPr>
        <w:spacing w:after="0" w:line="225" w:lineRule="exact"/>
        <w:rPr>
          <w:rFonts w:ascii="Arial" w:cs="Arial" w:eastAsia="Arial" w:hAnsi="Arial"/>
          <w:sz w:val="18"/>
          <w:szCs w:val="18"/>
          <w:color w:val="auto"/>
        </w:rPr>
      </w:pPr>
    </w:p>
    <w:p>
      <w:pPr>
        <w:ind w:right="280" w:firstLine="422"/>
        <w:spacing w:after="0" w:line="342" w:lineRule="auto"/>
        <w:tabs>
          <w:tab w:leader="none" w:pos="594"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22"/>
        <w:spacing w:after="0" w:line="277" w:lineRule="auto"/>
        <w:tabs>
          <w:tab w:leader="none" w:pos="5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22"/>
        <w:spacing w:after="0" w:line="264" w:lineRule="auto"/>
        <w:tabs>
          <w:tab w:leader="none" w:pos="5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8100" w:val="left"/>
        </w:tabs>
        <w:rPr>
          <w:sz w:val="20"/>
          <w:szCs w:val="20"/>
          <w:color w:val="auto"/>
        </w:rPr>
      </w:pPr>
      <w:r>
        <w:rPr>
          <w:rFonts w:ascii="Arial" w:cs="Arial" w:eastAsia="Arial" w:hAnsi="Arial"/>
          <w:sz w:val="18"/>
          <w:szCs w:val="18"/>
          <w:color w:val="auto"/>
        </w:rPr>
        <w:t>Date: August 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3" w:lineRule="exact"/>
        <w:rPr>
          <w:sz w:val="20"/>
          <w:szCs w:val="20"/>
          <w:color w:val="auto"/>
        </w:rPr>
      </w:pPr>
    </w:p>
    <w:p>
      <w:pPr>
        <w:jc w:val="center"/>
        <w:ind w:left="638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3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3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Edward U. Gilpin, certify that:</w:t>
      </w:r>
    </w:p>
    <w:p>
      <w:pPr>
        <w:spacing w:after="0" w:line="225" w:lineRule="exact"/>
        <w:rPr>
          <w:sz w:val="20"/>
          <w:szCs w:val="20"/>
          <w:color w:val="auto"/>
        </w:rPr>
      </w:pPr>
    </w:p>
    <w:p>
      <w:pPr>
        <w:ind w:left="600" w:hanging="178"/>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2013 of KCAP Financial, Inc. (the “registrant”);</w:t>
      </w:r>
    </w:p>
    <w:p>
      <w:pPr>
        <w:spacing w:after="0" w:line="225" w:lineRule="exact"/>
        <w:rPr>
          <w:rFonts w:ascii="Arial" w:cs="Arial" w:eastAsia="Arial" w:hAnsi="Arial"/>
          <w:sz w:val="18"/>
          <w:szCs w:val="18"/>
          <w:color w:val="auto"/>
        </w:rPr>
      </w:pPr>
    </w:p>
    <w:p>
      <w:pPr>
        <w:ind w:right="280" w:firstLine="422"/>
        <w:spacing w:after="0" w:line="342" w:lineRule="auto"/>
        <w:tabs>
          <w:tab w:leader="none" w:pos="594"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22"/>
        <w:spacing w:after="0" w:line="277" w:lineRule="auto"/>
        <w:tabs>
          <w:tab w:leader="none" w:pos="594"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22"/>
        <w:spacing w:after="0" w:line="264" w:lineRule="auto"/>
        <w:tabs>
          <w:tab w:leader="none" w:pos="59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8060" w:val="left"/>
        </w:tabs>
        <w:rPr>
          <w:sz w:val="20"/>
          <w:szCs w:val="20"/>
          <w:color w:val="auto"/>
        </w:rPr>
      </w:pPr>
      <w:r>
        <w:rPr>
          <w:rFonts w:ascii="Arial" w:cs="Arial" w:eastAsia="Arial" w:hAnsi="Arial"/>
          <w:sz w:val="18"/>
          <w:szCs w:val="18"/>
          <w:color w:val="auto"/>
        </w:rPr>
        <w:t>Date: August 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June 30, 2013 (the “Report”), I, Dayl W. Pearson, President and Chief Executive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 w:leader="none" w:pos="8060" w:val="left"/>
        </w:tabs>
        <w:rPr>
          <w:sz w:val="20"/>
          <w:szCs w:val="20"/>
          <w:color w:val="auto"/>
        </w:rPr>
      </w:pPr>
      <w:r>
        <w:rPr>
          <w:rFonts w:ascii="Arial" w:cs="Arial" w:eastAsia="Arial" w:hAnsi="Arial"/>
          <w:sz w:val="18"/>
          <w:szCs w:val="18"/>
          <w:color w:val="auto"/>
        </w:rPr>
        <w:t>Date: August 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June 30, 2013 (the “Report”), I, Edward U. Gilpin, Chief Financial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 w:leader="none" w:pos="8060" w:val="left"/>
        </w:tabs>
        <w:rPr>
          <w:sz w:val="20"/>
          <w:szCs w:val="20"/>
          <w:color w:val="auto"/>
        </w:rPr>
      </w:pPr>
      <w:r>
        <w:rPr>
          <w:rFonts w:ascii="Arial" w:cs="Arial" w:eastAsia="Arial" w:hAnsi="Arial"/>
          <w:sz w:val="18"/>
          <w:szCs w:val="18"/>
          <w:color w:val="auto"/>
        </w:rPr>
        <w:t>Date: August 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emdash "/>
      <w:numFmt w:val="bullet"/>
      <w:start w:val="1"/>
    </w:lvl>
  </w:abstractNum>
  <w:abstractNum w:abstractNumId="1">
    <w:nsid w:val="7C3DBD3D"/>
    <w:multiLevelType w:val="hybridMultilevel"/>
    <w:lvl w:ilvl="0">
      <w:lvlJc w:val="left"/>
      <w:lvlText w:val="%1"/>
      <w:numFmt w:val="upperLetter"/>
      <w:start w:val="54"/>
    </w:lvl>
  </w:abstractNum>
  <w:abstractNum w:abstractNumId="2">
    <w:nsid w:val="737B8DDC"/>
    <w:multiLevelType w:val="hybridMultilevel"/>
    <w:lvl w:ilvl="0">
      <w:lvlJc w:val="left"/>
      <w:lvlText w:val="1"/>
      <w:numFmt w:val="bullet"/>
      <w:start w:val="1"/>
    </w:lvl>
  </w:abstractNum>
  <w:abstractNum w:abstractNumId="3">
    <w:nsid w:val="6CEAF087"/>
    <w:multiLevelType w:val="hybridMultilevel"/>
    <w:lvl w:ilvl="0">
      <w:lvlJc w:val="left"/>
      <w:lvlText w:val="2"/>
      <w:numFmt w:val="bullet"/>
      <w:start w:val="1"/>
    </w:lvl>
  </w:abstractNum>
  <w:abstractNum w:abstractNumId="4">
    <w:nsid w:val="22221A70"/>
    <w:multiLevelType w:val="hybridMultilevel"/>
    <w:lvl w:ilvl="0">
      <w:lvlJc w:val="left"/>
      <w:lvlText w:val="3"/>
      <w:numFmt w:val="bullet"/>
      <w:start w:val="1"/>
    </w:lvl>
  </w:abstractNum>
  <w:abstractNum w:abstractNumId="5">
    <w:nsid w:val="4516DDE9"/>
    <w:multiLevelType w:val="hybridMultilevel"/>
    <w:lvl w:ilvl="0">
      <w:lvlJc w:val="left"/>
      <w:lvlText w:val="4"/>
      <w:numFmt w:val="bullet"/>
      <w:start w:val="1"/>
    </w:lvl>
  </w:abstractNum>
  <w:abstractNum w:abstractNumId="6">
    <w:nsid w:val="3006C83E"/>
    <w:multiLevelType w:val="hybridMultilevel"/>
    <w:lvl w:ilvl="0">
      <w:lvlJc w:val="left"/>
      <w:lvlText w:val="5"/>
      <w:numFmt w:val="bullet"/>
      <w:start w:val="1"/>
    </w:lvl>
  </w:abstractNum>
  <w:abstractNum w:abstractNumId="7">
    <w:nsid w:val="614FD4A1"/>
    <w:multiLevelType w:val="hybridMultilevel"/>
    <w:lvl w:ilvl="0">
      <w:lvlJc w:val="left"/>
      <w:lvlText w:val="6"/>
      <w:numFmt w:val="bullet"/>
      <w:start w:val="1"/>
    </w:lvl>
  </w:abstractNum>
  <w:abstractNum w:abstractNumId="8">
    <w:nsid w:val="419AC241"/>
    <w:multiLevelType w:val="hybridMultilevel"/>
    <w:lvl w:ilvl="0">
      <w:lvlJc w:val="left"/>
      <w:lvlText w:val="7"/>
      <w:numFmt w:val="bullet"/>
      <w:start w:val="1"/>
    </w:lvl>
  </w:abstractNum>
  <w:abstractNum w:abstractNumId="9">
    <w:nsid w:val="5577F8E1"/>
    <w:multiLevelType w:val="hybridMultilevel"/>
    <w:lvl w:ilvl="0">
      <w:lvlJc w:val="left"/>
      <w:lvlText w:val="8"/>
      <w:numFmt w:val="bullet"/>
      <w:start w:val="1"/>
    </w:lvl>
  </w:abstractNum>
  <w:abstractNum w:abstractNumId="10">
    <w:nsid w:val="440BADFC"/>
    <w:multiLevelType w:val="hybridMultilevel"/>
    <w:lvl w:ilvl="0">
      <w:lvlJc w:val="left"/>
      <w:lvlText w:val="9"/>
      <w:numFmt w:val="bullet"/>
      <w:start w:val="1"/>
    </w:lvl>
  </w:abstractNum>
  <w:abstractNum w:abstractNumId="11">
    <w:nsid w:val="5072367"/>
    <w:multiLevelType w:val="hybridMultilevel"/>
    <w:lvl w:ilvl="0">
      <w:lvlJc w:val="left"/>
      <w:lvlText w:val="%1"/>
      <w:numFmt w:val="decimal"/>
      <w:start w:val="10"/>
    </w:lvl>
  </w:abstractNum>
  <w:abstractNum w:abstractNumId="12">
    <w:nsid w:val="3804823E"/>
    <w:multiLevelType w:val="hybridMultilevel"/>
    <w:lvl w:ilvl="0">
      <w:lvlJc w:val="left"/>
      <w:lvlText w:val="1"/>
      <w:numFmt w:val="bullet"/>
      <w:start w:val="1"/>
    </w:lvl>
  </w:abstractNum>
  <w:abstractNum w:abstractNumId="13">
    <w:nsid w:val="77465F01"/>
    <w:multiLevelType w:val="hybridMultilevel"/>
    <w:lvl w:ilvl="0">
      <w:lvlJc w:val="left"/>
      <w:lvlText w:val="2"/>
      <w:numFmt w:val="bullet"/>
      <w:start w:val="1"/>
    </w:lvl>
  </w:abstractNum>
  <w:abstractNum w:abstractNumId="14">
    <w:nsid w:val="7724C67E"/>
    <w:multiLevelType w:val="hybridMultilevel"/>
    <w:lvl w:ilvl="0">
      <w:lvlJc w:val="left"/>
      <w:lvlText w:val="3"/>
      <w:numFmt w:val="bullet"/>
      <w:start w:val="1"/>
    </w:lvl>
  </w:abstractNum>
  <w:abstractNum w:abstractNumId="15">
    <w:nsid w:val="5C482A97"/>
    <w:multiLevelType w:val="hybridMultilevel"/>
    <w:lvl w:ilvl="0">
      <w:lvlJc w:val="left"/>
      <w:lvlText w:val="4"/>
      <w:numFmt w:val="bullet"/>
      <w:start w:val="1"/>
    </w:lvl>
  </w:abstractNum>
  <w:abstractNum w:abstractNumId="16">
    <w:nsid w:val="2463B9EA"/>
    <w:multiLevelType w:val="hybridMultilevel"/>
    <w:lvl w:ilvl="0">
      <w:lvlJc w:val="left"/>
      <w:lvlText w:val="5"/>
      <w:numFmt w:val="bullet"/>
      <w:start w:val="1"/>
    </w:lvl>
  </w:abstractNum>
  <w:abstractNum w:abstractNumId="17">
    <w:nsid w:val="5E884ADC"/>
    <w:multiLevelType w:val="hybridMultilevel"/>
    <w:lvl w:ilvl="0">
      <w:lvlJc w:val="left"/>
      <w:lvlText w:val="6"/>
      <w:numFmt w:val="bullet"/>
      <w:start w:val="1"/>
    </w:lvl>
  </w:abstractNum>
  <w:abstractNum w:abstractNumId="18">
    <w:nsid w:val="51EAD36B"/>
    <w:multiLevelType w:val="hybridMultilevel"/>
    <w:lvl w:ilvl="0">
      <w:lvlJc w:val="left"/>
      <w:lvlText w:val="7"/>
      <w:numFmt w:val="bullet"/>
      <w:start w:val="1"/>
    </w:lvl>
  </w:abstractNum>
  <w:abstractNum w:abstractNumId="19">
    <w:nsid w:val="2D517796"/>
    <w:multiLevelType w:val="hybridMultilevel"/>
    <w:lvl w:ilvl="0">
      <w:lvlJc w:val="left"/>
      <w:lvlText w:val="8"/>
      <w:numFmt w:val="bullet"/>
      <w:start w:val="1"/>
    </w:lvl>
  </w:abstractNum>
  <w:abstractNum w:abstractNumId="20">
    <w:nsid w:val="580BD78F"/>
    <w:multiLevelType w:val="hybridMultilevel"/>
    <w:lvl w:ilvl="0">
      <w:lvlJc w:val="left"/>
      <w:lvlText w:val="9"/>
      <w:numFmt w:val="bullet"/>
      <w:start w:val="1"/>
    </w:lvl>
  </w:abstractNum>
  <w:abstractNum w:abstractNumId="21">
    <w:nsid w:val="153EA438"/>
    <w:multiLevelType w:val="hybridMultilevel"/>
    <w:lvl w:ilvl="0">
      <w:lvlJc w:val="left"/>
      <w:lvlText w:val="%1"/>
      <w:numFmt w:val="decimal"/>
      <w:start w:val="10"/>
    </w:lvl>
  </w:abstractNum>
  <w:abstractNum w:abstractNumId="22">
    <w:nsid w:val="3855585C"/>
    <w:multiLevelType w:val="hybridMultilevel"/>
    <w:lvl w:ilvl="0">
      <w:lvlJc w:val="left"/>
      <w:lvlText w:val="1"/>
      <w:numFmt w:val="bullet"/>
      <w:start w:val="1"/>
    </w:lvl>
  </w:abstractNum>
  <w:abstractNum w:abstractNumId="23">
    <w:nsid w:val="70A64E2A"/>
    <w:multiLevelType w:val="hybridMultilevel"/>
    <w:lvl w:ilvl="0">
      <w:lvlJc w:val="left"/>
      <w:lvlText w:val="2"/>
      <w:numFmt w:val="bullet"/>
      <w:start w:val="1"/>
    </w:lvl>
  </w:abstractNum>
  <w:abstractNum w:abstractNumId="24">
    <w:nsid w:val="6A2342EC"/>
    <w:multiLevelType w:val="hybridMultilevel"/>
    <w:lvl w:ilvl="0">
      <w:lvlJc w:val="left"/>
      <w:lvlText w:val="3"/>
      <w:numFmt w:val="bullet"/>
      <w:start w:val="1"/>
    </w:lvl>
  </w:abstractNum>
  <w:abstractNum w:abstractNumId="25">
    <w:nsid w:val="2A487CB0"/>
    <w:multiLevelType w:val="hybridMultilevel"/>
    <w:lvl w:ilvl="0">
      <w:lvlJc w:val="left"/>
      <w:lvlText w:val="4"/>
      <w:numFmt w:val="bullet"/>
      <w:start w:val="1"/>
    </w:lvl>
  </w:abstractNum>
  <w:abstractNum w:abstractNumId="26">
    <w:nsid w:val="1D4ED43B"/>
    <w:multiLevelType w:val="hybridMultilevel"/>
    <w:lvl w:ilvl="0">
      <w:lvlJc w:val="left"/>
      <w:lvlText w:val="5"/>
      <w:numFmt w:val="bullet"/>
      <w:start w:val="1"/>
    </w:lvl>
  </w:abstractNum>
  <w:abstractNum w:abstractNumId="27">
    <w:nsid w:val="725A06FB"/>
    <w:multiLevelType w:val="hybridMultilevel"/>
    <w:lvl w:ilvl="0">
      <w:lvlJc w:val="left"/>
      <w:lvlText w:val="%1."/>
      <w:numFmt w:val="decimal"/>
      <w:start w:val="2"/>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¹"/>
      <w:numFmt w:val="bullet"/>
      <w:start w:val="1"/>
    </w:lvl>
  </w:abstractNum>
  <w:abstractNum w:abstractNumId="30">
    <w:nsid w:val="7A6D8D3C"/>
    <w:multiLevelType w:val="hybridMultilevel"/>
    <w:lvl w:ilvl="0">
      <w:lvlJc w:val="left"/>
      <w:lvlText w:val="1"/>
      <w:numFmt w:val="bullet"/>
      <w:start w:val="1"/>
    </w:lvl>
  </w:abstractNum>
  <w:abstractNum w:abstractNumId="31">
    <w:nsid w:val="4B588F54"/>
    <w:multiLevelType w:val="hybridMultilevel"/>
    <w:lvl w:ilvl="0">
      <w:lvlJc w:val="left"/>
      <w:lvlText w:val="2"/>
      <w:numFmt w:val="bullet"/>
      <w:start w:val="1"/>
    </w:lvl>
  </w:abstractNum>
  <w:abstractNum w:abstractNumId="32">
    <w:nsid w:val="542289EC"/>
    <w:multiLevelType w:val="hybridMultilevel"/>
    <w:lvl w:ilvl="0">
      <w:lvlJc w:val="left"/>
      <w:lvlText w:val="1"/>
      <w:numFmt w:val="bullet"/>
      <w:start w:val="1"/>
    </w:lvl>
  </w:abstractNum>
  <w:abstractNum w:abstractNumId="33">
    <w:nsid w:val="6DE91B18"/>
    <w:multiLevelType w:val="hybridMultilevel"/>
    <w:lvl w:ilvl="0">
      <w:lvlJc w:val="left"/>
      <w:lvlText w:val="2"/>
      <w:numFmt w:val="bullet"/>
      <w:start w:val="1"/>
    </w:lvl>
  </w:abstractNum>
  <w:abstractNum w:abstractNumId="34">
    <w:nsid w:val="38437FDB"/>
    <w:multiLevelType w:val="hybridMultilevel"/>
    <w:lvl w:ilvl="0">
      <w:lvlJc w:val="left"/>
      <w:lvlText w:val="1"/>
      <w:numFmt w:val="bullet"/>
      <w:start w:val="1"/>
    </w:lvl>
  </w:abstractNum>
  <w:abstractNum w:abstractNumId="35">
    <w:nsid w:val="7644A45C"/>
    <w:multiLevelType w:val="hybridMultilevel"/>
    <w:lvl w:ilvl="0">
      <w:lvlJc w:val="left"/>
      <w:lvlText w:val="2"/>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1"/>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¹"/>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1)"/>
      <w:numFmt w:val="lowerRoman"/>
      <w:start w:val="2"/>
    </w:lvl>
  </w:abstractNum>
  <w:abstractNum w:abstractNumId="44">
    <w:nsid w:val="12E685FB"/>
    <w:multiLevelType w:val="hybridMultilevel"/>
    <w:lvl w:ilvl="0">
      <w:lvlJc w:val="left"/>
      <w:lvlText w:val="(%1)"/>
      <w:numFmt w:val="lowerRoman"/>
      <w:start w:val="2"/>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¹"/>
      <w:numFmt w:val="bullet"/>
      <w:start w:val="1"/>
    </w:lvl>
  </w:abstractNum>
  <w:abstractNum w:abstractNumId="47">
    <w:nsid w:val="374A3FE6"/>
    <w:multiLevelType w:val="hybridMultilevel"/>
    <w:lvl w:ilvl="0">
      <w:lvlJc w:val="left"/>
      <w:lvlText w:val="¹"/>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decimal"/>
      <w:start w:val="5"/>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decimal"/>
      <w:start w:val="5"/>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2019-12-07T13:53:58Z</dcterms:created>
  <dcterms:modified xsi:type="dcterms:W3CDTF">2019-12-07T13:53:58Z</dcterms:modified>
</cp:coreProperties>
</file>