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3253105</wp:posOffset>
            </wp:positionH>
            <wp:positionV relativeFrom="page">
              <wp:posOffset>663575</wp:posOffset>
            </wp:positionV>
            <wp:extent cx="34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page">
              <wp:posOffset>3253105</wp:posOffset>
            </wp:positionH>
            <wp:positionV relativeFrom="page">
              <wp:posOffset>688975</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jc w:val="center"/>
        <w:ind w:right="4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194310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266065</wp:posOffset>
            </wp:positionV>
            <wp:extent cx="4631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140" w:hanging="68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w:t>
      </w:r>
    </w:p>
    <w:p>
      <w:pPr>
        <w:spacing w:after="0" w:line="2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ind w:left="3120"/>
        <w:spacing w:after="0"/>
        <w:rPr>
          <w:sz w:val="20"/>
          <w:szCs w:val="20"/>
          <w:color w:val="auto"/>
        </w:rPr>
      </w:pPr>
      <w:r>
        <w:rPr>
          <w:rFonts w:ascii="Arial" w:cs="Arial" w:eastAsia="Arial" w:hAnsi="Arial"/>
          <w:sz w:val="17"/>
          <w:szCs w:val="17"/>
          <w:b w:val="1"/>
          <w:bCs w:val="1"/>
          <w:color w:val="auto"/>
        </w:rPr>
        <w:t>For the fiscal year ended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-52070</wp:posOffset>
            </wp:positionV>
            <wp:extent cx="4631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9" w:lineRule="exact"/>
        <w:rPr>
          <w:sz w:val="24"/>
          <w:szCs w:val="24"/>
          <w:color w:val="auto"/>
        </w:rPr>
      </w:pPr>
    </w:p>
    <w:p>
      <w:pPr>
        <w:ind w:left="1140" w:hanging="685"/>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ind w:left="3160"/>
        <w:spacing w:after="0"/>
        <w:tabs>
          <w:tab w:leader="none" w:pos="5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Commission File No. 814-00735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KCAP Financial, Inc.</w:t>
      </w:r>
    </w:p>
    <w:p>
      <w:pPr>
        <w:spacing w:after="0" w:line="123"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203835</wp:posOffset>
            </wp:positionV>
            <wp:extent cx="1543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238125</wp:posOffset>
            </wp:positionV>
            <wp:extent cx="6200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ectPr>
          <w:pgSz w:w="11900" w:h="16838" w:orient="portrait"/>
          <w:cols w:equalWidth="0" w:num="1">
            <w:col w:w="10099"/>
          </w:cols>
          <w:pgMar w:left="360" w:top="1440" w:right="1440" w:bottom="0" w:gutter="0" w:footer="0" w:header="0"/>
        </w:sectPr>
      </w:pPr>
    </w:p>
    <w:p>
      <w:pPr>
        <w:spacing w:after="0" w:line="200" w:lineRule="exact"/>
        <w:rPr>
          <w:sz w:val="24"/>
          <w:szCs w:val="24"/>
          <w:color w:val="auto"/>
        </w:rPr>
      </w:pPr>
    </w:p>
    <w:p>
      <w:pPr>
        <w:spacing w:after="0" w:line="238"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31" w:lineRule="exact"/>
        <w:rPr>
          <w:sz w:val="24"/>
          <w:szCs w:val="24"/>
          <w:color w:val="auto"/>
        </w:rPr>
      </w:pPr>
    </w:p>
    <w:p>
      <w:pPr>
        <w:sectPr>
          <w:pgSz w:w="11900" w:h="16838" w:orient="portrait"/>
          <w:cols w:equalWidth="0" w:num="2">
            <w:col w:w="6200" w:space="720"/>
            <w:col w:w="3179"/>
          </w:cols>
          <w:pgMar w:left="360" w:top="1440" w:right="1440" w:bottom="0" w:gutter="0" w:footer="0" w:header="0"/>
          <w:type w:val="continuous"/>
        </w:sectPr>
      </w:pPr>
    </w:p>
    <w:p>
      <w:pPr>
        <w:spacing w:after="0" w:line="12" w:lineRule="exact"/>
        <w:rPr>
          <w:sz w:val="24"/>
          <w:szCs w:val="24"/>
          <w:color w:val="auto"/>
        </w:rPr>
      </w:pPr>
    </w:p>
    <w:p>
      <w:pPr>
        <w:ind w:left="1540"/>
        <w:spacing w:after="0"/>
        <w:rPr>
          <w:sz w:val="20"/>
          <w:szCs w:val="20"/>
          <w:color w:val="auto"/>
        </w:rPr>
      </w:pPr>
      <w:r>
        <w:rPr>
          <w:rFonts w:ascii="Arial" w:cs="Arial" w:eastAsia="Arial" w:hAnsi="Arial"/>
          <w:sz w:val="13"/>
          <w:szCs w:val="13"/>
          <w:b w:val="1"/>
          <w:bCs w:val="1"/>
          <w:color w:val="auto"/>
        </w:rPr>
        <w:t>(State or other jurisdiction of</w:t>
      </w:r>
    </w:p>
    <w:p>
      <w:pPr>
        <w:ind w:left="15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39"/>
        <w:spacing w:after="0"/>
        <w:rPr>
          <w:sz w:val="20"/>
          <w:szCs w:val="20"/>
          <w:color w:val="auto"/>
        </w:rPr>
      </w:pPr>
      <w:r>
        <w:rPr>
          <w:rFonts w:ascii="Arial" w:cs="Arial" w:eastAsia="Arial" w:hAnsi="Arial"/>
          <w:sz w:val="14"/>
          <w:szCs w:val="14"/>
          <w:b w:val="1"/>
          <w:bCs w:val="1"/>
          <w:color w:val="auto"/>
        </w:rPr>
        <w:t>(I.R.S. Employer</w:t>
      </w:r>
    </w:p>
    <w:p>
      <w:pPr>
        <w:jc w:val="center"/>
        <w:ind w:right="2039"/>
        <w:spacing w:after="0"/>
        <w:rPr>
          <w:sz w:val="20"/>
          <w:szCs w:val="20"/>
          <w:color w:val="auto"/>
        </w:rPr>
      </w:pPr>
      <w:r>
        <w:rPr>
          <w:rFonts w:ascii="Arial" w:cs="Arial" w:eastAsia="Arial" w:hAnsi="Arial"/>
          <w:sz w:val="13"/>
          <w:szCs w:val="13"/>
          <w:b w:val="1"/>
          <w:bCs w:val="1"/>
          <w:color w:val="auto"/>
        </w:rPr>
        <w:t>Identification Number)</w:t>
      </w:r>
    </w:p>
    <w:p>
      <w:pPr>
        <w:spacing w:after="0" w:line="126" w:lineRule="exact"/>
        <w:rPr>
          <w:sz w:val="24"/>
          <w:szCs w:val="24"/>
          <w:color w:val="auto"/>
        </w:rPr>
      </w:pPr>
    </w:p>
    <w:p>
      <w:pPr>
        <w:sectPr>
          <w:pgSz w:w="11900" w:h="16838" w:orient="portrait"/>
          <w:cols w:equalWidth="0" w:num="2">
            <w:col w:w="5920" w:space="720"/>
            <w:col w:w="3459"/>
          </w:cols>
          <w:pgMar w:left="360" w:top="1440" w:right="1440" w:bottom="0" w:gutter="0" w:footer="0" w:header="0"/>
          <w:type w:val="continuous"/>
        </w:sectPr>
      </w:pPr>
    </w:p>
    <w:p>
      <w:pPr>
        <w:jc w:val="center"/>
        <w:ind w:right="439"/>
        <w:spacing w:after="0"/>
        <w:rPr>
          <w:sz w:val="20"/>
          <w:szCs w:val="20"/>
          <w:color w:val="auto"/>
        </w:rPr>
      </w:pPr>
      <w:r>
        <w:rPr>
          <w:rFonts w:ascii="Arial" w:cs="Arial" w:eastAsia="Arial" w:hAnsi="Arial"/>
          <w:sz w:val="16"/>
          <w:szCs w:val="16"/>
          <w:b w:val="1"/>
          <w:bCs w:val="1"/>
          <w:color w:val="auto"/>
        </w:rPr>
        <w:t>295 Madison Avenue, 6</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8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New York, New York 10017</w:t>
      </w:r>
    </w:p>
    <w:p>
      <w:pPr>
        <w:spacing w:after="0" w:line="108" w:lineRule="exact"/>
        <w:rPr>
          <w:sz w:val="24"/>
          <w:szCs w:val="24"/>
          <w:color w:val="auto"/>
        </w:rPr>
      </w:pPr>
    </w:p>
    <w:p>
      <w:pPr>
        <w:ind w:left="364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0099"/>
          </w:cols>
          <w:pgMar w:left="360" w:top="1440" w:right="1440" w:bottom="0" w:gutter="0" w:footer="0" w:header="0"/>
          <w:type w:val="continuous"/>
        </w:sectPr>
      </w:pPr>
    </w:p>
    <w:p>
      <w:pPr>
        <w:spacing w:after="0" w:line="24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(212) 455-8300</w:t>
      </w:r>
    </w:p>
    <w:p>
      <w:pPr>
        <w:spacing w:after="0" w:line="126"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203835</wp:posOffset>
            </wp:positionV>
            <wp:extent cx="15436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4648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191"/>
        </w:trPr>
        <w:tc>
          <w:tcPr>
            <w:tcW w:w="3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16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Global Select Market</w:t>
            </w:r>
          </w:p>
        </w:tc>
      </w:tr>
      <w:tr>
        <w:trPr>
          <w:trHeight w:val="234"/>
        </w:trPr>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7.375% Notes Due 2019</w:t>
            </w:r>
          </w:p>
        </w:tc>
        <w:tc>
          <w:tcPr>
            <w:tcW w:w="16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90"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206375</wp:posOffset>
            </wp:positionV>
            <wp:extent cx="1543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Act.Yes o No</w:t>
      </w:r>
    </w:p>
    <w:p>
      <w:pPr>
        <w:spacing w:after="0" w:line="46" w:lineRule="exact"/>
        <w:rPr>
          <w:sz w:val="24"/>
          <w:szCs w:val="24"/>
          <w:color w:val="auto"/>
        </w:rPr>
      </w:pPr>
    </w:p>
    <w:p>
      <w:pPr>
        <w:ind w:left="60"/>
        <w:spacing w:after="0"/>
        <w:rPr>
          <w:sz w:val="20"/>
          <w:szCs w:val="20"/>
          <w:color w:val="auto"/>
        </w:rPr>
      </w:pPr>
      <w:r>
        <w:rPr>
          <w:rFonts w:ascii="Arial" w:cs="Arial" w:eastAsia="Arial" w:hAnsi="Arial"/>
          <w:sz w:val="18"/>
          <w:szCs w:val="18"/>
          <w:color w:val="auto"/>
        </w:rPr>
        <w:t>x</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Act.Yes o No x</w:t>
      </w:r>
    </w:p>
    <w:p>
      <w:pPr>
        <w:spacing w:after="0" w:line="129" w:lineRule="exact"/>
        <w:rPr>
          <w:sz w:val="24"/>
          <w:szCs w:val="24"/>
          <w:color w:val="auto"/>
        </w:rPr>
      </w:pPr>
    </w:p>
    <w:p>
      <w:pPr>
        <w:ind w:left="60" w:right="579"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3" w:lineRule="exact"/>
        <w:rPr>
          <w:sz w:val="24"/>
          <w:szCs w:val="24"/>
          <w:color w:val="auto"/>
        </w:rPr>
      </w:pPr>
    </w:p>
    <w:p>
      <w:pPr>
        <w:ind w:left="6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39" w:lineRule="exact"/>
        <w:rPr>
          <w:sz w:val="24"/>
          <w:szCs w:val="24"/>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73" w:lineRule="exact"/>
        <w:rPr>
          <w:sz w:val="24"/>
          <w:szCs w:val="24"/>
          <w:color w:val="auto"/>
        </w:rPr>
      </w:pPr>
    </w:p>
    <w:p>
      <w:pPr>
        <w:ind w:left="60" w:right="899" w:firstLine="27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-76200</wp:posOffset>
            </wp:positionV>
            <wp:extent cx="5848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ind w:left="2560" w:right="1039" w:hanging="4213"/>
        <w:spacing w:after="0" w:line="250" w:lineRule="auto"/>
        <w:tabs>
          <w:tab w:leader="none" w:pos="25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 Non-accelerated filer o Smaller Reporting Company o (Do not check if a smaller</w:t>
      </w:r>
    </w:p>
    <w:p>
      <w:pPr>
        <w:spacing w:after="0" w:line="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reporting company)</w:t>
      </w:r>
    </w:p>
    <w:p>
      <w:pPr>
        <w:spacing w:after="0" w:line="10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Act).Yes o No x</w:t>
      </w:r>
    </w:p>
    <w:p>
      <w:pPr>
        <w:sectPr>
          <w:pgSz w:w="11900" w:h="16838" w:orient="portrait"/>
          <w:cols w:equalWidth="0" w:num="1">
            <w:col w:w="10099"/>
          </w:cols>
          <w:pgMar w:left="360" w:top="1440" w:right="1440" w:bottom="0" w:gutter="0" w:footer="0" w:header="0"/>
          <w:type w:val="continuous"/>
        </w:sectPr>
      </w:pPr>
    </w:p>
    <w:bookmarkStart w:id="1" w:name="page2"/>
    <w:bookmarkEnd w:id="1"/>
    <w:p>
      <w:pPr>
        <w:ind w:right="579" w:firstLine="270"/>
        <w:spacing w:after="0" w:line="25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March 7, 2014 was approximately $232 million based upon a closing price of $8.14 reported for such date by The NASDAQ Global Select Market. Common shares held by each executive officer and director and by each person who owns 5% or more of the outstanding common shares have been excluded in that such persons may be deemed to be affiliates. This determination of affiliate status is not necessarily a conclusive determination for other purposes.</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number of outstanding shares of common stock of the registrant as of March 7, 2014 was 33,340,607.</w:t>
      </w:r>
    </w:p>
    <w:p>
      <w:pPr>
        <w:spacing w:after="0" w:line="221"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539" w:firstLine="270"/>
        <w:spacing w:after="0" w:line="264" w:lineRule="auto"/>
        <w:rPr>
          <w:sz w:val="20"/>
          <w:szCs w:val="20"/>
          <w:color w:val="auto"/>
        </w:rPr>
      </w:pPr>
      <w:r>
        <w:rPr>
          <w:rFonts w:ascii="Arial" w:cs="Arial" w:eastAsia="Arial" w:hAnsi="Arial"/>
          <w:sz w:val="18"/>
          <w:szCs w:val="18"/>
          <w:color w:val="auto"/>
        </w:rPr>
        <w:t>Portions of the registrant’s definitive proxy statement for the 2014 annual meeting of stockholders to be filed with the Securities and Exchange Commission within 120 days following the end of the registrant’s fiscal year-end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720090</wp:posOffset>
            </wp:positionV>
            <wp:extent cx="6114415"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-20955</wp:posOffset>
            </wp:positionV>
            <wp:extent cx="342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4445</wp:posOffset>
            </wp:positionV>
            <wp:extent cx="342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10039"/>
          </w:cols>
          <w:pgMar w:left="420" w:top="179"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REFERENCES TO KCAP FINANCIAL, INC.</w:t>
      </w:r>
    </w:p>
    <w:p>
      <w:pPr>
        <w:spacing w:after="0" w:line="121"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In this Annual Report on Form 10-K (this “Annual Report”), the “Company”, “KCAP”, “we”, “us” and “our” refer to KCAP Financial, Inc. and it’s wholly owned subsidiaries, KCAP Funding LLC and KCAP Senior Funding I Holdings, LLC unless the context otherwise requires.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TRADEMARKS</w:t>
      </w:r>
    </w:p>
    <w:p>
      <w:pPr>
        <w:spacing w:after="0" w:line="121" w:lineRule="exact"/>
        <w:rPr>
          <w:sz w:val="20"/>
          <w:szCs w:val="20"/>
          <w:color w:val="auto"/>
        </w:rPr>
      </w:pPr>
    </w:p>
    <w:p>
      <w:pPr>
        <w:ind w:left="40" w:right="879" w:firstLine="270"/>
        <w:spacing w:after="0" w:line="308" w:lineRule="auto"/>
        <w:rPr>
          <w:sz w:val="20"/>
          <w:szCs w:val="20"/>
          <w:color w:val="auto"/>
        </w:rPr>
      </w:pPr>
      <w:r>
        <w:rPr>
          <w:rFonts w:ascii="Arial" w:cs="Arial" w:eastAsia="Arial" w:hAnsi="Arial"/>
          <w:sz w:val="17"/>
          <w:szCs w:val="17"/>
          <w:color w:val="auto"/>
        </w:rPr>
        <w:t>KCAP Financial, Inc., our logo and other trademarks of KCAP Financial, Inc. are the property of KCAP Financial, Inc. All other trademarks or trade names referred to in this Annual Report are the property of their respective owners.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21"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This Annual Report includes forward-looking statements. The matters discussed in this Annual Report, as well as in future oral and written statements by management of KCAP Financial, Inc.,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“contemplates,” “believes,” “estimates,” “predicts,”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Annual Report should not be regarded as a representation by us that our plans or objectives will be achieved. The forward-looking statements contained in this Annual Report include statements as to:</w:t>
      </w:r>
    </w:p>
    <w:p>
      <w:pPr>
        <w:spacing w:after="0" w:line="72" w:lineRule="exact"/>
        <w:rPr>
          <w:sz w:val="20"/>
          <w:szCs w:val="20"/>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117" w:lineRule="exact"/>
        <w:rPr>
          <w:rFonts w:ascii="Arial" w:cs="Arial" w:eastAsia="Arial" w:hAnsi="Arial"/>
          <w:sz w:val="18"/>
          <w:szCs w:val="18"/>
          <w:color w:val="auto"/>
        </w:rPr>
      </w:pPr>
    </w:p>
    <w:p>
      <w:pPr>
        <w:ind w:left="600" w:right="799"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portfolio companies, including Katonah Debt Advisors, L.L.C. and Trimaran Advisors, L.L.C.;</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17" w:lineRule="exact"/>
        <w:rPr>
          <w:rFonts w:ascii="Arial" w:cs="Arial" w:eastAsia="Arial" w:hAnsi="Arial"/>
          <w:sz w:val="18"/>
          <w:szCs w:val="18"/>
          <w:color w:val="auto"/>
        </w:rPr>
      </w:pPr>
    </w:p>
    <w:p>
      <w:pPr>
        <w:ind w:left="600" w:right="699"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including Katonah Debt Advisors, L.L.C. and Trimaran Advisors, L.L.C.;</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456565</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117" w:lineRule="exact"/>
        <w:rPr>
          <w:sz w:val="20"/>
          <w:szCs w:val="20"/>
          <w:color w:val="auto"/>
        </w:rPr>
      </w:pPr>
    </w:p>
    <w:p>
      <w:pPr>
        <w:ind w:left="40" w:right="679" w:firstLine="270"/>
        <w:spacing w:after="0" w:line="276" w:lineRule="auto"/>
        <w:rPr>
          <w:sz w:val="20"/>
          <w:szCs w:val="20"/>
          <w:color w:val="auto"/>
        </w:rPr>
      </w:pPr>
      <w:r>
        <w:rPr>
          <w:rFonts w:ascii="Arial" w:cs="Arial" w:eastAsia="Arial" w:hAnsi="Arial"/>
          <w:sz w:val="17"/>
          <w:szCs w:val="17"/>
          <w:color w:val="auto"/>
        </w:rPr>
        <w:t>For a discussion of factors that could cause our actual results to differ from forward-looking statements contained in this Annual Report, please see the discussion under “Risk Factors” in Item 1A. You should not place undue reliance on these forward-looking statements. The forward-looking statements made in this Annual Report relate only to events as of the date on which the statements are made. We undertake no obligation to update any forward-looking statement to reflect events or circumstances occurring after the date of this Annual Report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423545</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40" w:type="dxa"/>
            <w:vAlign w:val="bottom"/>
            <w:gridSpan w:val="10"/>
          </w:tcPr>
          <w:p>
            <w:pPr>
              <w:ind w:left="60"/>
              <w:spacing w:after="0"/>
              <w:rPr>
                <w:sz w:val="20"/>
                <w:szCs w:val="20"/>
                <w:color w:val="auto"/>
              </w:rPr>
            </w:pPr>
            <w:r>
              <w:rPr>
                <w:rFonts w:ascii="Arial" w:cs="Arial" w:eastAsia="Arial" w:hAnsi="Arial"/>
                <w:sz w:val="18"/>
                <w:szCs w:val="18"/>
                <w:b w:val="1"/>
                <w:bCs w:val="1"/>
                <w:color w:val="auto"/>
              </w:rPr>
              <w:t>TABLE OF CONTENTS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5"/>
          </w:tcPr>
          <w:p>
            <w:pPr>
              <w:ind w:lef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3840" w:type="dxa"/>
            <w:vAlign w:val="bottom"/>
            <w:gridSpan w:val="10"/>
            <w:shd w:val="clear" w:color="auto" w:fill="CCFFCC"/>
          </w:tcPr>
          <w:p>
            <w:pPr>
              <w:jc w:val="center"/>
              <w:ind w:right="3220"/>
              <w:spacing w:after="0"/>
              <w:rPr>
                <w:sz w:val="20"/>
                <w:szCs w:val="20"/>
                <w:color w:val="auto"/>
              </w:rPr>
            </w:pPr>
            <w:r>
              <w:rPr>
                <w:rFonts w:ascii="Arial" w:cs="Arial" w:eastAsia="Arial" w:hAnsi="Arial"/>
                <w:sz w:val="18"/>
                <w:szCs w:val="18"/>
                <w:b w:val="1"/>
                <w:bCs w:val="1"/>
                <w:color w:val="auto"/>
              </w:rPr>
              <w:t>Part I</w:t>
            </w:r>
          </w:p>
        </w:tc>
        <w:tc>
          <w:tcPr>
            <w:tcW w:w="22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auto"/>
              <w:right w:val="single" w:sz="8" w:color="CCFFCC"/>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1A.</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Item 1B.</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40" w:type="dxa"/>
            <w:vAlign w:val="bottom"/>
            <w:tcBorders>
              <w:top w:val="single" w:sz="8" w:color="CCFFCC"/>
            </w:tcBorders>
            <w:gridSpan w:val="10"/>
          </w:tcPr>
          <w:p>
            <w:pPr>
              <w:jc w:val="center"/>
              <w:ind w:right="3200"/>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5.</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Market for Registrant’s Common Equity, Related Stockholder Matters and Issuer</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50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5840" w:type="dxa"/>
            <w:vAlign w:val="bottom"/>
            <w:tcBorders>
              <w:top w:val="single" w:sz="8" w:color="0000EE"/>
            </w:tcBorders>
            <w:gridSpan w:val="21"/>
            <w:shd w:val="clear" w:color="auto" w:fill="CCFFCC"/>
          </w:tcPr>
          <w:p>
            <w:pPr>
              <w:ind w:left="18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Purchases of Equity Securities</w:t>
              </w:r>
            </w:hyperlink>
          </w:p>
        </w:tc>
        <w:tc>
          <w:tcPr>
            <w:tcW w:w="860" w:type="dxa"/>
            <w:vAlign w:val="bottom"/>
            <w:tcBorders>
              <w:top w:val="single" w:sz="8" w:color="CCFFCC"/>
            </w:tcBorders>
            <w:gridSpan w:val="3"/>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0000EE"/>
            </w:tcBorders>
            <w:shd w:val="clear" w:color="auto" w:fill="CCFFCC"/>
          </w:tcPr>
          <w:p>
            <w:pPr>
              <w:spacing w:after="0"/>
              <w:rPr>
                <w:sz w:val="17"/>
                <w:szCs w:val="17"/>
                <w:color w:val="auto"/>
              </w:rPr>
            </w:pPr>
          </w:p>
        </w:tc>
        <w:tc>
          <w:tcPr>
            <w:tcW w:w="160" w:type="dxa"/>
            <w:vAlign w:val="bottom"/>
            <w:tcBorders>
              <w:top w:val="single" w:sz="8" w:color="0000EE"/>
              <w:right w:val="single" w:sz="8" w:color="CCFFCC"/>
            </w:tcBorders>
            <w:shd w:val="clear" w:color="auto" w:fill="CCFFC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6.</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Selected Financial Data</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Item 7A.</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Management’s Discussion and Analysis of Financial Condition and Results of Operations</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10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Item 7B.</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62</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8.</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Item 9.</w:t>
              </w:r>
            </w:hyperlink>
          </w:p>
        </w:tc>
        <w:tc>
          <w:tcPr>
            <w:tcW w:w="6780" w:type="dxa"/>
            <w:vAlign w:val="bottom"/>
            <w:gridSpan w:val="25"/>
          </w:tcPr>
          <w:p>
            <w:pPr>
              <w:ind w:left="80"/>
              <w:spacing w:after="0" w:line="17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Changes in and Disagreements with Accountants on Accounting and Financial Disclosure</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9A.</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Controls and Procedures</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63</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9B.</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64</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3840" w:type="dxa"/>
            <w:vAlign w:val="bottom"/>
            <w:gridSpan w:val="10"/>
            <w:shd w:val="clear" w:color="auto" w:fill="CCFFCC"/>
          </w:tcPr>
          <w:p>
            <w:pPr>
              <w:jc w:val="center"/>
              <w:ind w:right="3200"/>
              <w:spacing w:after="0"/>
              <w:rPr>
                <w:sz w:val="20"/>
                <w:szCs w:val="20"/>
                <w:color w:val="auto"/>
              </w:rPr>
            </w:pPr>
            <w:r>
              <w:rPr>
                <w:rFonts w:ascii="Arial" w:cs="Arial" w:eastAsia="Arial" w:hAnsi="Arial"/>
                <w:sz w:val="18"/>
                <w:szCs w:val="18"/>
                <w:b w:val="1"/>
                <w:bCs w:val="1"/>
                <w:color w:val="auto"/>
              </w:rPr>
              <w:t>Part III</w:t>
            </w: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Item 10.</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Directors, Executive Officers and Corporate Governance</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65</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Item 11.</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65</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Item 12.</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65</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Borders>
              <w:top w:val="single" w:sz="8" w:color="0000EE"/>
            </w:tcBorders>
            <w:gridSpan w:val="20"/>
          </w:tcPr>
          <w:p>
            <w:pPr>
              <w:ind w:left="18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Stockholder Matters</w:t>
              </w:r>
            </w:hyperlink>
          </w:p>
        </w:tc>
        <w:tc>
          <w:tcPr>
            <w:tcW w:w="9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820" w:type="dxa"/>
            <w:vAlign w:val="bottom"/>
            <w:gridSpan w:val="6"/>
            <w:shd w:val="clear" w:color="auto" w:fill="CCFFCC"/>
          </w:tcPr>
          <w:p>
            <w:pPr>
              <w:ind w:left="180"/>
              <w:spacing w:after="0" w:line="17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Item 13.</w:t>
              </w:r>
            </w:hyperlink>
          </w:p>
        </w:tc>
        <w:tc>
          <w:tcPr>
            <w:tcW w:w="6780" w:type="dxa"/>
            <w:vAlign w:val="bottom"/>
            <w:gridSpan w:val="25"/>
            <w:shd w:val="clear" w:color="auto" w:fill="CCFFCC"/>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65</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10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Item 14.</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Accountant Fees and Services</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65</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3840" w:type="dxa"/>
            <w:vAlign w:val="bottom"/>
            <w:gridSpan w:val="10"/>
            <w:shd w:val="clear" w:color="auto" w:fill="CCFFCC"/>
          </w:tcPr>
          <w:p>
            <w:pPr>
              <w:jc w:val="center"/>
              <w:ind w:right="3220"/>
              <w:spacing w:after="0"/>
              <w:rPr>
                <w:sz w:val="20"/>
                <w:szCs w:val="20"/>
                <w:color w:val="auto"/>
              </w:rPr>
            </w:pPr>
            <w:r>
              <w:rPr>
                <w:rFonts w:ascii="Arial" w:cs="Arial" w:eastAsia="Arial" w:hAnsi="Arial"/>
                <w:sz w:val="18"/>
                <w:szCs w:val="18"/>
                <w:b w:val="1"/>
                <w:bCs w:val="1"/>
                <w:color w:val="auto"/>
              </w:rPr>
              <w:t>Part IV</w:t>
            </w: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6"/>
          </w:tcPr>
          <w:p>
            <w:pPr>
              <w:ind w:left="180"/>
              <w:spacing w:after="0" w:line="17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Item 15.</w:t>
              </w:r>
            </w:hyperlink>
          </w:p>
        </w:tc>
        <w:tc>
          <w:tcPr>
            <w:tcW w:w="6780" w:type="dxa"/>
            <w:vAlign w:val="bottom"/>
            <w:gridSpan w:val="25"/>
          </w:tcPr>
          <w:p>
            <w:pPr>
              <w:ind w:left="8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Exhibits and Financial Statement Schedules</w:t>
              </w:r>
            </w:hyperlink>
          </w:p>
        </w:tc>
        <w:tc>
          <w:tcPr>
            <w:tcW w:w="540" w:type="dxa"/>
            <w:vAlign w:val="bottom"/>
            <w:gridSpan w:val="4"/>
          </w:tcPr>
          <w:p>
            <w:pPr>
              <w:jc w:val="right"/>
              <w:ind w:right="6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66</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0" w:type="dxa"/>
            <w:vAlign w:val="bottom"/>
            <w:gridSpan w:val="3"/>
            <w:shd w:val="clear" w:color="auto" w:fill="CCFFCC"/>
          </w:tcPr>
          <w:p>
            <w:pPr>
              <w:spacing w:after="0" w:line="17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Signatures</w:t>
              </w:r>
            </w:hyperlink>
          </w:p>
        </w:tc>
        <w:tc>
          <w:tcPr>
            <w:tcW w:w="60" w:type="dxa"/>
            <w:vAlign w:val="bottom"/>
            <w:gridSpan w:val="3"/>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40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50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620" w:type="dxa"/>
            <w:vAlign w:val="bottom"/>
            <w:shd w:val="clear" w:color="auto" w:fill="CCFFCC"/>
          </w:tcPr>
          <w:p>
            <w:pPr>
              <w:spacing w:after="0"/>
              <w:rPr>
                <w:sz w:val="15"/>
                <w:szCs w:val="15"/>
                <w:color w:val="auto"/>
              </w:rPr>
            </w:pPr>
          </w:p>
        </w:tc>
        <w:tc>
          <w:tcPr>
            <w:tcW w:w="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540" w:type="dxa"/>
            <w:vAlign w:val="bottom"/>
            <w:tcBorders>
              <w:right w:val="single" w:sz="8" w:color="CCFFCC"/>
            </w:tcBorders>
            <w:gridSpan w:val="4"/>
            <w:shd w:val="clear" w:color="auto" w:fill="CCFFCC"/>
          </w:tcPr>
          <w:p>
            <w:pPr>
              <w:jc w:val="right"/>
              <w:ind w:right="60"/>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67</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500" w:type="dxa"/>
            <w:vAlign w:val="bottom"/>
            <w:tcBorders>
              <w:bottom w:val="single" w:sz="8" w:color="0000EE"/>
            </w:tcBorders>
            <w:gridSpan w:val="9"/>
          </w:tcPr>
          <w:p>
            <w:pPr>
              <w:spacing w:after="0" w:line="17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Financial Statements</w:t>
              </w:r>
            </w:hyperlink>
          </w:p>
        </w:tc>
        <w:tc>
          <w:tcPr>
            <w:tcW w:w="6100" w:type="dxa"/>
            <w:vAlign w:val="bottom"/>
            <w:gridSpan w:val="22"/>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0000EE"/>
            </w:tcBorders>
            <w:gridSpan w:val="3"/>
          </w:tcPr>
          <w:p>
            <w:pPr>
              <w:jc w:val="right"/>
              <w:ind w:right="60"/>
              <w:spacing w:after="0" w:line="17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F-1</w:t>
              </w:r>
            </w:hyperlink>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-4038600</wp:posOffset>
            </wp:positionV>
            <wp:extent cx="51796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40" w:right="919" w:firstLine="270"/>
        <w:spacing w:after="0" w:line="342" w:lineRule="auto"/>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(“BDC”) under the Investment Company Act of 1940 (the “1940 Act”). We have three principal areas of investment.</w:t>
      </w:r>
    </w:p>
    <w:p>
      <w:pPr>
        <w:spacing w:after="0" w:line="16"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First, we originate, structure, and invest in senior secured term loans, mezzanine debt and selected equity securities primarily in privately-held middle market companies (the “Debt Securities Portfolio”). In addition, from time to time we may invest in the equity securities of privately held middle market companies.</w:t>
      </w:r>
    </w:p>
    <w:p>
      <w:pPr>
        <w:spacing w:after="0" w:line="73"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Second, we have invested in asset management companies (Katonah Debt Advisors and Trimaran Advisors, collectively the “Asset Manager Affiliates”) who manage collateralized loan obligation funds (“CLO Funds”).</w:t>
      </w:r>
    </w:p>
    <w:p>
      <w:pPr>
        <w:spacing w:after="0" w:line="62"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Third, we invest in debt and equity securities issued by CLO Funds managed by our Asset Manager Affiliates or by other asset managers (the “CLO Fund Securities”).</w:t>
      </w:r>
    </w:p>
    <w:p>
      <w:pPr>
        <w:spacing w:after="0" w:line="62" w:lineRule="exact"/>
        <w:rPr>
          <w:sz w:val="20"/>
          <w:szCs w:val="20"/>
          <w:color w:val="auto"/>
        </w:rPr>
      </w:pPr>
    </w:p>
    <w:p>
      <w:pPr>
        <w:ind w:left="40" w:right="579" w:firstLine="270"/>
        <w:spacing w:after="0" w:line="253" w:lineRule="auto"/>
        <w:rPr>
          <w:sz w:val="20"/>
          <w:szCs w:val="20"/>
          <w:color w:val="auto"/>
        </w:rPr>
      </w:pPr>
      <w:r>
        <w:rPr>
          <w:rFonts w:ascii="Arial" w:cs="Arial" w:eastAsia="Arial" w:hAnsi="Arial"/>
          <w:sz w:val="18"/>
          <w:szCs w:val="18"/>
          <w:color w:val="auto"/>
        </w:rPr>
        <w:t>In our Debt Securities Portfolio, our investment objective is to generate current income and, to a lesser extent, capital appreciation from the investments made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therefore we expect them to generate a stable stream of interest income. We also invest in mezzanine debt, which generally is subordinated to senior loans and is generally unsecured. While our primary investment focus is making loans to, and selected equity investments in, privately-held middle market companies, we may also invest in other investments such as loans to larger, publicly-traded companies, high-yield bonds and distressed debt securities. We may also receive warrants or options to purchase common stock in connection with our debt investments.</w:t>
      </w:r>
    </w:p>
    <w:p>
      <w:pPr>
        <w:spacing w:after="0" w:line="85"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With respect to our Asset Manager Affiliates investment, we expect to receive recurring dividend distributions and to generate capital appreciation through the addition of new CLO Funds managed by our Asset Manager Affiliates. The Asset Manager Affiliates manage CLO Funds which invest in broadly syndicated loans, high-yield bonds and other credit instruments. Collectively, the Asset Manager Affiliates have approximately $3.2 billion of par value assets under management. The Asset Manager Affiliates are registered under the Investment Advisers Act of 1940, and are managed independently from the Company by a separate portfolio management team.</w:t>
      </w:r>
    </w:p>
    <w:p>
      <w:pPr>
        <w:spacing w:after="0" w:line="85" w:lineRule="exact"/>
        <w:rPr>
          <w:sz w:val="20"/>
          <w:szCs w:val="20"/>
          <w:color w:val="auto"/>
        </w:rPr>
      </w:pPr>
    </w:p>
    <w:p>
      <w:pPr>
        <w:ind w:left="40" w:right="919" w:firstLine="270"/>
        <w:spacing w:after="0" w:line="286" w:lineRule="auto"/>
        <w:rPr>
          <w:sz w:val="20"/>
          <w:szCs w:val="20"/>
          <w:color w:val="auto"/>
        </w:rPr>
      </w:pPr>
      <w:r>
        <w:rPr>
          <w:rFonts w:ascii="Arial" w:cs="Arial" w:eastAsia="Arial" w:hAnsi="Arial"/>
          <w:sz w:val="17"/>
          <w:szCs w:val="17"/>
          <w:color w:val="auto"/>
        </w:rPr>
        <w:t>In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the growth of our Asset Manager Affiliates.</w:t>
      </w:r>
    </w:p>
    <w:p>
      <w:pPr>
        <w:spacing w:after="0" w:line="57"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Because we are internally managed by our executive officers under the supervision of our Board of Directors and do not depend on a third party investment advisor, we do not pay investment advisory fees, but instead incur the operating costs associated with employing investment and portfolio management professionals. We believe that our internally managed structure provides us with a beneficial operating expense structure when compared to other publicly-traded and privately-held investment firms which are externally managed, and our internally managed structure allows us the opportunity to leverage our non-interest operating expenses as we grow our investment portfolio. For the year ended December 31, 2013, the ratio of our total operating expenses, excluding interest expense, as a percentage of our quarterly average total assets was 1%, compared to 2% for the year ended December 31, 2012.</w:t>
      </w:r>
    </w:p>
    <w:p>
      <w:pPr>
        <w:spacing w:after="0" w:line="84" w:lineRule="exact"/>
        <w:rPr>
          <w:sz w:val="20"/>
          <w:szCs w:val="20"/>
          <w:color w:val="auto"/>
        </w:rPr>
      </w:pPr>
    </w:p>
    <w:p>
      <w:pPr>
        <w:jc w:val="both"/>
        <w:ind w:left="40" w:right="659" w:firstLine="270"/>
        <w:spacing w:after="0" w:line="264" w:lineRule="auto"/>
        <w:rPr>
          <w:sz w:val="20"/>
          <w:szCs w:val="20"/>
          <w:color w:val="auto"/>
        </w:rPr>
      </w:pPr>
      <w:r>
        <w:rPr>
          <w:rFonts w:ascii="Arial" w:cs="Arial" w:eastAsia="Arial" w:hAnsi="Arial"/>
          <w:sz w:val="18"/>
          <w:szCs w:val="18"/>
          <w:color w:val="auto"/>
        </w:rPr>
        <w:t>As a BDC, we are required to comply with regulatory requirements, including limitations on our use of debt. We are permitted to, and expect to continue to, finance our investments through borrowings. However, as a BDC, we are only generally allowed to borrow amounts such that our asset coverage, as defined in the</w:t>
      </w:r>
    </w:p>
    <w:p>
      <w:pPr>
        <w:spacing w:after="0" w:line="200" w:lineRule="exact"/>
        <w:rPr>
          <w:sz w:val="20"/>
          <w:szCs w:val="20"/>
          <w:color w:val="auto"/>
        </w:rPr>
      </w:pPr>
    </w:p>
    <w:p>
      <w:pPr>
        <w:spacing w:after="0" w:line="3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1940 Act, equals at least 200% after such borrowing. The 1940 Act also generally prohibits us from declaring any cash dividend or distribution on any class of our capital stock if our asset coverage is below 200% at the time of the declaration of the dividend or distribution.</w:t>
      </w:r>
    </w:p>
    <w:p>
      <w:pPr>
        <w:spacing w:after="0" w:line="73"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We intend to grow our portfolio of assets by raising additional capital, including through the prudent use of leverage available to us.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80" w:lineRule="exact"/>
        <w:rPr>
          <w:sz w:val="20"/>
          <w:szCs w:val="20"/>
          <w:color w:val="auto"/>
        </w:rPr>
      </w:pPr>
    </w:p>
    <w:p>
      <w:pPr>
        <w:ind w:left="40" w:right="1139" w:firstLine="270"/>
        <w:spacing w:after="0" w:line="277" w:lineRule="auto"/>
        <w:rPr>
          <w:sz w:val="20"/>
          <w:szCs w:val="20"/>
          <w:color w:val="auto"/>
        </w:rPr>
      </w:pPr>
      <w:r>
        <w:rPr>
          <w:rFonts w:ascii="Arial" w:cs="Arial" w:eastAsia="Arial" w:hAnsi="Arial"/>
          <w:sz w:val="18"/>
          <w:szCs w:val="18"/>
          <w:color w:val="auto"/>
        </w:rPr>
        <w:t>The investments in our Debt Securities Portfolio are all or predominantly below investment grade, and have speculative characteristics with respect to the issuer’s capacity to pay interest and repay principal.</w:t>
      </w:r>
    </w:p>
    <w:p>
      <w:pPr>
        <w:spacing w:after="0" w:line="62" w:lineRule="exact"/>
        <w:rPr>
          <w:sz w:val="20"/>
          <w:szCs w:val="20"/>
          <w:color w:val="auto"/>
        </w:rPr>
      </w:pPr>
    </w:p>
    <w:p>
      <w:pPr>
        <w:jc w:val="both"/>
        <w:ind w:left="40" w:right="579" w:firstLine="270"/>
        <w:spacing w:after="0" w:line="259" w:lineRule="auto"/>
        <w:rPr>
          <w:sz w:val="20"/>
          <w:szCs w:val="20"/>
          <w:color w:val="auto"/>
        </w:rPr>
      </w:pPr>
      <w:r>
        <w:rPr>
          <w:rFonts w:ascii="Arial" w:cs="Arial" w:eastAsia="Arial" w:hAnsi="Arial"/>
          <w:sz w:val="18"/>
          <w:szCs w:val="18"/>
          <w:color w:val="auto"/>
        </w:rPr>
        <w:t>We were formed in August 2006, as Kohlberg Capital Corporation. In December 2006, we completed our initial public offering (“IPO”), which raised net proceeds of approximately $200 million after the exercise of the underwriters’ over-allotment option. In connection with our IPO, we issued an additional 3,484,333 shares of our common stock in exchange for the ownership interests of Katonah Debt Advisors.</w:t>
      </w:r>
    </w:p>
    <w:p>
      <w:pPr>
        <w:spacing w:after="0" w:line="79"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April 2008, the Company completed a rights offering that resulted in the issuance of 3.1 million shares of our common stock, and net proceeds of $27 million.</w:t>
      </w:r>
    </w:p>
    <w:p>
      <w:pPr>
        <w:spacing w:after="0" w:line="62"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 with the acquisition of Trimaran Advisors, the Company acquired from Trimaran Advisors equity interests in certain CLO Funds managed by Trimaran Advisors for an aggregate purchase price of $12.0 million in cash. As of December 31, 2013, Katonah Debt Advisors and Trimaran Advisors are the Company’s only wholly-owned portfolio companies (collectively the “Asset Manager Affiliates”) and have approximately $3.2 billion of par value assets under management. The Asset Manager Affiliates are registered under the Investment Advisers Act of 1940 (the “Advisers Act”), and are managed independently from the Company by a separate portfolio management team.</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July 11, 2012, we changed our name from Kohlberg Capital Corporation to KCAP Financial, Inc.</w:t>
      </w:r>
    </w:p>
    <w:p>
      <w:pPr>
        <w:spacing w:after="0" w:line="117"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Including employees of our Asset Manager Affiliates, we employ an experienced team of 16 investment professionals and 30 total staff members. Dayl W. Pearson, our President and Chief Executive Officer, and one of our directors, has been in the financial services industry for over 37 years. During the past 21 years, Mr. Pearson has focused almost exclusively on the middle market and has originated, structured and underwritten over $7 billion of debt and equity securities. R. Jon Corless, our Chief Investment Officer with primary responsibility for the Middle Debt Securities Portfolio, has managed investment portfolios in excess of $4 billion at several institutions and has been responsible for managing portfolios of leveraged loans, high-yield bonds, mezzanine securities and middle market loans. Dominick J. Mazzitelli is the President and portfolio manager of the Asset Manager Affiliates. He has 20 years of experience within the credit markets, with most of his career focused on the leveraged finance markets. Edward U. Gilpin, our Chief Financial Officer, Secretary and Treasurer, has been in financial services for nearly 30 years, with significant experience in overseeing the financial operations and reporting for asset management businesses, including the fair value accounting of CLO securities owned by them.</w:t>
      </w:r>
    </w:p>
    <w:p>
      <w:pPr>
        <w:spacing w:after="0" w:line="75"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Under the investment company rules and regulations pursuant to Article 6 of Regulation S-X and the “Audit and Accounting Guide for Investment Companies” issued by the AICPA (the “AICPA Guide”), we are precluded from consolidating portfolio company investments, including those in which we have a controlling</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93" w:lineRule="auto"/>
        <w:rPr>
          <w:sz w:val="20"/>
          <w:szCs w:val="20"/>
          <w:color w:val="auto"/>
        </w:rPr>
      </w:pPr>
      <w:r>
        <w:rPr>
          <w:rFonts w:ascii="Arial" w:cs="Arial" w:eastAsia="Arial" w:hAnsi="Arial"/>
          <w:sz w:val="16"/>
          <w:szCs w:val="16"/>
          <w:color w:val="auto"/>
        </w:rPr>
        <w:t>interest, unless the portfolio company is another investment company. An exception to this general principle in the AICPA Guide occurs if we own a controlled operating company that provides all or substantially all of its services directly to us, or to an investment company of ours. None of the investments made by us qualify for this exception. Therefore, our portfolio investments, including our investments in the Asset Manager Affiliates, are carried on the balance sheet at fair value with any adjustments to fair value recognized as “Net Change in Unrealized Appreciation (Depreciation)” in our statement of operations until the investment is exited, at which point any gain or loss on exit is reclassified and recognized as a “Net Realized Gain (Loss) from Investments.”</w:t>
      </w:r>
    </w:p>
    <w:p>
      <w:pPr>
        <w:spacing w:after="0" w:line="57"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the Internal Revenue Code (the “Code”) and intend to operate in a manner to maintain our RIC tax treatment. Accordingly, we generally will not pay corporate-level U.S. federal income taxes on any net ordinary income or capital gains that we timely distribute to our shareholders as dividends. To maintain our RIC tax treatment, we must meet specified source-of-income and asset diversification requirements and distribute annually at least 90% of our net ordinary income and realized net short-term capital gains in excess of realized net long-term capital losses, if any, for each year.</w:t>
      </w:r>
    </w:p>
    <w:p>
      <w:pPr>
        <w:spacing w:after="0" w:line="70"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“KCAP.” The net asset value per share of our common stock at December 31, 2013 was $7.51. On December 31, 2013, the last reported sale price of a share of our common stock on The NASDAQ Global Select Market was $8.07. In addition, our 7.375% notes due 2019 (“7.375% Notes Due 2019”) are traded on the New York Stock Exchange under the symbol “KAP.”</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Corporate Information</w:t>
      </w:r>
    </w:p>
    <w:p>
      <w:pPr>
        <w:spacing w:after="0" w:line="152" w:lineRule="exact"/>
        <w:rPr>
          <w:sz w:val="20"/>
          <w:szCs w:val="20"/>
          <w:color w:val="auto"/>
        </w:rPr>
      </w:pPr>
    </w:p>
    <w:p>
      <w:pPr>
        <w:ind w:left="40" w:right="619" w:firstLine="270"/>
        <w:spacing w:after="0" w:line="252" w:lineRule="auto"/>
        <w:rPr>
          <w:sz w:val="20"/>
          <w:szCs w:val="20"/>
          <w:color w:val="auto"/>
        </w:rPr>
      </w:pPr>
      <w:r>
        <w:rPr>
          <w:rFonts w:ascii="Arial" w:cs="Arial" w:eastAsia="Arial" w:hAnsi="Arial"/>
          <w:sz w:val="17"/>
          <w:szCs w:val="17"/>
          <w:color w:val="auto"/>
        </w:rPr>
        <w:t>Our principal executive offices are located at 295 Madison Avenue,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and our telephone number is (212) 455-8300. We maintain a website on the Internet at </w:t>
      </w:r>
      <w:r>
        <w:rPr>
          <w:rFonts w:ascii="Arial" w:cs="Arial" w:eastAsia="Arial" w:hAnsi="Arial"/>
          <w:sz w:val="17"/>
          <w:szCs w:val="17"/>
          <w:i w:val="1"/>
          <w:iCs w:val="1"/>
          <w:color w:val="auto"/>
        </w:rPr>
        <w:t>http://www.kcapfinancial.com</w:t>
      </w:r>
      <w:r>
        <w:rPr>
          <w:rFonts w:ascii="Arial" w:cs="Arial" w:eastAsia="Arial" w:hAnsi="Arial"/>
          <w:sz w:val="17"/>
          <w:szCs w:val="17"/>
          <w:color w:val="auto"/>
        </w:rPr>
        <w:t>. The information contained in our website is not incorporated by reference into this Annual Report. We make available on or through our website certain reports and amendments to those reports that we file with or furnish to the SEC in accordance with the Securities Exchange Act of 1934 (the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40" w:right="1119" w:firstLine="270"/>
        <w:spacing w:after="0" w:line="277" w:lineRule="auto"/>
        <w:rPr>
          <w:sz w:val="20"/>
          <w:szCs w:val="20"/>
          <w:color w:val="auto"/>
        </w:rPr>
      </w:pPr>
      <w:r>
        <w:rPr>
          <w:rFonts w:ascii="Arial" w:cs="Arial" w:eastAsia="Arial" w:hAnsi="Arial"/>
          <w:sz w:val="18"/>
          <w:szCs w:val="18"/>
          <w:color w:val="auto"/>
        </w:rPr>
        <w:t>We believe that we can successfully compete with other providers of capital in the markets in which we compete for the following reasons:</w:t>
      </w:r>
    </w:p>
    <w:p>
      <w:pPr>
        <w:spacing w:after="0" w:line="62" w:lineRule="exact"/>
        <w:rPr>
          <w:sz w:val="20"/>
          <w:szCs w:val="20"/>
          <w:color w:val="auto"/>
        </w:rPr>
      </w:pPr>
    </w:p>
    <w:p>
      <w:pPr>
        <w:ind w:left="600" w:right="639" w:hanging="322"/>
        <w:spacing w:after="0" w:line="291"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Internally managed structure and significant management resources</w:t>
      </w:r>
      <w:r>
        <w:rPr>
          <w:rFonts w:ascii="Arial" w:cs="Arial" w:eastAsia="Arial" w:hAnsi="Arial"/>
          <w:sz w:val="16"/>
          <w:szCs w:val="16"/>
          <w:color w:val="auto"/>
        </w:rPr>
        <w:t>. We are internally managed by our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under the supervision of our Board of Directors and do not depend on a third party investment advisor. As a result, we do not pay investment advisory fees and all of our income is available to pay our operating costs, which include employing investment and portfolio management professionals, and to make distributions to our stockholders. We believe that our internally managed structure provides us with a beneficial operating expense structure when compared to other publicly traded and privately-held investment firms that are externally managed, and our internally managed structure allows us the opportunity to leverage our non-interest operating expenses as we grow our investment portfolio.</w:t>
      </w:r>
    </w:p>
    <w:p>
      <w:pPr>
        <w:spacing w:after="0" w:line="59" w:lineRule="exact"/>
        <w:rPr>
          <w:rFonts w:ascii="Arial" w:cs="Arial" w:eastAsia="Arial" w:hAnsi="Arial"/>
          <w:sz w:val="16"/>
          <w:szCs w:val="16"/>
          <w:color w:val="auto"/>
        </w:rPr>
      </w:pPr>
    </w:p>
    <w:p>
      <w:pPr>
        <w:ind w:left="600" w:right="61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Multiple sourcing capabilities for middle market investments</w:t>
      </w:r>
      <w:r>
        <w:rPr>
          <w:rFonts w:ascii="Arial" w:cs="Arial" w:eastAsia="Arial" w:hAnsi="Arial"/>
          <w:sz w:val="18"/>
          <w:szCs w:val="18"/>
          <w:color w:val="auto"/>
        </w:rPr>
        <w:t>. We have multiple sources of loans, mezzanine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equity investments through our industry relationships.</w:t>
      </w:r>
    </w:p>
    <w:p>
      <w:pPr>
        <w:spacing w:after="0" w:line="62" w:lineRule="exact"/>
        <w:rPr>
          <w:rFonts w:ascii="Arial" w:cs="Arial" w:eastAsia="Arial" w:hAnsi="Arial"/>
          <w:sz w:val="18"/>
          <w:szCs w:val="18"/>
          <w:color w:val="auto"/>
        </w:rPr>
      </w:pPr>
    </w:p>
    <w:p>
      <w:pPr>
        <w:ind w:left="600" w:right="1339" w:hanging="322"/>
        <w:spacing w:after="0" w:line="30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Disciplined investment process</w:t>
      </w:r>
      <w:r>
        <w:rPr>
          <w:rFonts w:ascii="Arial" w:cs="Arial" w:eastAsia="Arial" w:hAnsi="Arial"/>
          <w:sz w:val="17"/>
          <w:szCs w:val="17"/>
          <w:color w:val="auto"/>
        </w:rPr>
        <w:t>. We employ a rigorous credit review and due diligence process which our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has developed over an average of approximately 25 years of investing experience.</w:t>
      </w:r>
    </w:p>
    <w:p>
      <w:pPr>
        <w:spacing w:after="0" w:line="38" w:lineRule="exact"/>
        <w:rPr>
          <w:rFonts w:ascii="Arial" w:cs="Arial" w:eastAsia="Arial" w:hAnsi="Arial"/>
          <w:sz w:val="17"/>
          <w:szCs w:val="17"/>
          <w:color w:val="auto"/>
        </w:rPr>
      </w:pPr>
    </w:p>
    <w:p>
      <w:pPr>
        <w:ind w:left="600" w:right="55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Investments across a wide variety of industries</w:t>
      </w:r>
      <w:r>
        <w:rPr>
          <w:rFonts w:ascii="Arial" w:cs="Arial" w:eastAsia="Arial" w:hAnsi="Arial"/>
          <w:sz w:val="18"/>
          <w:szCs w:val="18"/>
          <w:color w:val="auto"/>
        </w:rPr>
        <w:t>. Our Debt Security Portfolio is spread across 25 different industries and 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entities with an average par balance per investment of approximately $3.6 million.</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99" w:hanging="322"/>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equity ownership and alignment of incentives</w:t>
      </w:r>
      <w:r>
        <w:rPr>
          <w:rFonts w:ascii="Arial" w:cs="Arial" w:eastAsia="Arial" w:hAnsi="Arial"/>
          <w:sz w:val="18"/>
          <w:szCs w:val="18"/>
          <w:color w:val="auto"/>
        </w:rPr>
        <w:t>. Our Directors and senior management team and the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of our Asset Manager Affiliates together have a significant equity interest in the Company, ensuring that their incentives are strongly aligned with those of our stockholders.</w:t>
      </w:r>
    </w:p>
    <w:p>
      <w:pPr>
        <w:spacing w:after="0" w:line="73" w:lineRule="exact"/>
        <w:rPr>
          <w:rFonts w:ascii="Arial" w:cs="Arial" w:eastAsia="Arial" w:hAnsi="Arial"/>
          <w:sz w:val="18"/>
          <w:szCs w:val="18"/>
          <w:color w:val="auto"/>
        </w:rPr>
      </w:pPr>
    </w:p>
    <w:p>
      <w:pPr>
        <w:jc w:val="both"/>
        <w:ind w:left="600" w:right="539" w:hanging="322"/>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100% ownership of Asset Manager Affiliates</w:t>
      </w:r>
      <w:r>
        <w:rPr>
          <w:rFonts w:ascii="Arial" w:cs="Arial" w:eastAsia="Arial" w:hAnsi="Arial"/>
          <w:sz w:val="18"/>
          <w:szCs w:val="18"/>
          <w:color w:val="auto"/>
        </w:rPr>
        <w:t>. Our CLO Fund investments and management of those securities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Manager Affiliates provide us with a competitive advantage by creating synergies with our investment operations and a source of recurring dividend cash flows.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Portfolios</w:t>
      </w:r>
    </w:p>
    <w:p>
      <w:pPr>
        <w:spacing w:after="0" w:line="121" w:lineRule="exact"/>
        <w:rPr>
          <w:sz w:val="20"/>
          <w:szCs w:val="20"/>
          <w:color w:val="auto"/>
        </w:rPr>
      </w:pPr>
    </w:p>
    <w:p>
      <w:pPr>
        <w:ind w:left="40" w:right="859" w:firstLine="270"/>
        <w:spacing w:after="0" w:line="312" w:lineRule="auto"/>
        <w:rPr>
          <w:sz w:val="20"/>
          <w:szCs w:val="20"/>
          <w:color w:val="auto"/>
        </w:rPr>
      </w:pPr>
      <w:r>
        <w:rPr>
          <w:rFonts w:ascii="Arial" w:cs="Arial" w:eastAsia="Arial" w:hAnsi="Arial"/>
          <w:sz w:val="16"/>
          <w:szCs w:val="16"/>
          <w:color w:val="auto"/>
        </w:rPr>
        <w:t>Our investment portfolio generates net investment income, which is generally used to pay principal and interest on our borrowings, operating expenses, and to fund our dividends. Our investment portfolio consists of three primary components: the Debt Securities Portfolio, the CLO Fund Securities and our investment in our wholly owned Asset Manager Affiliates.</w:t>
      </w:r>
    </w:p>
    <w:p>
      <w:pPr>
        <w:spacing w:after="0" w:line="39"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i w:val="1"/>
          <w:iCs w:val="1"/>
          <w:color w:val="auto"/>
        </w:rPr>
        <w:t>Debt Securities Portfolio</w:t>
      </w:r>
      <w:r>
        <w:rPr>
          <w:rFonts w:ascii="Arial" w:cs="Arial" w:eastAsia="Arial" w:hAnsi="Arial"/>
          <w:sz w:val="17"/>
          <w:szCs w:val="17"/>
          <w:color w:val="auto"/>
        </w:rPr>
        <w:t>. We target middle market companies that have strong historical cash flows, experienced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teams and identifiable and defendable market positions in industries with positive dynamics. We generally target companies that generate positive cash flows because we look to cash flows as the primary source for servicing debt.</w:t>
      </w:r>
    </w:p>
    <w:p>
      <w:pPr>
        <w:spacing w:after="0" w:line="57"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We employ a disciplined approach in the selection and monitoring of our investments. Generally, we target investments that will generate a current return through interest income to provide for stability in our net income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by following our internal credit policies and procedures.</w:t>
      </w:r>
    </w:p>
    <w:p>
      <w:pPr>
        <w:spacing w:after="0" w:line="70" w:lineRule="exact"/>
        <w:rPr>
          <w:sz w:val="20"/>
          <w:szCs w:val="20"/>
          <w:color w:val="auto"/>
        </w:rPr>
      </w:pPr>
    </w:p>
    <w:p>
      <w:pPr>
        <w:ind w:left="40" w:right="559" w:firstLine="270"/>
        <w:spacing w:after="0" w:line="287" w:lineRule="auto"/>
        <w:rPr>
          <w:sz w:val="20"/>
          <w:szCs w:val="20"/>
          <w:color w:val="auto"/>
        </w:rPr>
      </w:pPr>
      <w:r>
        <w:rPr>
          <w:rFonts w:ascii="Arial" w:cs="Arial" w:eastAsia="Arial" w:hAnsi="Arial"/>
          <w:sz w:val="16"/>
          <w:szCs w:val="16"/>
          <w:color w:val="auto"/>
        </w:rPr>
        <w:t>When we extend senior secured term loans, we will generally take a security interest in the available assets of the portfolio company, including the equity interests of their subsidiaries, which we expect to help mitigate the risk that we will not be repaid. Nonetheless, there is a possibility that our lien could be subordinated to claims of other creditors. Structurally, mezzanine debt ranks subordinate in priority of payment to senior term loans and is often unsecured. Relative to equity, mezzanine debt ranks senior to common and preferred equity in a borrower’s capital structure. Typically, mezzanine debt has elements of both debt and equity instruments, offering the fixed returns in the form of interest payments associated with a loan, while providing an opportunity to participate in the capital appreciation of a borrower, if any, through an equity interest that is typically in the form of equity purchased at the time the mezzanine loan is repaid or warrants to purchase equity at a future date at a fixed cost. Mezzanine debt generally earns a higher return than senior secured debt due to its higher risk profile and usually less restrictive covenants. The warrants associated with mezzanine debt are typically detachable, which allows lenders to receive repayment of their principal on an agreed amortization schedule while retaining their equity interest in the borrower. Mezzanine debt also may include a “put” feature, which permits the holder to sell its equity interest back to the borrower at a price determined through an agreed formula.</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Debt Securities Portfolio as of and for the year ended December 31, 2013:</w:t>
      </w:r>
    </w:p>
    <w:p>
      <w:pPr>
        <w:spacing w:after="0" w:line="117"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approximately 61% of total investment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credit instruments issued by corporate borrowers;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primarily senior secured and junior secured loans (63% and 18% of debt securities, respectively);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spread across 25 different industries and 75 different entities;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par balance per investment of approximately $3.6 million;</w:t>
      </w:r>
    </w:p>
    <w:p>
      <w:pPr>
        <w:spacing w:after="0" w:line="200" w:lineRule="exact"/>
        <w:rPr>
          <w:sz w:val="20"/>
          <w:szCs w:val="20"/>
          <w:color w:val="auto"/>
        </w:rPr>
      </w:pPr>
    </w:p>
    <w:p>
      <w:pPr>
        <w:spacing w:after="0" w:line="37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but four issuers (representing less than 1% of total investments at fair value) are current on their debt service obligations;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weighted average interest rate of 7.3% on income producing debt investments.</w:t>
      </w:r>
    </w:p>
    <w:p>
      <w:pPr>
        <w:spacing w:after="0" w:line="117"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Our investments generally average between $1 million to $20 million, although particular investments may be larger or smaller. The size of individual investments will vary according to their priority in a company’s capital structure, with larger investments in more secure positions in an effort to maximize capital preservation. We expect that the size of our investments and maturity dates may vary as follows:</w:t>
      </w:r>
    </w:p>
    <w:p>
      <w:pPr>
        <w:spacing w:after="0" w:line="79" w:lineRule="exact"/>
        <w:rPr>
          <w:sz w:val="20"/>
          <w:szCs w:val="20"/>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secured term loans from $2 to $20 million maturing in five to seven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lien term loans from $5 to $15 million maturing in six to eight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unsecured loans $5 to $23 million maturing in six to eight years;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mezzanine loans from $5 to $15 million maturing in seven to ten years;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 investments from $1 to $5 million.</w:t>
      </w:r>
    </w:p>
    <w:p>
      <w:pPr>
        <w:spacing w:after="0" w:line="117"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i w:val="1"/>
          <w:iCs w:val="1"/>
          <w:color w:val="auto"/>
        </w:rPr>
        <w:t>Asset Manager Affiliates</w:t>
      </w:r>
      <w:r>
        <w:rPr>
          <w:rFonts w:ascii="Arial" w:cs="Arial" w:eastAsia="Arial" w:hAnsi="Arial"/>
          <w:sz w:val="16"/>
          <w:szCs w:val="16"/>
          <w:color w:val="auto"/>
        </w:rPr>
        <w:t>. We expect to receive distributions of recurring dividends and seek to generate capital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our investment in our Asset Manager Affiliates. As a manager of the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CLO Funds. Our Asset Manager Affiliates generate annual pre-tax operating income equal to the amount by which their fee income exceeds their operating expenses.</w:t>
      </w:r>
    </w:p>
    <w:p>
      <w:pPr>
        <w:spacing w:after="0" w:line="57"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management fees earned by our Asset Manager Affiliates are not subject to market value fluctuations in the underlying collateral. The management fees our Asset Manager Affiliates receive generally have three components: a senior management fee and a subordinated management fee. Currently, all CLO Funds managed by Asset Manager Affiliates are paying both their senior and subordinated management fees on a current basis.</w:t>
      </w:r>
    </w:p>
    <w:p>
      <w:pPr>
        <w:spacing w:after="0" w:line="70"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Our Asset Manager Affiliates may receive incentive fees from CLO Funds they manage provided such CLO Funds have achieved a minimum investment return to holders of their subordinated securities or preferred shares. Subject to market conditions, we expect to continue to make investments in CLO 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 Currently, four CLO Funds have achieved the minimum investment return threshold and our Asset Manager Affiliates are receiving incentive fees from those CLO Funds.</w:t>
      </w:r>
    </w:p>
    <w:p>
      <w:pPr>
        <w:spacing w:after="0" w:line="59" w:lineRule="exact"/>
        <w:rPr>
          <w:sz w:val="20"/>
          <w:szCs w:val="20"/>
          <w:color w:val="auto"/>
        </w:rPr>
      </w:pPr>
    </w:p>
    <w:p>
      <w:pPr>
        <w:ind w:left="40" w:right="559" w:firstLine="270"/>
        <w:spacing w:after="0" w:line="279" w:lineRule="auto"/>
        <w:rPr>
          <w:sz w:val="20"/>
          <w:szCs w:val="20"/>
          <w:color w:val="auto"/>
        </w:rPr>
      </w:pPr>
      <w:r>
        <w:rPr>
          <w:rFonts w:ascii="Arial" w:cs="Arial" w:eastAsia="Arial" w:hAnsi="Arial"/>
          <w:sz w:val="17"/>
          <w:szCs w:val="17"/>
          <w:color w:val="auto"/>
        </w:rPr>
        <w:t>The after-tax net income that our Asset Manager Affiliates generate through the fees they receive for managing CLO Funds and after paying their expenses pursuant to an overhead allocation agreement with the Company associated with their operations, including compensation of their employees, may be distributed to us. Cash distributions of our Asset Manager Affiliates’ net income are recorded as “Dividends From Asset Manager Affiliates” in our financial statements when declared.</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Asset Manager Affiliates, as of and for the year ended December 31, 2013:</w:t>
      </w:r>
    </w:p>
    <w:p>
      <w:pPr>
        <w:spacing w:after="0" w:line="117"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 approximately 17% of total investment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approximately $3.2 billion of assets under management;</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contractual and recurring asset management fees based on par value of managed investments;</w:t>
      </w:r>
    </w:p>
    <w:p>
      <w:pPr>
        <w:spacing w:after="0" w:line="117" w:lineRule="exact"/>
        <w:rPr>
          <w:rFonts w:ascii="Arial" w:cs="Arial" w:eastAsia="Arial" w:hAnsi="Arial"/>
          <w:sz w:val="18"/>
          <w:szCs w:val="18"/>
          <w:color w:val="auto"/>
        </w:rPr>
      </w:pPr>
    </w:p>
    <w:p>
      <w:pPr>
        <w:ind w:left="600" w:right="639" w:hanging="322"/>
        <w:spacing w:after="0" w:line="342"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may receive an incentive management fee from a CLO Fund, provided that the CLO Fund achieves a minimum designated return on investment. Currently, four such funds are paying such incentive fees to our Asset Manager Affiliates.</w:t>
      </w:r>
    </w:p>
    <w:p>
      <w:pPr>
        <w:spacing w:after="0" w:line="15" w:lineRule="exact"/>
        <w:rPr>
          <w:rFonts w:ascii="Arial" w:cs="Arial" w:eastAsia="Arial" w:hAnsi="Arial"/>
          <w:sz w:val="16"/>
          <w:szCs w:val="16"/>
          <w:color w:val="auto"/>
        </w:rPr>
      </w:pPr>
    </w:p>
    <w:p>
      <w:pPr>
        <w:ind w:left="600" w:right="819" w:hanging="322"/>
        <w:spacing w:after="0" w:line="342"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dividends paid by our Asset Manager Affiliates are recognized as dividend income from affiliate asset manager on our statement of operations and are an additional source of income to pay our dividend and service our debt obligations; and</w:t>
      </w:r>
    </w:p>
    <w:p>
      <w:pPr>
        <w:spacing w:after="0" w:line="15" w:lineRule="exact"/>
        <w:rPr>
          <w:rFonts w:ascii="Arial" w:cs="Arial" w:eastAsia="Arial" w:hAnsi="Arial"/>
          <w:sz w:val="16"/>
          <w:szCs w:val="16"/>
          <w:color w:val="auto"/>
        </w:rPr>
      </w:pPr>
    </w:p>
    <w:p>
      <w:pPr>
        <w:ind w:left="600" w:hanging="322"/>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year ended December 31, 2013, we recognized $12.8 million in dividends from our Asset Manager Affiliates.</w:t>
      </w:r>
    </w:p>
    <w:p>
      <w:pPr>
        <w:spacing w:after="0" w:line="129"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i w:val="1"/>
          <w:iCs w:val="1"/>
          <w:color w:val="auto"/>
        </w:rPr>
        <w:t>CLO Fund Securities</w:t>
      </w:r>
      <w:r>
        <w:rPr>
          <w:rFonts w:ascii="Arial" w:cs="Arial" w:eastAsia="Arial" w:hAnsi="Arial"/>
          <w:sz w:val="17"/>
          <w:szCs w:val="17"/>
          <w:color w:val="auto"/>
        </w:rPr>
        <w:t>. Subject to market conditions, we expect to continue to make investments in the CLO Funds managed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summary attributes for our CLO Fund Securities, as of December 31, 2013, unless otherwise specified:</w:t>
      </w:r>
    </w:p>
    <w:p>
      <w:pPr>
        <w:spacing w:after="0" w:line="117"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 Fund Securities represent approximately 18% of total investment portfolio at December 31, 2013;</w:t>
      </w:r>
    </w:p>
    <w:p>
      <w:pPr>
        <w:spacing w:after="0" w:line="117" w:lineRule="exact"/>
        <w:rPr>
          <w:rFonts w:ascii="Arial" w:cs="Arial" w:eastAsia="Arial" w:hAnsi="Arial"/>
          <w:sz w:val="18"/>
          <w:szCs w:val="18"/>
          <w:color w:val="auto"/>
        </w:rPr>
      </w:pPr>
    </w:p>
    <w:p>
      <w:pPr>
        <w:ind w:left="600" w:right="559" w:hanging="32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82% of CLO Fund Securities represent investments in subordinated securities or equity securities issued by CLO Funds and 18% of CLO Fund Securities are rated notes;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CLO Funds invest primarily in credit instruments issued by corporate borrowers;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generated $21 million of distributions to us during the year ended December 31, 2013;</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Fifteen different CLO Fund Securities; eleven of which are managed by our Asset Manager Affiliates; and</w:t>
      </w:r>
    </w:p>
    <w:p>
      <w:pPr>
        <w:spacing w:after="0" w:line="117"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color w:val="auto"/>
        </w:rPr>
        <w:t>two CLO Fund Securities, not managed by the Asset Manager Affiliates, representing a fair value of $326,000, are not currently providing a dividend payment to us.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Structure and Process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Structure</w:t>
      </w:r>
    </w:p>
    <w:p>
      <w:pPr>
        <w:spacing w:after="0" w:line="117"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We are an internally managed BDC with 30 full-time employees (inclusive of employees of our Asset Manager Affiliates). The following are our key functional teams that execute our business strategy:</w:t>
      </w:r>
    </w:p>
    <w:p>
      <w:pPr>
        <w:spacing w:after="0" w:line="62" w:lineRule="exact"/>
        <w:rPr>
          <w:sz w:val="20"/>
          <w:szCs w:val="20"/>
          <w:color w:val="auto"/>
        </w:rPr>
      </w:pPr>
    </w:p>
    <w:p>
      <w:pPr>
        <w:ind w:left="600" w:right="659" w:hanging="322"/>
        <w:spacing w:after="0" w:line="342" w:lineRule="auto"/>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BDC investment team consists of 8 professionals who originate, structure, and invest in senior secured term loans, mezzanine debt and selected equity securities primarily in privately-held middle market companies as well as CLO Funds.</w:t>
      </w:r>
    </w:p>
    <w:p>
      <w:pPr>
        <w:spacing w:after="0" w:line="15" w:lineRule="exact"/>
        <w:rPr>
          <w:rFonts w:ascii="Arial" w:cs="Arial" w:eastAsia="Arial" w:hAnsi="Arial"/>
          <w:sz w:val="16"/>
          <w:szCs w:val="16"/>
          <w:color w:val="auto"/>
        </w:rPr>
      </w:pPr>
    </w:p>
    <w:p>
      <w:pPr>
        <w:ind w:left="600" w:right="67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Asset Manager Affiliates team consists of 8 professionals who structure, purchase and manage portfolios of primarily broadly syndicated corporate senior debt in the form of CLOs.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remainder of the employees include senior management, operations, financial accounting, legal, compliance and human resources.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Process</w:t>
      </w:r>
    </w:p>
    <w:p>
      <w:pPr>
        <w:spacing w:after="0" w:line="117" w:lineRule="exact"/>
        <w:rPr>
          <w:sz w:val="20"/>
          <w:szCs w:val="20"/>
          <w:color w:val="auto"/>
        </w:rPr>
      </w:pPr>
    </w:p>
    <w:p>
      <w:pPr>
        <w:ind w:left="40" w:right="719" w:firstLine="270"/>
        <w:spacing w:after="0" w:line="257" w:lineRule="auto"/>
        <w:rPr>
          <w:sz w:val="20"/>
          <w:szCs w:val="20"/>
          <w:color w:val="auto"/>
        </w:rPr>
      </w:pPr>
      <w:r>
        <w:rPr>
          <w:rFonts w:ascii="Arial" w:cs="Arial" w:eastAsia="Arial" w:hAnsi="Arial"/>
          <w:sz w:val="18"/>
          <w:szCs w:val="18"/>
          <w:color w:val="auto"/>
        </w:rPr>
        <w:t>KCAP will review potential investment opportunities and will conduct a due diligence that will typically include a review of historical and prospective financial information, participation in a presentation conducted by the prospective portfolio company’s management and/or the transaction sponsor, a review of the prospective portfolio company’s product or service, an analysis and understanding of the drivers of the particular industry in which the prospective portfolio company operates, and an assessment of the debt service</w:t>
      </w:r>
    </w:p>
    <w:p>
      <w:pPr>
        <w:spacing w:after="0" w:line="200" w:lineRule="exact"/>
        <w:rPr>
          <w:sz w:val="20"/>
          <w:szCs w:val="20"/>
          <w:color w:val="auto"/>
        </w:rPr>
      </w:pPr>
    </w:p>
    <w:p>
      <w:pPr>
        <w:spacing w:after="0" w:line="32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59"/>
        <w:spacing w:after="0" w:line="308" w:lineRule="auto"/>
        <w:rPr>
          <w:sz w:val="20"/>
          <w:szCs w:val="20"/>
          <w:color w:val="auto"/>
        </w:rPr>
      </w:pPr>
      <w:r>
        <w:rPr>
          <w:rFonts w:ascii="Arial" w:cs="Arial" w:eastAsia="Arial" w:hAnsi="Arial"/>
          <w:sz w:val="17"/>
          <w:szCs w:val="17"/>
          <w:color w:val="auto"/>
        </w:rPr>
        <w:t>capabilities of the prospective portfolio company under a variety of assumed forecast scenarios. Where appropriate, this will be conducted in conjunction with the relevant industry analysts from the Asset Manager Affiliates.</w:t>
      </w:r>
    </w:p>
    <w:p>
      <w:pPr>
        <w:spacing w:after="0" w:line="38" w:lineRule="exact"/>
        <w:rPr>
          <w:sz w:val="20"/>
          <w:szCs w:val="20"/>
          <w:color w:val="auto"/>
        </w:rPr>
      </w:pPr>
    </w:p>
    <w:p>
      <w:pPr>
        <w:ind w:left="40" w:right="879" w:firstLine="270"/>
        <w:spacing w:after="0" w:line="312" w:lineRule="auto"/>
        <w:rPr>
          <w:sz w:val="20"/>
          <w:szCs w:val="20"/>
          <w:color w:val="auto"/>
        </w:rPr>
      </w:pPr>
      <w:r>
        <w:rPr>
          <w:rFonts w:ascii="Arial" w:cs="Arial" w:eastAsia="Arial" w:hAnsi="Arial"/>
          <w:sz w:val="16"/>
          <w:szCs w:val="16"/>
          <w:color w:val="auto"/>
        </w:rPr>
        <w:t>Due to our ability to source transactions through multiple channels, we expect to continue to maintain a pipeline of opportunities to allow comparative risk return analysis and selectivity. By focusing on the drivers of revenue and cash flow, we develop our own underwriting cases, and multiple stress and event specific case scenarios for each company analyzed.</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focus on lending and investing opportunities in:</w:t>
      </w:r>
    </w:p>
    <w:p>
      <w:pPr>
        <w:spacing w:after="0" w:line="117"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companies with EBITDA of $10 to $50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companies with financing needs of $25 to $150 million;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companies purchased by top tier private equity sponsors;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non-sponsored companies with successful management and systems;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high-yield bonds and broadly syndicated loans to larger companies on a selective basis; and</w:t>
      </w:r>
    </w:p>
    <w:p>
      <w:pPr>
        <w:spacing w:after="0" w:line="117" w:lineRule="exact"/>
        <w:rPr>
          <w:rFonts w:ascii="Arial" w:cs="Arial" w:eastAsia="Arial" w:hAnsi="Arial"/>
          <w:sz w:val="18"/>
          <w:szCs w:val="18"/>
          <w:color w:val="auto"/>
        </w:rPr>
      </w:pPr>
    </w:p>
    <w:p>
      <w:pPr>
        <w:ind w:left="320" w:right="2499" w:hanging="42"/>
        <w:spacing w:after="0" w:line="375" w:lineRule="auto"/>
        <w:tabs>
          <w:tab w:leader="none" w:pos="6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co-investment in companies where we see substantial opportunity for capital appreciation. We expect to continue to source investment opportunities from:</w:t>
      </w:r>
    </w:p>
    <w:p>
      <w:pPr>
        <w:spacing w:after="0" w:line="1"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private equity sponsors;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investment banks for non-sponsored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middle market lenders with whom we can participate in loans;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Asset Manager Affiliates, with regard to high-yield bonds and syndicated loans.</w:t>
      </w:r>
    </w:p>
    <w:p>
      <w:pPr>
        <w:spacing w:after="0" w:line="117"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In our experience, good credit judgment is based on a thorough understanding of both the qualitative and quantitative factors that determine a company’s performance. Our analysis begins with an understanding of the fundamentals of the industry in which a company operates, including the current economic environment and the outlook for the industry. We also focus on the company’s relative position within the industry and its historical ability to weather economic cycles. Other key qualitative factors include the experience and depth of the management team and the financial sponsor, if any.</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Only after we have a comprehensive understanding of the qualitative factors do we focus on quantitative metrics. We believe that with the context provided by the qualitative analysis, we can gain a better understanding of a company’s financial performance. We analyze a potential portfolio company’s sales growth and margins in the context of its competition as well as its ability to manage its working capital requirements and its ability to generate consistent cash flow. Based upon this historical analysis, we develop a set of projections which represents a reasonable underwriting case of most likely outcomes for the company over the period of our investment. We also look at potential downside cases to determine a company’s ability to service its debt in a stressed credit environment.</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qualitative analysis</w:t>
      </w:r>
      <w:r>
        <w:rPr>
          <w:rFonts w:ascii="Arial" w:cs="Arial" w:eastAsia="Arial" w:hAnsi="Arial"/>
          <w:sz w:val="18"/>
          <w:szCs w:val="18"/>
          <w:color w:val="auto"/>
        </w:rPr>
        <w:t xml:space="preserve"> we use in evaluating investment opportunities include the following:</w:t>
      </w:r>
    </w:p>
    <w:p>
      <w:pPr>
        <w:spacing w:after="0" w:line="117" w:lineRule="exact"/>
        <w:rPr>
          <w:sz w:val="20"/>
          <w:szCs w:val="20"/>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industry fundamentals;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position and market share;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past ability to work through historical down-cycles;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of financial and technology infrastructure;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sourcing risks and opportunities;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and union strategy;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diversity of customer base and product lines;</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of financial sponsor (if applicable);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 and integration history.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Elements of the </w:t>
      </w:r>
      <w:r>
        <w:rPr>
          <w:rFonts w:ascii="Arial" w:cs="Arial" w:eastAsia="Arial" w:hAnsi="Arial"/>
          <w:sz w:val="18"/>
          <w:szCs w:val="18"/>
          <w:i w:val="1"/>
          <w:iCs w:val="1"/>
          <w:color w:val="auto"/>
        </w:rPr>
        <w:t>quantitative analysis</w:t>
      </w:r>
      <w:r>
        <w:rPr>
          <w:rFonts w:ascii="Arial" w:cs="Arial" w:eastAsia="Arial" w:hAnsi="Arial"/>
          <w:sz w:val="18"/>
          <w:szCs w:val="18"/>
          <w:color w:val="auto"/>
        </w:rPr>
        <w:t xml:space="preserve"> we use in evaluating investment opportunities include the following:</w:t>
      </w:r>
    </w:p>
    <w:p>
      <w:pPr>
        <w:spacing w:after="0" w:line="117" w:lineRule="exact"/>
        <w:rPr>
          <w:sz w:val="20"/>
          <w:szCs w:val="20"/>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statement analysis of growth and margin trends;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flow analysis of capital expenditures and free cash flow;</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ratio and market share standing among comparable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projections: underwriting versus stress case;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 specific credit modeling;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 profile trend;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capital expenditure needs and asset sale plans;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downside protection to limit losses in an event of default;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adjusted returns and relative value analysis;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enterprise and asset valuations.</w:t>
      </w:r>
    </w:p>
    <w:p>
      <w:pPr>
        <w:spacing w:after="0" w:line="117" w:lineRule="exact"/>
        <w:rPr>
          <w:sz w:val="20"/>
          <w:szCs w:val="20"/>
          <w:color w:val="auto"/>
        </w:rPr>
      </w:pPr>
    </w:p>
    <w:p>
      <w:pPr>
        <w:ind w:left="40" w:right="819" w:firstLine="270"/>
        <w:spacing w:after="0" w:line="277" w:lineRule="auto"/>
        <w:rPr>
          <w:sz w:val="20"/>
          <w:szCs w:val="20"/>
          <w:color w:val="auto"/>
        </w:rPr>
      </w:pPr>
      <w:r>
        <w:rPr>
          <w:rFonts w:ascii="Arial" w:cs="Arial" w:eastAsia="Arial" w:hAnsi="Arial"/>
          <w:sz w:val="18"/>
          <w:szCs w:val="18"/>
          <w:color w:val="auto"/>
        </w:rPr>
        <w:t>The origination, structuring and credit approval processes are fully integrated. Our credit team is directly involved in all due diligence and analysis prior to the formal credit approval process by the Investment Committee.</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Committee</w:t>
      </w:r>
    </w:p>
    <w:p>
      <w:pPr>
        <w:spacing w:after="0" w:line="117" w:lineRule="exact"/>
        <w:rPr>
          <w:sz w:val="20"/>
          <w:szCs w:val="20"/>
          <w:color w:val="auto"/>
        </w:rPr>
      </w:pPr>
    </w:p>
    <w:p>
      <w:pPr>
        <w:ind w:left="40" w:right="699" w:firstLine="270"/>
        <w:spacing w:after="0" w:line="264" w:lineRule="auto"/>
        <w:rPr>
          <w:sz w:val="20"/>
          <w:szCs w:val="20"/>
          <w:color w:val="auto"/>
        </w:rPr>
      </w:pPr>
      <w:r>
        <w:rPr>
          <w:rFonts w:ascii="Arial" w:cs="Arial" w:eastAsia="Arial" w:hAnsi="Arial"/>
          <w:sz w:val="18"/>
          <w:szCs w:val="18"/>
          <w:color w:val="auto"/>
        </w:rPr>
        <w:t>The Investment Committee consists of the Chairman of the Board of Directors, the Chief Executive Officer, Chief Investment Officer, and two additional members of the Board of Directors. The Investment Committee serves to provide investment consistency and adherence to our core investment philosophy and policies.</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Upon completion of the due diligence investigation, the underwriting team of investment professionals/analysts will prepare a credit underwriting memorandum that will summarize the contemplated transaction, present the investment highlights, analyze the risk in the transaction and mitigating factors to those risks, analyze the prospective portfolio’s historical financial statements, financial projections, industry and management team, and will then present this memorandum with its recommendations to the Investment Committee for review and approval.</w:t>
      </w:r>
    </w:p>
    <w:p>
      <w:pPr>
        <w:spacing w:after="0" w:line="80" w:lineRule="exact"/>
        <w:rPr>
          <w:sz w:val="20"/>
          <w:szCs w:val="20"/>
          <w:color w:val="auto"/>
        </w:rPr>
      </w:pPr>
    </w:p>
    <w:p>
      <w:pPr>
        <w:ind w:left="40" w:right="759" w:firstLine="270"/>
        <w:spacing w:after="0" w:line="308" w:lineRule="auto"/>
        <w:rPr>
          <w:sz w:val="20"/>
          <w:szCs w:val="20"/>
          <w:color w:val="auto"/>
        </w:rPr>
      </w:pPr>
      <w:r>
        <w:rPr>
          <w:rFonts w:ascii="Arial" w:cs="Arial" w:eastAsia="Arial" w:hAnsi="Arial"/>
          <w:sz w:val="17"/>
          <w:szCs w:val="17"/>
          <w:color w:val="auto"/>
        </w:rPr>
        <w:t>The approval of a majority of the Investment Committee will be required for all investments of less than $15 million, and the unanimous approval of the Investment Committee will be required for investments of $15 million or greater.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Monitoring</w:t>
      </w:r>
    </w:p>
    <w:p>
      <w:pPr>
        <w:spacing w:after="0" w:line="121" w:lineRule="exact"/>
        <w:rPr>
          <w:sz w:val="20"/>
          <w:szCs w:val="20"/>
          <w:color w:val="auto"/>
        </w:rPr>
      </w:pPr>
    </w:p>
    <w:p>
      <w:pPr>
        <w:ind w:left="40" w:right="599" w:firstLine="270"/>
        <w:spacing w:after="0" w:line="297" w:lineRule="auto"/>
        <w:rPr>
          <w:sz w:val="20"/>
          <w:szCs w:val="20"/>
          <w:color w:val="auto"/>
        </w:rPr>
      </w:pPr>
      <w:r>
        <w:rPr>
          <w:rFonts w:ascii="Arial" w:cs="Arial" w:eastAsia="Arial" w:hAnsi="Arial"/>
          <w:sz w:val="16"/>
          <w:szCs w:val="16"/>
          <w:color w:val="auto"/>
        </w:rPr>
        <w:t>Our management team has significant experience monitoring credit portfolios. Along with origination and credit analysis, portfolio management is one of the key elements of our business. Most of our investments will not be liquid and, therefore, we must prepare to act quickly if potential issues arise so that we can work closely with management and the private equity sponsor, if applicable, of the portfolio company to take any necessary remedial action quickly. In addition, most of our senior management team, including the credit team at the Asset Manager Affiliates, has substantial workout and restructuring experience.</w:t>
      </w:r>
    </w:p>
    <w:p>
      <w:pPr>
        <w:spacing w:after="0" w:line="50"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In order to assist us in detecting issues with our Debt Securities Portfolio companies as early as possible, we perform financial analysis at least quarterly of each portfolio company. This analysis typically includes:</w:t>
      </w:r>
    </w:p>
    <w:p>
      <w:pPr>
        <w:spacing w:after="0" w:line="62"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summary of the portfolio company’s current total credit exposure as well as the KCAP portion of this exposure.</w:t>
      </w:r>
    </w:p>
    <w:p>
      <w:pPr>
        <w:spacing w:after="0" w:line="128" w:lineRule="exact"/>
        <w:rPr>
          <w:rFonts w:ascii="Arial" w:cs="Arial" w:eastAsia="Arial" w:hAnsi="Arial"/>
          <w:sz w:val="17"/>
          <w:szCs w:val="17"/>
          <w:color w:val="auto"/>
        </w:rPr>
      </w:pPr>
    </w:p>
    <w:p>
      <w:pPr>
        <w:ind w:left="600" w:right="619" w:hanging="322"/>
        <w:spacing w:after="0" w:line="264"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summary and update of the portfolio company’s financial condition and performance, including but not limited to, performance versus plan, deterioration/improvement in market position, or industry fundamentals, management changes or additions, and ongoing business strategy.</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20" w:hanging="32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Reaffirmation of, or proposal to change, the risk rating of the underlying investment.</w:t>
      </w:r>
    </w:p>
    <w:p>
      <w:pPr>
        <w:spacing w:after="0" w:line="117" w:lineRule="exact"/>
        <w:rPr>
          <w:rFonts w:ascii="Arial" w:cs="Arial" w:eastAsia="Arial" w:hAnsi="Arial"/>
          <w:sz w:val="18"/>
          <w:szCs w:val="18"/>
          <w:color w:val="auto"/>
        </w:rPr>
      </w:pPr>
    </w:p>
    <w:p>
      <w:pPr>
        <w:ind w:left="620" w:right="579" w:hanging="322"/>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summary of the portfolio company’s financial covenant results vis a vis financial covenant levels established in the credit agreement.</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Watch list credits will be followed closely and discussed periodically with the Chief Investment Officer, as appropriate.</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DETERMINATION OF NET ASSET VALUE</w:t>
      </w:r>
    </w:p>
    <w:p>
      <w:pPr>
        <w:spacing w:after="0" w:line="121"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We determine the net asset value per share of our common stock quarterly. The net asset value per share is equal to the value of our total assets minus liabilities and any preferred stock outstanding divided by the total number of shares of common stock outstanding.</w:t>
      </w:r>
    </w:p>
    <w:p>
      <w:pPr>
        <w:spacing w:after="0" w:line="73" w:lineRule="exact"/>
        <w:rPr>
          <w:sz w:val="20"/>
          <w:szCs w:val="20"/>
          <w:color w:val="auto"/>
        </w:rPr>
      </w:pPr>
    </w:p>
    <w:p>
      <w:pPr>
        <w:ind w:left="60" w:right="599" w:firstLine="270"/>
        <w:spacing w:after="0" w:line="295" w:lineRule="auto"/>
        <w:rPr>
          <w:sz w:val="20"/>
          <w:szCs w:val="20"/>
          <w:color w:val="auto"/>
        </w:rPr>
      </w:pPr>
      <w:r>
        <w:rPr>
          <w:rFonts w:ascii="Arial" w:cs="Arial" w:eastAsia="Arial" w:hAnsi="Arial"/>
          <w:sz w:val="16"/>
          <w:szCs w:val="16"/>
          <w:color w:val="auto"/>
        </w:rPr>
        <w:t>Our net asset value per share was $7.51 and $7.85 as of December 31, 2013 and December 31, 2012, respectively. Since we report our assets at fair value for each reporting period, net asset value also represents the amount of stockholders’ equity per share for the reporting period. Our net asset value is comprised mostly of investment assets less debt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3460" w:type="dxa"/>
            <w:vAlign w:val="bottom"/>
            <w:gridSpan w:val="3"/>
            <w:vMerge w:val="restart"/>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0"/>
              <w:spacing w:after="0" w:line="197" w:lineRule="exact"/>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20"/>
              <w:spacing w:after="0" w:line="197" w:lineRule="exact"/>
              <w:rPr>
                <w:sz w:val="20"/>
                <w:szCs w:val="20"/>
                <w:color w:val="auto"/>
              </w:rPr>
            </w:pPr>
            <w:r>
              <w:rPr>
                <w:rFonts w:ascii="Arial" w:cs="Arial" w:eastAsia="Arial" w:hAnsi="Arial"/>
                <w:sz w:val="14"/>
                <w:szCs w:val="14"/>
                <w:b w:val="1"/>
                <w:bCs w:val="1"/>
                <w:color w:val="auto"/>
                <w:w w:val="92"/>
              </w:rPr>
              <w:t>per Share</w:t>
            </w:r>
            <w:r>
              <w:rPr>
                <w:rFonts w:ascii="Arial" w:cs="Arial" w:eastAsia="Arial" w:hAnsi="Arial"/>
                <w:sz w:val="22"/>
                <w:szCs w:val="22"/>
                <w:b w:val="1"/>
                <w:bCs w:val="1"/>
                <w:color w:val="auto"/>
                <w:w w:val="92"/>
                <w:vertAlign w:val="superscript"/>
              </w:rPr>
              <w:t>(1)</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4"/>
                <w:szCs w:val="14"/>
                <w:b w:val="1"/>
                <w:bCs w:val="1"/>
                <w:color w:val="auto"/>
                <w:w w:val="94"/>
              </w:rPr>
              <w:t>Fair Value</w:t>
            </w:r>
            <w:r>
              <w:rPr>
                <w:rFonts w:ascii="Arial" w:cs="Arial" w:eastAsia="Arial" w:hAnsi="Arial"/>
                <w:sz w:val="22"/>
                <w:szCs w:val="22"/>
                <w:b w:val="1"/>
                <w:bCs w:val="1"/>
                <w:color w:val="auto"/>
                <w:w w:val="94"/>
                <w:vertAlign w:val="superscript"/>
              </w:rPr>
              <w:t>(1)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4"/>
                <w:szCs w:val="14"/>
                <w:b w:val="1"/>
                <w:bCs w:val="1"/>
                <w:color w:val="auto"/>
              </w:rPr>
              <w:t>per Share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10"/>
        </w:trPr>
        <w:tc>
          <w:tcPr>
            <w:tcW w:w="34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4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Investments in time deposits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360" w:type="dxa"/>
            <w:vAlign w:val="bottom"/>
            <w:tcBorders>
              <w:lef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40" w:type="dxa"/>
            <w:vAlign w:val="bottom"/>
            <w:gridSpan w:val="2"/>
          </w:tcPr>
          <w:p>
            <w:pPr>
              <w:ind w:left="180"/>
              <w:spacing w:after="0" w:line="256" w:lineRule="exact"/>
              <w:rPr>
                <w:sz w:val="20"/>
                <w:szCs w:val="20"/>
                <w:color w:val="auto"/>
              </w:rPr>
            </w:pPr>
            <w:r>
              <w:rPr>
                <w:rFonts w:ascii="Arial" w:cs="Arial" w:eastAsia="Arial" w:hAnsi="Arial"/>
                <w:sz w:val="18"/>
                <w:szCs w:val="18"/>
                <w:color w:val="auto"/>
                <w:w w:val="96"/>
              </w:rPr>
              <w:t>Investments in money market accounts</w:t>
            </w:r>
            <w:r>
              <w:rPr>
                <w:rFonts w:ascii="Arial" w:cs="Arial" w:eastAsia="Arial" w:hAnsi="Arial"/>
                <w:sz w:val="29"/>
                <w:szCs w:val="29"/>
                <w:color w:val="auto"/>
                <w:w w:val="96"/>
                <w:vertAlign w:val="superscript"/>
              </w:rPr>
              <w:t>(2)</w:t>
            </w: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7,112,949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30,543,824</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4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Investments in debt securities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266,830,427</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111,037,882</w:t>
            </w:r>
          </w:p>
        </w:tc>
        <w:tc>
          <w:tcPr>
            <w:tcW w:w="2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Investments in CLO Fund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79,452,220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83,257,507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34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Investments in equity securities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11,006,398</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8,020,716</w:t>
            </w:r>
          </w:p>
        </w:tc>
        <w:tc>
          <w:tcPr>
            <w:tcW w:w="2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Investments in Asset Manager Affiliates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76,148,000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77,242,000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3,433,675</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0.10</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738,756</w:t>
            </w:r>
          </w:p>
        </w:tc>
        <w:tc>
          <w:tcPr>
            <w:tcW w:w="2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4,078,939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All other assets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11,109,780</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0.33</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6,476,954</w:t>
            </w:r>
          </w:p>
        </w:tc>
        <w:tc>
          <w:tcPr>
            <w:tcW w:w="2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9"/>
              </w:rPr>
              <w:t>459,172,388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319,260,473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49,008,000</w:t>
            </w:r>
          </w:p>
        </w:tc>
        <w:tc>
          <w:tcPr>
            <w:tcW w:w="34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60,000,000</w:t>
            </w:r>
          </w:p>
        </w:tc>
        <w:tc>
          <w:tcPr>
            <w:tcW w:w="360" w:type="dxa"/>
            <w:vAlign w:val="bottom"/>
            <w:tcBorders>
              <w:lef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7.375% Notes Due 2019</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41,400,000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41,400,000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Payable for open trades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3,980,000</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Notes payable – KCAP Senior Funding I,</w:t>
            </w: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89"/>
              </w:rPr>
              <w:t>102,184,373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3.07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LLC (net of discount)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12,230,322</w:t>
            </w:r>
          </w:p>
        </w:tc>
        <w:tc>
          <w:tcPr>
            <w:tcW w:w="220" w:type="dxa"/>
            <w:vAlign w:val="bottom"/>
            <w:tcBorders>
              <w:lef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9,984,814</w:t>
            </w:r>
          </w:p>
        </w:tc>
        <w:tc>
          <w:tcPr>
            <w:tcW w:w="200" w:type="dxa"/>
            <w:vAlign w:val="bottom"/>
            <w:tcBorders>
              <w:lef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4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208,802,695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111,384,814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ASSET VALUE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250,369,693</w:t>
            </w:r>
          </w:p>
        </w:tc>
        <w:tc>
          <w:tcPr>
            <w:tcW w:w="340" w:type="dxa"/>
            <w:vAlign w:val="bottom"/>
            <w:tcBorders>
              <w:left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7.51</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207,875,659</w:t>
            </w:r>
          </w:p>
        </w:tc>
        <w:tc>
          <w:tcPr>
            <w:tcW w:w="360" w:type="dxa"/>
            <w:vAlign w:val="bottom"/>
            <w:tcBorders>
              <w:lef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246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18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Borders>
              <w:top w:val="single" w:sz="8" w:color="CCFFC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-1517015</wp:posOffset>
            </wp:positionV>
            <wp:extent cx="521398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-513715</wp:posOffset>
            </wp:positionV>
            <wp:extent cx="521398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619" w:hanging="272"/>
        <w:spacing w:after="0" w:line="257"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balance sheet at fair value and resultant net asset value are calculated on a basis consistent with accounting principles generally accepted in the United States of America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w:t>
      </w:r>
    </w:p>
    <w:p>
      <w:pPr>
        <w:spacing w:after="0" w:line="80" w:lineRule="exact"/>
        <w:rPr>
          <w:rFonts w:ascii="Arial" w:cs="Arial" w:eastAsia="Arial" w:hAnsi="Arial"/>
          <w:sz w:val="18"/>
          <w:szCs w:val="18"/>
          <w:color w:val="auto"/>
        </w:rPr>
      </w:pPr>
    </w:p>
    <w:p>
      <w:pPr>
        <w:ind w:left="300" w:hanging="27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w:t>
      </w:r>
    </w:p>
    <w:p>
      <w:pPr>
        <w:spacing w:after="0" w:line="121" w:lineRule="exact"/>
        <w:rPr>
          <w:sz w:val="20"/>
          <w:szCs w:val="20"/>
          <w:color w:val="auto"/>
        </w:rPr>
      </w:pPr>
    </w:p>
    <w:p>
      <w:pPr>
        <w:ind w:left="60" w:right="599" w:firstLine="270"/>
        <w:spacing w:after="0" w:line="259" w:lineRule="auto"/>
        <w:rPr>
          <w:sz w:val="20"/>
          <w:szCs w:val="20"/>
          <w:color w:val="auto"/>
        </w:rPr>
      </w:pPr>
      <w:r>
        <w:rPr>
          <w:rFonts w:ascii="Arial" w:cs="Arial" w:eastAsia="Arial" w:hAnsi="Arial"/>
          <w:sz w:val="18"/>
          <w:szCs w:val="18"/>
          <w:color w:val="auto"/>
        </w:rPr>
        <w:t>As a BDC, we invest primarily in illiquid securities, including loans to and warrants of private companies and interests in other illiquid securities, such as interests in CLO Fund Securities. These portfolio investments may be subject to restrictions on resale and will generally have no established trading market. As a result, we determine in good faith the fair value of our portfolio investments pursuant to a valuation policy in</w:t>
      </w:r>
    </w:p>
    <w:p>
      <w:pPr>
        <w:spacing w:after="0" w:line="200" w:lineRule="exact"/>
        <w:rPr>
          <w:sz w:val="20"/>
          <w:szCs w:val="20"/>
          <w:color w:val="auto"/>
        </w:rPr>
      </w:pPr>
    </w:p>
    <w:p>
      <w:pPr>
        <w:spacing w:after="0" w:line="33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72" w:lineRule="auto"/>
        <w:rPr>
          <w:sz w:val="20"/>
          <w:szCs w:val="20"/>
          <w:color w:val="auto"/>
        </w:rPr>
      </w:pPr>
      <w:r>
        <w:rPr>
          <w:rFonts w:ascii="Arial" w:cs="Arial" w:eastAsia="Arial" w:hAnsi="Arial"/>
          <w:sz w:val="17"/>
          <w:szCs w:val="17"/>
          <w:color w:val="auto"/>
        </w:rPr>
        <w:t>accordance with the Financial Accounting Standards Board Accounting Standards Codification 820, Fair Value Measurements and Disclosures (“ASC 820: Fair Value”), and a valuation process approved by our Board of Directors and in accordance with the 1940 Act. Our valuation policy is intended to provide a consistent basis for determining the fair value of the portfolio. Our Board of Directors is ultimately and solely responsible for making a good faith determination of the fair value of portfolio investments on a quarterly basis. The Company uses an independent valuation firm to provide third party valuation consulting services to the Company and the Board of Directors. For additional information concerning valuation, see “Item 7a: MD&amp;A — Valuation of Portfolio Investments; and Notes 2 and 4 to the financial statements.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40" w:right="619" w:firstLine="270"/>
        <w:spacing w:after="0" w:line="293" w:lineRule="auto"/>
        <w:rPr>
          <w:sz w:val="20"/>
          <w:szCs w:val="20"/>
          <w:color w:val="auto"/>
        </w:rPr>
      </w:pPr>
      <w:r>
        <w:rPr>
          <w:rFonts w:ascii="Arial" w:cs="Arial" w:eastAsia="Arial" w:hAnsi="Arial"/>
          <w:sz w:val="16"/>
          <w:szCs w:val="16"/>
          <w:color w:val="auto"/>
        </w:rPr>
        <w:t>Our primary competitors also provide financing to prospective portfolio companies and include commercial banks, specialty finance companies, hedge funds, structured investment funds, other BDCs and investment banks. Our competitors may have a lower cost of funds, and many have access to funding sources that are not available to us. Many of these entities have greater managerial resources than we have, and the 1940 Act imposes certain regulatory restrictions on us as a BDC to which many of our competitors are not subject. For additional information concerning the competitive risks we face, see “Item 1A. Risk Factors — Risks Related to Our Business and Structure — We operate in a highly competitive market for investment opportunities.”</w:t>
      </w:r>
    </w:p>
    <w:p>
      <w:pPr>
        <w:spacing w:after="0" w:line="57" w:lineRule="exact"/>
        <w:rPr>
          <w:sz w:val="20"/>
          <w:szCs w:val="20"/>
          <w:color w:val="auto"/>
        </w:rPr>
      </w:pPr>
    </w:p>
    <w:p>
      <w:pPr>
        <w:ind w:left="40" w:right="739" w:firstLine="270"/>
        <w:spacing w:after="0" w:line="259" w:lineRule="auto"/>
        <w:rPr>
          <w:sz w:val="20"/>
          <w:szCs w:val="20"/>
          <w:color w:val="auto"/>
        </w:rPr>
      </w:pPr>
      <w:r>
        <w:rPr>
          <w:rFonts w:ascii="Arial" w:cs="Arial" w:eastAsia="Arial" w:hAnsi="Arial"/>
          <w:sz w:val="18"/>
          <w:szCs w:val="18"/>
          <w:color w:val="auto"/>
        </w:rPr>
        <w:t>We believe that we provide a unique combination of an experienced middle market origination and a CLO management platform at the Asset Manager Affiliates that includes experienced lenders with broad industry expertise. We believe that this combination of resources provides us with a thorough credit process and multiple sources of investment opportunities to enhance our asset selection process.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color w:val="auto"/>
        </w:rPr>
        <w:t>As of December 31, 2013, we and our Asset Manager Affiliates had 30 employees, including an experienced team of 16 investment professionals.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discussion is a general summary of some of the material prohibitions and restrictions governing BDCs generally.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 does not purport to be a complete description of all the laws and regulations affecting BDCs.</w:t>
      </w:r>
    </w:p>
    <w:p>
      <w:pPr>
        <w:spacing w:after="0" w:line="103" w:lineRule="exact"/>
        <w:rPr>
          <w:sz w:val="20"/>
          <w:szCs w:val="20"/>
          <w:color w:val="auto"/>
        </w:rPr>
      </w:pPr>
    </w:p>
    <w:p>
      <w:pPr>
        <w:ind w:left="40" w:right="639" w:firstLine="270"/>
        <w:spacing w:after="0" w:line="291" w:lineRule="auto"/>
        <w:rPr>
          <w:sz w:val="20"/>
          <w:szCs w:val="20"/>
          <w:color w:val="auto"/>
        </w:rPr>
      </w:pPr>
      <w:r>
        <w:rPr>
          <w:rFonts w:ascii="Arial" w:cs="Arial" w:eastAsia="Arial" w:hAnsi="Arial"/>
          <w:sz w:val="16"/>
          <w:szCs w:val="16"/>
          <w:color w:val="auto"/>
        </w:rPr>
        <w:t>A BDC is a unique kind of investment company that primarily focuses on investing in or lending to private or relatively small publicly traded companies and making managerial assistance available to them. A BDC provides stockholders with the ability to retain the liquidity of a publicly traded stock, while sharing in the possible benefits of investing in emerging-growth or expansion-stage privately-owned companies. The 1940 Act contains prohibitions and restrictions relating to transactions between BDCs and their directors and officers and principal underwriters and certain other related persons and requires that a majority of the directors be persons other than “interested persons,” as that term is defined in the 1940 Act. We have implemented certain procedures to ensure that we do not engage in any prohibited transactions with any persons affiliated with us.</w:t>
      </w:r>
    </w:p>
    <w:p>
      <w:pPr>
        <w:spacing w:after="0" w:line="59" w:lineRule="exact"/>
        <w:rPr>
          <w:sz w:val="20"/>
          <w:szCs w:val="20"/>
          <w:color w:val="auto"/>
        </w:rPr>
      </w:pPr>
    </w:p>
    <w:p>
      <w:pPr>
        <w:ind w:left="40" w:right="679" w:firstLine="270"/>
        <w:spacing w:after="0" w:line="257" w:lineRule="auto"/>
        <w:rPr>
          <w:sz w:val="20"/>
          <w:szCs w:val="20"/>
          <w:color w:val="auto"/>
        </w:rPr>
      </w:pPr>
      <w:r>
        <w:rPr>
          <w:rFonts w:ascii="Arial" w:cs="Arial" w:eastAsia="Arial" w:hAnsi="Arial"/>
          <w:sz w:val="18"/>
          <w:szCs w:val="18"/>
          <w:color w:val="auto"/>
        </w:rPr>
        <w:t>In addition, the 1940 Act provides that we may not change the nature of our business so as to cease to be, or to withdraw our election as, a BDC unless approved by a majority of our outstanding voting securities. A majority of the outstanding voting securities of a company is defined under the 1940 Act as the lesser of (i) 67% or more of such company’s shares present at a meeting or represented by proxy if more than 50% of the outstanding shares of such company are present or represented by proxy or (ii) more than 50% of the outstanding shares of such company.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left="40" w:right="759" w:firstLine="270"/>
        <w:spacing w:after="0" w:line="286" w:lineRule="auto"/>
        <w:rPr>
          <w:sz w:val="20"/>
          <w:szCs w:val="20"/>
          <w:color w:val="auto"/>
        </w:rPr>
      </w:pPr>
      <w:r>
        <w:rPr>
          <w:rFonts w:ascii="Arial" w:cs="Arial" w:eastAsia="Arial" w:hAnsi="Arial"/>
          <w:sz w:val="17"/>
          <w:szCs w:val="17"/>
          <w:color w:val="auto"/>
        </w:rPr>
        <w:t>Under the 1940 Act, a BDC may not acquire any asset other than assets of the type listed in Section 55(a) of the 1940 Act, or “Qualifying Assets,” unless, at the time the acquisition is made, Qualifying Assets represent at least 70% of the company’s total assets. The principal categories of Qualifying Assets relevant to our business are the following:</w:t>
      </w:r>
    </w:p>
    <w:p>
      <w:pPr>
        <w:spacing w:after="0" w:line="57" w:lineRule="exact"/>
        <w:rPr>
          <w:sz w:val="20"/>
          <w:szCs w:val="20"/>
          <w:color w:val="auto"/>
        </w:rPr>
      </w:pPr>
    </w:p>
    <w:p>
      <w:pPr>
        <w:ind w:left="600" w:right="95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in transactions not involving any public offering. An “eligible portfolio company” is defined in the 1940 Act as any issuer which:</w:t>
      </w:r>
    </w:p>
    <w:p>
      <w:pPr>
        <w:spacing w:after="0" w:line="62" w:lineRule="exact"/>
        <w:rPr>
          <w:rFonts w:ascii="Arial" w:cs="Arial" w:eastAsia="Arial" w:hAnsi="Arial"/>
          <w:sz w:val="18"/>
          <w:szCs w:val="18"/>
          <w:color w:val="auto"/>
        </w:rPr>
      </w:pPr>
    </w:p>
    <w:p>
      <w:pPr>
        <w:ind w:left="820" w:hanging="272"/>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17" w:lineRule="exact"/>
        <w:rPr>
          <w:rFonts w:ascii="Arial" w:cs="Arial" w:eastAsia="Arial" w:hAnsi="Arial"/>
          <w:sz w:val="18"/>
          <w:szCs w:val="18"/>
          <w:color w:val="auto"/>
        </w:rPr>
      </w:pPr>
    </w:p>
    <w:p>
      <w:pPr>
        <w:ind w:left="820" w:right="1159" w:hanging="272"/>
        <w:spacing w:after="0" w:line="308" w:lineRule="auto"/>
        <w:tabs>
          <w:tab w:leader="none" w:pos="8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is not an investment company (other than a small business investment company wholly-owned by the BDC) or a company that would be an investment company but for certain exclusions under the 1940 Act; and</w:t>
      </w:r>
    </w:p>
    <w:p>
      <w:pPr>
        <w:spacing w:after="0" w:line="38" w:lineRule="exact"/>
        <w:rPr>
          <w:rFonts w:ascii="Arial" w:cs="Arial" w:eastAsia="Arial" w:hAnsi="Arial"/>
          <w:sz w:val="17"/>
          <w:szCs w:val="17"/>
          <w:color w:val="auto"/>
        </w:rPr>
      </w:pPr>
    </w:p>
    <w:p>
      <w:pPr>
        <w:ind w:left="820" w:hanging="272"/>
        <w:spacing w:after="0"/>
        <w:tabs>
          <w:tab w:leader="none" w:pos="8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17" w:lineRule="exact"/>
        <w:rPr>
          <w:rFonts w:ascii="Arial" w:cs="Arial" w:eastAsia="Arial" w:hAnsi="Arial"/>
          <w:sz w:val="18"/>
          <w:szCs w:val="18"/>
          <w:color w:val="auto"/>
        </w:rPr>
      </w:pPr>
    </w:p>
    <w:p>
      <w:pPr>
        <w:ind w:left="1080" w:right="539" w:hanging="262"/>
        <w:spacing w:after="0" w:line="264" w:lineRule="auto"/>
        <w:tabs>
          <w:tab w:leader="none" w:pos="10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(or, if it has a class of securities listed on a national securities exchange, has an aggregate market value of outstanding voting and non-voting common equity of less than $250 million);</w:t>
      </w:r>
    </w:p>
    <w:p>
      <w:pPr>
        <w:spacing w:after="0" w:line="73" w:lineRule="exact"/>
        <w:rPr>
          <w:rFonts w:ascii="Arial" w:cs="Arial" w:eastAsia="Arial" w:hAnsi="Arial"/>
          <w:sz w:val="18"/>
          <w:szCs w:val="18"/>
          <w:color w:val="auto"/>
        </w:rPr>
      </w:pPr>
    </w:p>
    <w:p>
      <w:pPr>
        <w:ind w:left="1080" w:right="919" w:hanging="262"/>
        <w:spacing w:after="0" w:line="277" w:lineRule="auto"/>
        <w:tabs>
          <w:tab w:leader="none" w:pos="10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w:t>
      </w:r>
    </w:p>
    <w:p>
      <w:pPr>
        <w:spacing w:after="0" w:line="62" w:lineRule="exact"/>
        <w:rPr>
          <w:sz w:val="20"/>
          <w:szCs w:val="20"/>
          <w:color w:val="auto"/>
        </w:rPr>
      </w:pPr>
    </w:p>
    <w:p>
      <w:pPr>
        <w:ind w:left="1080" w:right="859" w:hanging="269"/>
        <w:spacing w:after="0" w:line="277" w:lineRule="auto"/>
        <w:rPr>
          <w:sz w:val="20"/>
          <w:szCs w:val="20"/>
          <w:color w:val="auto"/>
        </w:rPr>
      </w:pPr>
      <w:r>
        <w:rPr>
          <w:rFonts w:ascii="Arial" w:cs="Arial" w:eastAsia="Arial" w:hAnsi="Arial"/>
          <w:sz w:val="18"/>
          <w:szCs w:val="18"/>
          <w:color w:val="auto"/>
        </w:rPr>
        <w:t>(iii)is a small and solvent company having total assets of not more than $4 million and capital and surplus of not less than $2 million; or</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(iv)does not have outstanding any class of securities with respect to which a broker or dealer may extend margin credit.</w:t>
      </w:r>
    </w:p>
    <w:p>
      <w:pPr>
        <w:spacing w:after="0" w:line="140"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and is in bankruptcy and subject to reorganization;</w:t>
      </w:r>
    </w:p>
    <w:p>
      <w:pPr>
        <w:spacing w:after="0" w:line="62" w:lineRule="exact"/>
        <w:rPr>
          <w:rFonts w:ascii="Arial" w:cs="Arial" w:eastAsia="Arial" w:hAnsi="Arial"/>
          <w:sz w:val="18"/>
          <w:szCs w:val="18"/>
          <w:color w:val="auto"/>
        </w:rPr>
      </w:pPr>
    </w:p>
    <w:p>
      <w:pPr>
        <w:ind w:left="600" w:right="111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conversion of warrants or rights relating to such securities;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cash equivalents, U.S. government securities or high-quality debt securities maturing in one year or less from the time of investment; and</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certain limited circumstances, securities of companies that were eligible portfolio companies at the time of the initial investment but that are not eligible portfolio companies at the time of the follow-on investment.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Managerial Assistance</w:t>
      </w:r>
    </w:p>
    <w:p>
      <w:pPr>
        <w:spacing w:after="0" w:line="121" w:lineRule="exact"/>
        <w:rPr>
          <w:sz w:val="20"/>
          <w:szCs w:val="20"/>
          <w:color w:val="auto"/>
        </w:rPr>
      </w:pPr>
    </w:p>
    <w:p>
      <w:pPr>
        <w:ind w:left="40" w:right="579" w:firstLine="270"/>
        <w:spacing w:after="0" w:line="288" w:lineRule="auto"/>
        <w:rPr>
          <w:sz w:val="20"/>
          <w:szCs w:val="20"/>
          <w:color w:val="auto"/>
        </w:rPr>
      </w:pPr>
      <w:r>
        <w:rPr>
          <w:rFonts w:ascii="Arial" w:cs="Arial" w:eastAsia="Arial" w:hAnsi="Arial"/>
          <w:sz w:val="16"/>
          <w:szCs w:val="16"/>
          <w:color w:val="auto"/>
        </w:rPr>
        <w:t>A BDC must be organized and have its principal place of business in the United States and must be operated for the purpose of making investments in the types of securities described above. However, to count portfolio securities as “qualifying assets” for the purpose of the 70% test discussed above, the BDC must either control the issuer of the securities or must offer to make available to the issuer of the securities (other than small and solvent companies described above) significant managerial assistance; except that, where the BDC purchases such securities in conjunction with one or more other persons acting together, one of the other persons in the group may make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through monitoring of portfolio company operations, selective participation in board and management meetings, consulting with and advising a portfolio company’s officers or other organizational or financial guidance.</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40" w:right="539" w:firstLine="270"/>
        <w:spacing w:after="0" w:line="268"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 quality debt securities maturing in one year or less from the time of investment, which we refer to, collectively, as temporary investments, so that at least 70% of our assets are “qualifying assets.” Typically, we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 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that are treated, under applicable tax rules, as being issued by a single counterparty, we would not meet the diversification tests imposed on us by the Code to qualify for tax treatment as a RIC for U.S. federal income tax purposes. Thus, we do not intend to enter into repurchase agreements treated as issued, under applicable tax rules, by a single counterparty in excess of this limit. We monitor the creditworthiness of the counterparties with which we enter into repurchase agreement transactions.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Indebtedness; Coverage Ratio</w:t>
      </w:r>
    </w:p>
    <w:p>
      <w:pPr>
        <w:spacing w:after="0" w:line="121" w:lineRule="exact"/>
        <w:rPr>
          <w:sz w:val="20"/>
          <w:szCs w:val="20"/>
          <w:color w:val="auto"/>
        </w:rPr>
      </w:pPr>
    </w:p>
    <w:p>
      <w:pPr>
        <w:ind w:left="40" w:right="519" w:firstLine="270"/>
        <w:spacing w:after="0" w:line="253"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We may also borrow amounts up to 5% of the value of our total assets for temporary purposes. For a discussion of the risks associated with the resulting leverage, see “Item 1A. Risk Factors — Risks Related to Our Business and Structure — We borrow money, which magnifies the potential for gain or loss on amounts invested and may increase the risk of investing in us.” As of December 31, 2013 our asset coverage ratio was 226%, above the minimum required asset coverage level of 200%.</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0" w:right="659" w:firstLine="270"/>
        <w:spacing w:after="0" w:line="286" w:lineRule="auto"/>
        <w:rPr>
          <w:sz w:val="20"/>
          <w:szCs w:val="20"/>
          <w:color w:val="auto"/>
        </w:rPr>
      </w:pPr>
      <w:r>
        <w:rPr>
          <w:rFonts w:ascii="Arial" w:cs="Arial" w:eastAsia="Arial" w:hAnsi="Arial"/>
          <w:sz w:val="16"/>
          <w:szCs w:val="16"/>
          <w:color w:val="auto"/>
        </w:rPr>
        <w:t>We are not generally able to issue and sell our common stock at a price below net asset value per share. We may, however, sell our common stock, warrants, options or rights to acquire our common stock, at a price below the current net asset value of the common stock if our Board of Directors determines that such sale is in our best interests and that of our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may also make rights offerings to our stockholders at prices per share less than the net asset value per share, subject to applicable requirements of the 1940 Act. A proposal approved by our stockholders at a 2013 Special Meeting of Stockholders authorizes us to sell shares of our common stock below the then current net asset value per share of our common stock in one or more offerings for the period ending on the earlier of the one year anniversary of the date of the Company’s 2013 Special Meeting of Stockholders and the date of the Company’s 2014 Annual Meeting of Stockholders, which is expected to be held in June 2014. We would need similar future approval from our stockholders to issue shares below the then current net asset value per share any time after the expiration of the current approval. We may also make rights offerings to our stockholders at prices per share less than the net asset value per share, subject to applicable requirements of the 1940 Act. See “Item 1A. Risk Factors — Risks Relating to Our Business and Structure — Regulations governing our operation as a BDC affect our ability to, and the way in which we, raise additional capital.”</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jc w:val="both"/>
        <w:ind w:left="40" w:right="779" w:firstLine="270"/>
        <w:spacing w:after="0" w:line="259" w:lineRule="auto"/>
        <w:rPr>
          <w:sz w:val="20"/>
          <w:szCs w:val="20"/>
          <w:color w:val="auto"/>
        </w:rPr>
      </w:pPr>
      <w:r>
        <w:rPr>
          <w:rFonts w:ascii="Arial" w:cs="Arial" w:eastAsia="Arial" w:hAnsi="Arial"/>
          <w:sz w:val="18"/>
          <w:szCs w:val="18"/>
          <w:color w:val="auto"/>
        </w:rPr>
        <w:t>We adopted and maintain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99"/>
        <w:spacing w:after="0" w:line="291" w:lineRule="auto"/>
        <w:rPr>
          <w:sz w:val="20"/>
          <w:szCs w:val="20"/>
          <w:color w:val="auto"/>
        </w:rPr>
      </w:pPr>
      <w:r>
        <w:rPr>
          <w:rFonts w:ascii="Arial" w:cs="Arial" w:eastAsia="Arial" w:hAnsi="Arial"/>
          <w:sz w:val="16"/>
          <w:szCs w:val="16"/>
          <w:color w:val="auto"/>
        </w:rPr>
        <w:t xml:space="preserve">A copy of the code of ethics is available on the Corporate Governance section of the Company’s website at </w:t>
      </w:r>
      <w:r>
        <w:rPr>
          <w:rFonts w:ascii="Arial" w:cs="Arial" w:eastAsia="Arial" w:hAnsi="Arial"/>
          <w:sz w:val="16"/>
          <w:szCs w:val="16"/>
          <w:i w:val="1"/>
          <w:iCs w:val="1"/>
          <w:color w:val="auto"/>
        </w:rPr>
        <w:t>http://www.kcapfinancial.com</w:t>
      </w:r>
      <w:r>
        <w:rPr>
          <w:rFonts w:ascii="Arial" w:cs="Arial" w:eastAsia="Arial" w:hAnsi="Arial"/>
          <w:sz w:val="16"/>
          <w:szCs w:val="16"/>
          <w:color w:val="auto"/>
        </w:rPr>
        <w:t>. Our code of ethics may also be reviewed and copied at the Public Reference Room of the SEC at</w:t>
      </w:r>
    </w:p>
    <w:p>
      <w:pPr>
        <w:ind w:left="40" w:right="539"/>
        <w:spacing w:after="0" w:line="273" w:lineRule="auto"/>
        <w:rPr>
          <w:sz w:val="20"/>
          <w:szCs w:val="20"/>
          <w:color w:val="auto"/>
        </w:rPr>
      </w:pPr>
      <w:r>
        <w:rPr>
          <w:rFonts w:ascii="Arial" w:cs="Arial" w:eastAsia="Arial" w:hAnsi="Arial"/>
          <w:sz w:val="17"/>
          <w:szCs w:val="17"/>
          <w:color w:val="auto"/>
        </w:rPr>
        <w:t xml:space="preserve">100 F Street, N.E., Washington, D.C. 20549. You may obtain information on the operation of the Public Reference Room by calling the SEC at 1-800-SEC-0330. Copies of the code of ethics may be obtained, after paying a duplicating fee, by electronic request at the following e-mail address: </w:t>
      </w:r>
      <w:r>
        <w:rPr>
          <w:rFonts w:ascii="Arial" w:cs="Arial" w:eastAsia="Arial" w:hAnsi="Arial"/>
          <w:sz w:val="17"/>
          <w:szCs w:val="17"/>
          <w:i w:val="1"/>
          <w:iCs w:val="1"/>
          <w:color w:val="auto"/>
        </w:rPr>
        <w:t>publicinfo@sec.gov</w:t>
      </w:r>
      <w:r>
        <w:rPr>
          <w:rFonts w:ascii="Arial" w:cs="Arial" w:eastAsia="Arial" w:hAnsi="Arial"/>
          <w:sz w:val="17"/>
          <w:szCs w:val="17"/>
          <w:color w:val="auto"/>
        </w:rPr>
        <w:t xml:space="preserve">, or by writing the SEC’s Public Reference Section, Washington, D.C. 20549-0102. In addition, our code of ethics is available on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jc w:val="both"/>
        <w:ind w:left="40" w:right="679" w:firstLine="270"/>
        <w:spacing w:after="0" w:line="264" w:lineRule="auto"/>
        <w:rPr>
          <w:sz w:val="20"/>
          <w:szCs w:val="20"/>
          <w:color w:val="auto"/>
        </w:rPr>
      </w:pPr>
      <w:r>
        <w:rPr>
          <w:rFonts w:ascii="Arial" w:cs="Arial" w:eastAsia="Arial" w:hAnsi="Arial"/>
          <w:sz w:val="18"/>
          <w:szCs w:val="18"/>
          <w:color w:val="auto"/>
        </w:rPr>
        <w:t>We are committed to maintaining the privacy of our stockholders and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left="40" w:right="919" w:firstLine="270"/>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some non-public personal information of our stockholders may become available to us. We do not disclose any non-public personal information about our stockholders or former stockholders to anyone, except as is necessary to service stockholder accounts, such as to a transfer agent, or as otherwise permitted by law.</w:t>
      </w:r>
    </w:p>
    <w:p>
      <w:pPr>
        <w:spacing w:after="0" w:line="79"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our employees with a legitimate business need for the information. We maintain physical, electronic and procedural safeguards designed to protect the non-public personal information of our stockholders.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Proxy Voting Policy and Procedures</w:t>
      </w:r>
    </w:p>
    <w:p>
      <w:pPr>
        <w:spacing w:after="0" w:line="121"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Although the securities we hold are not typically voting securities, some of our investments could entitle us to vote proxies. If this were to occur we would vote proxies relating to our portfolio securities in the best interest of our stockholders and we would review on a case-by-case basis each proposal submitted to a stockholder vote to determine its impact on the portfolio securities held by us. Although we would generally vote against proposals that we believe may have a negative impact on our portfolio securities, we may vote for such a proposal if we were to believe there exists a compelling long-term reason to do so.</w:t>
      </w:r>
    </w:p>
    <w:p>
      <w:pPr>
        <w:spacing w:after="0" w:line="64" w:lineRule="exact"/>
        <w:rPr>
          <w:sz w:val="20"/>
          <w:szCs w:val="20"/>
          <w:color w:val="auto"/>
        </w:rPr>
      </w:pPr>
    </w:p>
    <w:p>
      <w:pPr>
        <w:ind w:left="40" w:right="639" w:firstLine="270"/>
        <w:spacing w:after="0" w:line="276" w:lineRule="auto"/>
        <w:rPr>
          <w:sz w:val="20"/>
          <w:szCs w:val="20"/>
          <w:color w:val="auto"/>
        </w:rPr>
      </w:pPr>
      <w:r>
        <w:rPr>
          <w:rFonts w:ascii="Arial" w:cs="Arial" w:eastAsia="Arial" w:hAnsi="Arial"/>
          <w:sz w:val="17"/>
          <w:szCs w:val="17"/>
          <w:color w:val="auto"/>
        </w:rPr>
        <w:t>Our proxy voting decisions would be made by our Investment Committee. To ensure that our vote would not the product of a conflict of interest, we would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to reduce any attempted influence from interested parties.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periodically examined by the SEC for compliance with the 1940 Act.</w:t>
      </w:r>
    </w:p>
    <w:p>
      <w:pPr>
        <w:spacing w:after="0" w:line="117"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We are required to provide and maintain a bond issued by a reputable fidelity insurance company to protect us against larceny and embezzlement. Furthermore, as a BDC, we are prohibited from indemnifying any director or officer against any liability to our stockholders arising from willful misfeasance, bad faith, gross negligence or reckless disregard of the duties involved in the conduct of such person’s office.</w:t>
      </w:r>
    </w:p>
    <w:p>
      <w:pPr>
        <w:spacing w:after="0" w:line="79"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color w:val="auto"/>
        </w:rPr>
        <w:t>We are subject to federal, state and local laws and regulations as well as the rules of the NASDAQ Global Select Market, the Public Company Accounting Oversight Board, and the SEC.</w:t>
      </w:r>
    </w:p>
    <w:p>
      <w:pPr>
        <w:spacing w:after="0" w:line="62"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We are required to adopt and implement written policies and procedures reasonably designed to prevent violation of the federal securities laws and to review these policies and procedures annually for their adequacy and the effectiveness of their implementation. We have a designated CCO who is responsible for administering these policies and procedures.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TAXATION AS A REGULATED INVESTMENT COMPANY</w:t>
      </w:r>
    </w:p>
    <w:p>
      <w:pPr>
        <w:spacing w:after="0" w:line="121"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color w:val="auto"/>
        </w:rPr>
        <w:t>We have elected to be treated for U.S. federal income tax purposes as a regulated investment company (“RIC”) under subchapter M of the Internal Revenue Code of 1986, as amended (the “Code”), and intend to</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73" w:lineRule="auto"/>
        <w:rPr>
          <w:sz w:val="20"/>
          <w:szCs w:val="20"/>
          <w:color w:val="auto"/>
        </w:rPr>
      </w:pPr>
      <w:r>
        <w:rPr>
          <w:rFonts w:ascii="Arial" w:cs="Arial" w:eastAsia="Arial" w:hAnsi="Arial"/>
          <w:sz w:val="17"/>
          <w:szCs w:val="17"/>
          <w:color w:val="auto"/>
        </w:rPr>
        <w:t>operate in a manner to maintain our RIC tax treatment. As a RIC, we generally will not have to pay corporate-level U.S. federal income taxes on any ordinary income or capital gains that we timely distribute to our stockholders as dividends. To qualify as a RIC, we must, among other things, meet certain source-of-income and asset diversification requirements (as described below). In addition, we must distribute to our stockholders, for each taxable year, at least 90% of our “investment company taxable income,” which is generally our net ordinary taxable income plus the excess of our realized net short-term capital gains over our realized net long-term capital losses (the “Annual Distribution Requirement”).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117"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For any taxable year in which we qualify as a RIC and satisfy the Annual Distribution Requirement we generally will not be subject to U.S. federal income tax on the portion of our investment company taxable income and net capital gain, defined as net long-term capital gains in excess of net short-term capital losses, we distribute to stockholders. We will be subject to U.S. federal income tax at the regular corporate rates on any net ordinary income or net capital gain not distributed (or deemed distributed) to our stockholders.</w:t>
      </w:r>
    </w:p>
    <w:p>
      <w:pPr>
        <w:spacing w:after="0" w:line="80"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We will be subject to a 4% nondeductible U.S. federal excise tax on our undistributed income unless we distribute in a timely manner an amount at least equal to the sum of (a) 98% of our net ordinary income for each calendar year, (b) 98.2% of our capital gain net income for the one-year period ending October 31 in that calendar year and (c) any income or gains realized, but not distributed, in the preceding year and on which we paid no U.S. federal income tax (the “Excise Tax Avoidance Requirement”). For this purpose, however, any net ordinary income or capital gain net income retained by us that is subject to corporate-level U.S. federal income tax for the tax year ending in that calendar year will be considered to have been distributed by year end (or earlier if estimated taxes are paid). We currently intend to make sufficient distributions each taxable year to satisfy the Excise Tax Avoidance Requirement.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qualify as a RIC for U.S. federal income tax purposes, we must, among other things:</w:t>
      </w:r>
    </w:p>
    <w:p>
      <w:pPr>
        <w:spacing w:after="0" w:line="117" w:lineRule="exact"/>
        <w:rPr>
          <w:sz w:val="20"/>
          <w:szCs w:val="20"/>
          <w:color w:val="auto"/>
        </w:rPr>
      </w:pPr>
    </w:p>
    <w:p>
      <w:pPr>
        <w:ind w:left="600" w:hanging="322"/>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qualify to be regulated as a business development company under the 1940 Act at all times during each taxable year;</w:t>
      </w:r>
    </w:p>
    <w:p>
      <w:pPr>
        <w:spacing w:after="0" w:line="128" w:lineRule="exact"/>
        <w:rPr>
          <w:rFonts w:ascii="Arial" w:cs="Arial" w:eastAsia="Arial" w:hAnsi="Arial"/>
          <w:sz w:val="17"/>
          <w:szCs w:val="17"/>
          <w:color w:val="auto"/>
        </w:rPr>
      </w:pPr>
    </w:p>
    <w:p>
      <w:pPr>
        <w:ind w:left="600" w:right="519" w:hanging="322"/>
        <w:spacing w:after="0" w:line="255"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or other income derived with respect to our business of investing in such stock or securities, and net income derived from interests in “qualified publicly traded partnerships” (which generally are partnerships that are traded on an established securities market or tradable on a secondary market, other than partnerships that derive 90% of their income from interest, dividends and other permitted RIC income) (the “90% Income Test”); and</w:t>
      </w:r>
    </w:p>
    <w:p>
      <w:pPr>
        <w:spacing w:after="0" w:line="85" w:lineRule="exact"/>
        <w:rPr>
          <w:rFonts w:ascii="Arial" w:cs="Arial" w:eastAsia="Arial" w:hAnsi="Arial"/>
          <w:sz w:val="18"/>
          <w:szCs w:val="18"/>
          <w:color w:val="auto"/>
        </w:rPr>
      </w:pPr>
    </w:p>
    <w:p>
      <w:pPr>
        <w:ind w:left="600" w:hanging="32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117" w:lineRule="exact"/>
        <w:rPr>
          <w:rFonts w:ascii="Arial" w:cs="Arial" w:eastAsia="Arial" w:hAnsi="Arial"/>
          <w:sz w:val="18"/>
          <w:szCs w:val="18"/>
          <w:color w:val="auto"/>
        </w:rPr>
      </w:pPr>
    </w:p>
    <w:p>
      <w:pPr>
        <w:ind w:left="820" w:right="679" w:hanging="272"/>
        <w:spacing w:after="0" w:line="286"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7" w:lineRule="exact"/>
        <w:rPr>
          <w:rFonts w:ascii="Arial" w:cs="Arial" w:eastAsia="Arial" w:hAnsi="Arial"/>
          <w:sz w:val="17"/>
          <w:szCs w:val="17"/>
          <w:color w:val="auto"/>
        </w:rPr>
      </w:pPr>
    </w:p>
    <w:p>
      <w:pPr>
        <w:ind w:left="820" w:right="619" w:hanging="272"/>
        <w:spacing w:after="0" w:line="279" w:lineRule="auto"/>
        <w:tabs>
          <w:tab w:leader="none" w:pos="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the securities of one or more qualified publicly traded partnerships (the “Diversification Tests”).</w:t>
      </w:r>
    </w:p>
    <w:p>
      <w:pPr>
        <w:spacing w:after="0" w:line="63"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If we do not satisfy the requirements of the Diversification Tests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3"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We may invest in partnerships, including qualified publicly traded partnerships, which may result in our being subject to state, local or foreign income, franchise or withholding liabilities.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Any underwriting fees paid by us are not deductible. We may be required to recognize taxable income in circumstances in which we do not receive cash. For example, if we hold debt obligations that are treated under applicable tax rules as having original issue discount (such as debt instruments with payment-in-kind (“PIK”) interest or, in certain cases, with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 If we are not able to obtain sufficient cash from other sources to satisfy the Annual Distribution Requirement, we may fail to qualify as a RIC and become subject to corporate-level U.S. federal income taxes on all of our taxable income without the benefit of the dividends-paid deduction.</w:t>
      </w:r>
    </w:p>
    <w:p>
      <w:pPr>
        <w:spacing w:after="0" w:line="70"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Although we do not presently expect to do so, we are authorized to borrow funds and to sell assets in order (i) to satisfy the Annual Distribution Requirement and to otherwise eliminate our liability for U.S. federal income and excise taxes and (ii) to satisfy the Diversification Tests. However, under the 1940 Act, we are not permitted to borrow additional funds or to make distributions to our stockholders while our debt obligations and other senior securities are outstanding unless certain “asset coverage” tests are met. See “Regulation — Senior Securities; Coverage Ratio.” Moreover, our ability to dispose of assets to meet the Annual Distribution Requirement, the Excise Tax Avoidance Requirement or the Diversification Tests may be limited by (a) the illiquid nature of our portfolio and/or (b) other requirements relating to our qualification as a RIC. If we dispose of assets in order to meet the Annual Distribution Requirement, the Excise Tax Avoidance Requirement, or the Diversification Tests, we may make such dispositions at times that, from an investment standpoint, are not advantageous.</w:t>
      </w:r>
    </w:p>
    <w:p>
      <w:pPr>
        <w:spacing w:after="0" w:line="74"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 (a) treat dividends that would otherwise constitute qualified dividend income as non-qualified dividend income, (b) treat dividends that would otherwise be eligible for the corporate dividends received deduction as ineligible for such treatment, (c) disallow, suspend or otherwise limit the allowance of certain losses or deductions, (d) convert lower-taxed long-term capital gain into higher-taxed short-term capital gain or ordinary income, (e) convert an ordinary loss or a deduction into a capital loss (the deductibility of which is more limited), (f) cause us to recognize income or gain without a corresponding receipt of cash, (g) adversely affect the time as to when a purchase or sale of stock or securities is deemed to occur, (h) adversely alter the characterization of certain complex financial transactions and (i) produce income that will not be qualifying income for purposes of the 90% Income Test. We intend to monitor our transactions and may make certain tax elections to mitigate the effect of these provisions and prevent our disqualification as a RIC.</w:t>
      </w:r>
    </w:p>
    <w:p>
      <w:pPr>
        <w:spacing w:after="0" w:line="70"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capital gain or loss generally will be long-term or short-term, depending on how long we held a particular warrant.</w:t>
      </w:r>
    </w:p>
    <w:p>
      <w:pPr>
        <w:spacing w:after="0" w:line="73"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Some of the income and fees that we may recognize will not satisfy the 90% Income Test. In order to ensure that such income and fees do not disqualify us as a RIC for a failure to satisfy the 90% Income Test, we may hold assets that generate such income and provide services that generate such fees indirectly through one or more entities treated as corporations for U.S. federal income tax purposes. Such corporations will be required to pay corporate-level U.S. federal income taxes on their earnings, which ultimately will reduce our return on such income and fees.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40" w:right="559" w:firstLine="270"/>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No action is required on the part of a registered stockholder to have such shareholder’s cash dividend reinvested in shares of our common stock. A registered stockholder may elect to receive an entire dividend in cash by notifying American Stock Transfer &amp; Trust Company, the plan administrator and our transfer agent and registrar, in writing so that such notice is received by the plan administrator no later than the record date for dividends to stockholders. The plan administrator will set up an account for shares acquired through the plan for each stockholder who has not elected to receive dividends in cash and hold such shares in non-certificated form. Upon request by a stockholder participating in the plan, received in writing not less than ten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58" w:lineRule="exact"/>
        <w:rPr>
          <w:sz w:val="20"/>
          <w:szCs w:val="20"/>
          <w:color w:val="auto"/>
        </w:rPr>
      </w:pPr>
    </w:p>
    <w:p>
      <w:pPr>
        <w:ind w:left="40" w:right="1199" w:firstLine="270"/>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in cash by notifying their broker or other financial intermediary of their election.</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dividend payable to such stockholder by the market price per share of our common stock at the close of regular trading on The NASDAQ Global Select Market on the dividend payment date. Market price per share on that date will be the closing price for such shares on The NASDAQ Global Select Market or, if no sale is reported for such day, at the average of their reported bid and asked prices. Shares purchased in open market transactions by the plan administrator of the dividend reinvestment plan will be allocated to a stockholder based upon the average purchase price, excluding any brokerage charges or other charges, of all shares of common stock purchased with respect to the dividend.</w:t>
      </w:r>
    </w:p>
    <w:p>
      <w:pPr>
        <w:spacing w:after="0" w:line="74" w:lineRule="exact"/>
        <w:rPr>
          <w:sz w:val="20"/>
          <w:szCs w:val="20"/>
          <w:color w:val="auto"/>
        </w:rPr>
      </w:pPr>
    </w:p>
    <w:p>
      <w:pPr>
        <w:ind w:left="40" w:right="539" w:firstLine="270"/>
        <w:spacing w:after="0" w:line="302" w:lineRule="auto"/>
        <w:rPr>
          <w:sz w:val="20"/>
          <w:szCs w:val="20"/>
          <w:color w:val="auto"/>
        </w:rPr>
      </w:pPr>
      <w:r>
        <w:rPr>
          <w:rFonts w:ascii="Arial" w:cs="Arial" w:eastAsia="Arial" w:hAnsi="Arial"/>
          <w:sz w:val="16"/>
          <w:szCs w:val="16"/>
          <w:color w:val="auto"/>
        </w:rPr>
        <w:t>There are no brokerage charges or other charges to stockholders who participate in the plan. The plan administrator’s fees under the plan are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46" w:lineRule="exact"/>
        <w:rPr>
          <w:sz w:val="20"/>
          <w:szCs w:val="20"/>
          <w:color w:val="auto"/>
        </w:rPr>
      </w:pPr>
    </w:p>
    <w:p>
      <w:pPr>
        <w:ind w:left="40" w:right="719" w:firstLine="270"/>
        <w:spacing w:after="0" w:line="308" w:lineRule="auto"/>
        <w:rPr>
          <w:sz w:val="20"/>
          <w:szCs w:val="20"/>
          <w:color w:val="auto"/>
        </w:rPr>
      </w:pPr>
      <w:r>
        <w:rPr>
          <w:rFonts w:ascii="Arial" w:cs="Arial" w:eastAsia="Arial" w:hAnsi="Arial"/>
          <w:sz w:val="17"/>
          <w:szCs w:val="17"/>
          <w:color w:val="auto"/>
        </w:rPr>
        <w:t>If your dividends are reinvested, you will be required to pay tax on the distributions in the same manner as if the distributions were received in cash. The taxation of dividends will not be affected by the form in which you receive them.</w:t>
      </w:r>
    </w:p>
    <w:p>
      <w:pPr>
        <w:spacing w:after="0" w:line="38" w:lineRule="exact"/>
        <w:rPr>
          <w:sz w:val="20"/>
          <w:szCs w:val="20"/>
          <w:color w:val="auto"/>
        </w:rPr>
      </w:pPr>
    </w:p>
    <w:p>
      <w:pPr>
        <w:ind w:left="40" w:right="1159" w:firstLine="270"/>
        <w:spacing w:after="0" w:line="286" w:lineRule="auto"/>
        <w:rPr>
          <w:sz w:val="20"/>
          <w:szCs w:val="20"/>
          <w:color w:val="auto"/>
        </w:rPr>
      </w:pPr>
      <w:r>
        <w:rPr>
          <w:rFonts w:ascii="Arial" w:cs="Arial" w:eastAsia="Arial" w:hAnsi="Arial"/>
          <w:sz w:val="17"/>
          <w:szCs w:val="17"/>
          <w:color w:val="auto"/>
        </w:rPr>
        <w:t xml:space="preserve">Participants may terminate their accounts under the plan by notifying the plan administrator via its website at </w:t>
      </w:r>
      <w:r>
        <w:rPr>
          <w:rFonts w:ascii="Arial" w:cs="Arial" w:eastAsia="Arial" w:hAnsi="Arial"/>
          <w:sz w:val="17"/>
          <w:szCs w:val="17"/>
          <w:i w:val="1"/>
          <w:iCs w:val="1"/>
          <w:color w:val="auto"/>
        </w:rPr>
        <w:t>www.amstock.com</w:t>
      </w:r>
      <w:r>
        <w:rPr>
          <w:rFonts w:ascii="Arial" w:cs="Arial" w:eastAsia="Arial" w:hAnsi="Arial"/>
          <w:sz w:val="17"/>
          <w:szCs w:val="17"/>
          <w:color w:val="auto"/>
        </w:rPr>
        <w:t>, by filling out the transaction request form located at bottom of their statement and sending it to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at the address set forth below or by calling the plan administrator at 1-866-668-8564.</w:t>
      </w:r>
    </w:p>
    <w:p>
      <w:pPr>
        <w:spacing w:after="0" w:line="57" w:lineRule="exact"/>
        <w:rPr>
          <w:sz w:val="20"/>
          <w:szCs w:val="20"/>
          <w:color w:val="auto"/>
        </w:rPr>
      </w:pPr>
    </w:p>
    <w:p>
      <w:pPr>
        <w:ind w:left="40" w:right="579" w:firstLine="270"/>
        <w:spacing w:after="0" w:line="302"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and additional information about the plan may be obtained from, the plan administrator by mail at American Stock Transfer &amp; Trust Company, Attn. Dividend Reinvestment Department, P.O. Box 922, Wall Street Station, New York, NY 10269-0560 or by telephone at 1-866-668-8564.</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i w:val="1"/>
          <w:iCs w:val="1"/>
          <w:color w:val="auto"/>
        </w:rPr>
        <w:t>Investing in our securities involves a high degree of risk. In addition to the other information contained in this annual report on Form 10-K, the following information should be carefully considered before making an investment in our securities. The risks set out below are not the only risks we face. Additional risks and uncertainties not presently known to us or not presently deemed material by us might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part or all of your investment.</w:t>
      </w:r>
    </w:p>
    <w:p>
      <w:pPr>
        <w:spacing w:after="0" w:line="17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48" w:lineRule="exact"/>
        <w:rPr>
          <w:sz w:val="20"/>
          <w:szCs w:val="20"/>
          <w:color w:val="auto"/>
        </w:rPr>
      </w:pPr>
    </w:p>
    <w:p>
      <w:pPr>
        <w:ind w:left="40" w:right="759"/>
        <w:spacing w:after="0" w:line="264" w:lineRule="auto"/>
        <w:rPr>
          <w:sz w:val="20"/>
          <w:szCs w:val="20"/>
          <w:color w:val="auto"/>
        </w:rPr>
      </w:pPr>
      <w:r>
        <w:rPr>
          <w:rFonts w:ascii="Arial" w:cs="Arial" w:eastAsia="Arial" w:hAnsi="Arial"/>
          <w:sz w:val="18"/>
          <w:szCs w:val="18"/>
          <w:b w:val="1"/>
          <w:bCs w:val="1"/>
          <w:i w:val="1"/>
          <w:iCs w:val="1"/>
          <w:color w:val="auto"/>
        </w:rPr>
        <w:t>We are dependent upon our senior management for our future success, and if we are unable to hire and retain qualified personnel or if we lose any member of our senior management team, our ability to achieve our investment objectives could be significantly harmed.</w:t>
      </w:r>
    </w:p>
    <w:p>
      <w:pPr>
        <w:spacing w:after="0" w:line="73"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color w:val="auto"/>
        </w:rPr>
        <w:t>We depend on the members of our senior management as well as other key personnel for the identification, final selection, structuring, closing and monitoring of our investments. These employees have critical industry experience and relationships that we rely on to implement our business plan. Our future success depends on the continued service of our senior management team. The departure of any of the members of our senior management or a significant number of our senior personnel could have a material adverse effect on our ability to achieve our investment objective. As a result, we may not be able to operate our business as we expect, and our ability to compete could be harmed, which could cause our operating results to suffer.</w:t>
      </w:r>
    </w:p>
    <w:p>
      <w:pPr>
        <w:spacing w:after="0" w:line="57" w:lineRule="exact"/>
        <w:rPr>
          <w:sz w:val="20"/>
          <w:szCs w:val="20"/>
          <w:color w:val="auto"/>
        </w:rPr>
      </w:pPr>
    </w:p>
    <w:p>
      <w:pPr>
        <w:ind w:left="40" w:right="779" w:firstLine="270"/>
        <w:spacing w:after="0" w:line="302" w:lineRule="auto"/>
        <w:rPr>
          <w:sz w:val="20"/>
          <w:szCs w:val="20"/>
          <w:color w:val="auto"/>
        </w:rPr>
      </w:pPr>
      <w:r>
        <w:rPr>
          <w:rFonts w:ascii="Arial" w:cs="Arial" w:eastAsia="Arial" w:hAnsi="Arial"/>
          <w:sz w:val="16"/>
          <w:szCs w:val="16"/>
          <w:color w:val="auto"/>
        </w:rPr>
        <w:t>Additionally, the management agreements governing some of the CLO funds managed by our Asset Manager Affiliates have “key person” provisions that provide certain CLO investors with rights upon the departure of a “key person”, as defined in each agreement. As a result, the departure of a “key person” could trigger a material change in the Asset Manager Affiliate’s role in managing the CLO Funds, and therefore KCAP’s financial benefits from its investments in the Asset Manager Affiliates.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A large number of entities compete with us to make the types of investments that we plan to make in prospective portfolio companies. We compete with other BDCs, as well as a number of investment funds, investment banks and other sources of financing, including traditional financial services companies, such as commercial banks and finance companies. Many of our competitors are substantially larger and have considerably greater financial, technical, marketing and other resources than we do. For example, some competitors may have a lower cost of funds and access to funding sources that are not available to us. This may enable some of our competitors to make commercial loans with interest rates that are comparable to or lower than the rates we typically offer. We may lose prospective portfolio investments if we do not match our competitors’ pricing, terms and structure. If we do match our competitors’ pricing, terms or structure, we may experience decreased net interest income. In addition, some of our competitors may have higher risk tolerances or different risk assessments, which could allow them to consider a wider variety of investments, establish more relationships and build their market shares. Furthermore, many of our potential competitors have greater experience operating under, or are not subject to, the regulatory restrictions that the 1940 Act imposes on us as a BDC. As a result of this competition, there can be no assurance that we will be able to identify and take advantage of attractive investment opportunities or that we will be able to fully invest our available capital. If we are not able to compete effectively, our business and financial condition and results of operations will be adversely affected.</w:t>
      </w:r>
    </w:p>
    <w:p>
      <w:pPr>
        <w:spacing w:after="0" w:line="104"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b w:val="1"/>
          <w:bCs w:val="1"/>
          <w:i w:val="1"/>
          <w:iCs w:val="1"/>
          <w:color w:val="auto"/>
        </w:rPr>
        <w:t>If we are unable to source investments effectively, we may be unable to achieve our investment objectives and provide returns to stockholders.</w:t>
      </w:r>
    </w:p>
    <w:p>
      <w:pPr>
        <w:spacing w:after="0" w:line="62"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Our ability to achieve our investment objective depends on our senior management team’s ability to identify, evaluate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55" w:lineRule="auto"/>
        <w:rPr>
          <w:sz w:val="20"/>
          <w:szCs w:val="20"/>
          <w:color w:val="auto"/>
        </w:rPr>
      </w:pPr>
      <w:r>
        <w:rPr>
          <w:rFonts w:ascii="Arial" w:cs="Arial" w:eastAsia="Arial" w:hAnsi="Arial"/>
          <w:sz w:val="18"/>
          <w:szCs w:val="18"/>
          <w:color w:val="auto"/>
        </w:rPr>
        <w:t>addition to monitoring the performance of our existing investments, members of our management team and our investment professionals may also be called upon to provide managerial assistance to our portfolio companies. These demands on their time may distract them or slow the rate of investment. To grow, we need to continue to hire, train, supervise and manage new employees and to implement computer and other systems capable of effectively accommodating our growth. However, we cannot provide assurance that any such employees will contribute to the success of our business or that we will implement such systems effectively. Failure to source investments effectively could have a material adverse effect on our business, financial condition and results of operations.</w:t>
      </w:r>
    </w:p>
    <w:p>
      <w:pPr>
        <w:spacing w:after="0" w:line="108" w:lineRule="exact"/>
        <w:rPr>
          <w:sz w:val="20"/>
          <w:szCs w:val="20"/>
          <w:color w:val="auto"/>
        </w:rPr>
      </w:pPr>
    </w:p>
    <w:p>
      <w:pPr>
        <w:jc w:val="both"/>
        <w:ind w:left="40" w:right="659"/>
        <w:spacing w:after="0" w:line="264" w:lineRule="auto"/>
        <w:rPr>
          <w:sz w:val="20"/>
          <w:szCs w:val="20"/>
          <w:color w:val="auto"/>
        </w:rPr>
      </w:pPr>
      <w:r>
        <w:rPr>
          <w:rFonts w:ascii="Arial" w:cs="Arial" w:eastAsia="Arial" w:hAnsi="Arial"/>
          <w:sz w:val="18"/>
          <w:szCs w:val="18"/>
          <w:b w:val="1"/>
          <w:bCs w:val="1"/>
          <w:i w:val="1"/>
          <w:iCs w:val="1"/>
          <w:color w:val="auto"/>
        </w:rPr>
        <w:t>Our business model depends to a significant extent upon strong referral relationships, and our inability to maintain or develop these relationships, as well as the failure of these relationships to generate investment opportunities, could adversely affect our business.</w:t>
      </w:r>
    </w:p>
    <w:p>
      <w:pPr>
        <w:spacing w:after="0" w:line="73"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We expect that members of our senior management team will maintain their relationships with intermediaries, financial institutions, investment bankers, commercial bankers, financial advisors, attorneys, accountants, consultants and other individuals within their networks, and we will rely to a significant extent upon these relationships to provide us with potential investment opportunities. If our senior management team fails to maintain its existing relationships or develop new relationships with sources of investment opportunities, we will not be able to grow our investment portfolio. In addition, individuals with whom members of our senior management team have relationships are not obligated to provide us with investment opportunities, and, therefore, there is no assurance that such relationships will generate investment opportunities for us.</w:t>
      </w:r>
    </w:p>
    <w:p>
      <w:pPr>
        <w:spacing w:after="0" w:line="100" w:lineRule="exact"/>
        <w:rPr>
          <w:sz w:val="20"/>
          <w:szCs w:val="20"/>
          <w:color w:val="auto"/>
        </w:rPr>
      </w:pPr>
    </w:p>
    <w:p>
      <w:pPr>
        <w:ind w:left="40" w:right="1039"/>
        <w:spacing w:after="0" w:line="277" w:lineRule="auto"/>
        <w:rPr>
          <w:sz w:val="20"/>
          <w:szCs w:val="20"/>
          <w:color w:val="auto"/>
        </w:rPr>
      </w:pPr>
      <w:r>
        <w:rPr>
          <w:rFonts w:ascii="Arial" w:cs="Arial" w:eastAsia="Arial" w:hAnsi="Arial"/>
          <w:sz w:val="18"/>
          <w:szCs w:val="18"/>
          <w:b w:val="1"/>
          <w:bCs w:val="1"/>
          <w:i w:val="1"/>
          <w:iCs w:val="1"/>
          <w:color w:val="auto"/>
        </w:rPr>
        <w:t>We may have difficulty paying distributions required to maintain our RIC status if we recognize income before or without receiving cash equal to such income.</w:t>
      </w:r>
    </w:p>
    <w:p>
      <w:pPr>
        <w:spacing w:after="0" w:line="62"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In accordance with the Code, we include in income certain amounts that we have not yet received in cash, such as contracted non-cash PIK interest, which represents contractual interest added to the loan balance and due at the end of the loan term. The increases in loan balances as a result of contracted non-cash PIK arrangements are included in income for the period in which such non-cash PIK interest was received, which is often in advance of receiving cash payment, and are separately identified on our statements of cash flows. We also may be required to include in income certain other amounts that we will not receive in cash. Any warrants that we receive in connection with our debt investments generally are valued as part of the negotiation process with the particular portfolio company. As a result, a portion of the aggregate purchase price for the debt investments and warrants is allocated to the warrants that we receive. This generally results in the associated debt investment having “original issue discount” for tax purposes, which we must recognize as ordinary income as it accrues. This increases the amounts we are required to distribute to maintain our qualification for tax treatment as a RIC. Because such original issue discount income might exceed the amount of cash received in a given year with respect to such investment, we might need to obtain cash from other sources to satisfy such distribution requirements. Other features of the debt instruments that we hold may also cause such instruments to generate original issue discount.</w:t>
      </w:r>
    </w:p>
    <w:p>
      <w:pPr>
        <w:spacing w:after="0" w:line="80"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Since in certain cases we may recognize income before or without receiving cash representing such income, we may have difficulty meeting the requirement to annually distribute at least 90% of our net ordinary income and realized net short-term capital gains in excess of realized net long-term capital losses, if any. If we are unable to meet these distribution requirements, we will not maintain our qualification for tax treatment as a RIC. Accordingly, we may have to sell some of our assets, raise additional debt or equity securities or reduce new investment originations to meet these distribution requirements.</w:t>
      </w:r>
    </w:p>
    <w:p>
      <w:pPr>
        <w:spacing w:after="0" w:line="91" w:lineRule="exact"/>
        <w:rPr>
          <w:sz w:val="20"/>
          <w:szCs w:val="20"/>
          <w:color w:val="auto"/>
        </w:rPr>
      </w:pPr>
    </w:p>
    <w:p>
      <w:pPr>
        <w:ind w:left="40" w:right="559"/>
        <w:spacing w:after="0" w:line="340" w:lineRule="auto"/>
        <w:rPr>
          <w:sz w:val="20"/>
          <w:szCs w:val="20"/>
          <w:color w:val="auto"/>
        </w:rPr>
      </w:pPr>
      <w:r>
        <w:rPr>
          <w:rFonts w:ascii="Arial" w:cs="Arial" w:eastAsia="Arial" w:hAnsi="Arial"/>
          <w:sz w:val="15"/>
          <w:szCs w:val="15"/>
          <w:b w:val="1"/>
          <w:bCs w:val="1"/>
          <w:i w:val="1"/>
          <w:iCs w:val="1"/>
          <w:color w:val="auto"/>
        </w:rPr>
        <w:t>We may incur losses as a result of “first loss” agreements into which we or our Asset Manager Affiliates may in the future enter in connection with warehousing credit arrangements which we may put in place prior to raising a CLO Fund and pursuant to which we would typically agree to reimburse credit providers for a portion of losses (if any) on warehouse investments.</w:t>
      </w:r>
    </w:p>
    <w:p>
      <w:pPr>
        <w:spacing w:after="0" w:line="23"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We and our Asset Manager Affiliates have in the past entered into, are currently entered into, and may in the future enter into “first loss” agreements in connection with warehouse credit lines established by our Asset Manager Affiliates to fund the initial accumulation of loan investments for future CLO Funds that our Asset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70" w:lineRule="auto"/>
        <w:rPr>
          <w:sz w:val="20"/>
          <w:szCs w:val="20"/>
          <w:color w:val="auto"/>
        </w:rPr>
      </w:pPr>
      <w:r>
        <w:rPr>
          <w:rFonts w:ascii="Arial" w:cs="Arial" w:eastAsia="Arial" w:hAnsi="Arial"/>
          <w:sz w:val="17"/>
          <w:szCs w:val="17"/>
          <w:color w:val="auto"/>
        </w:rPr>
        <w:t>Manager Affiliates will manage. Under such agreements, we or our Asset Manager Affiliates generally make a junior investment in a warehouse facility, which serves as a loss buffer for the senior capital provider. Such junior investment may be subject to losses (either in whole or in part) that stem from factors including (i) losses as a result of individual loan or other investments being ineligible for purchase by the CLO Fund (typically due to a payment default on such loan or other investments) when such fund formation is completed or (ii) if the CLO Fund has not been completed before the expiration of the warehouse credit line, the loss (if any, and net of any accumulated interest income) on the resale of such loans funded by the warehouse credit line, or (iii) realized losses from trading activity within the warehouse facility. As a result, we may incur losses if loans and debt obligations, if applicable, that had been purchased in the warehouse facility become ineligible for inclusion in the CLO Fund or if a planned CLO Fund does not close.</w:t>
      </w:r>
    </w:p>
    <w:p>
      <w:pPr>
        <w:spacing w:after="0" w:line="101" w:lineRule="exact"/>
        <w:rPr>
          <w:sz w:val="20"/>
          <w:szCs w:val="20"/>
          <w:color w:val="auto"/>
        </w:rPr>
      </w:pPr>
    </w:p>
    <w:p>
      <w:pPr>
        <w:ind w:left="40" w:right="799"/>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loan portfolio may be an indication of future realized losses, which could reduce our income available to make distributions.</w:t>
      </w:r>
    </w:p>
    <w:p>
      <w:pPr>
        <w:spacing w:after="0" w:line="62" w:lineRule="exact"/>
        <w:rPr>
          <w:sz w:val="20"/>
          <w:szCs w:val="20"/>
          <w:color w:val="auto"/>
        </w:rPr>
      </w:pPr>
    </w:p>
    <w:p>
      <w:pPr>
        <w:ind w:left="40" w:right="719" w:firstLine="270"/>
        <w:spacing w:after="0" w:line="293"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at the fair value as determined in good faith by our Board of Directors pursuant to a valuation methodology approved by our Board of Directors. Decreases in the market values or fair values of our investments will be recorded as unrealized losses. An unrealized loss in our loan portfolio could be an indication of a portfolio company’s inability to meet its repayment obligations with respect to the affected loans. This could result in realized losses in the future and ultimately in reductions of our income available to pay dividends or interest and principal on our securities and could cause you to lose all or part of your investment.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experience fluctuations in our quarterly and annual operating results and credit spreads.</w:t>
      </w:r>
    </w:p>
    <w:p>
      <w:pPr>
        <w:spacing w:after="0" w:line="117"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We could experience fluctuations in our quarterly and annual operating results due to a number of factors, some of which are beyond our control, including our ability to make investments in companies that meet our investment criteria, the interest rate payable on the debt securities we acquire (which could stem from the general level of interest rates, credit spreads, or both), the default rate on such securities, prepayment upon the triggering of covenants in our middle market loans as well as our CLO Funds, our level of expenses, variations in and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and spreads.</w:t>
      </w:r>
    </w:p>
    <w:p>
      <w:pPr>
        <w:spacing w:after="0" w:line="117"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Changes in interest rates may have a substantial negative impact on our investments, the value of our securities and our rate of return on invested capital. A reduction in the interest spreads on new investments could also have an adverse impact on our net interest income. An increase in interest rates could decrease the value of any investments we hold which earn fixed interest rates, including mezzanine securities and high-yield bonds, and also could increase our interest expense, thereby decreasing our net income. An increase in interest rates due to an increase in credit spreads, regardless of general interest rate fluctuations, could also negatively impact the value of any investments we hold in our portfolio.</w:t>
      </w:r>
    </w:p>
    <w:p>
      <w:pPr>
        <w:spacing w:after="0" w:line="97"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62"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Borrowings, also known as leverage, magnify the potential for gain or loss on amounts invested and, therefore, increase the risks associated with investing in the common stock. We have issued senior securities, and in the future may borrow from, or issue additional senior securities (such as preferred or convertible securities or debt securities) to, banks and other lenders and investors. Subject to prevailing market conditions, we intend to grow our portfolio of assets by raising additional capital, including through the prudent use of leverage available to us. Lenders and holders of such senior securities would have fixed dollar claims on our assets that are superior to the claims of our common stockholders. Leverage is generally considered a speculative investment technique. Any increase in our income in excess of interest payable on our outstanding indebtedness would cause our net income to increase more than it would have had we not incurred leverage, while any decrease in our income would cause net income to decline more sharply than it would have had we</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1139"/>
        <w:spacing w:after="0" w:line="264" w:lineRule="auto"/>
        <w:rPr>
          <w:sz w:val="20"/>
          <w:szCs w:val="20"/>
          <w:color w:val="auto"/>
        </w:rPr>
      </w:pPr>
      <w:r>
        <w:rPr>
          <w:rFonts w:ascii="Arial" w:cs="Arial" w:eastAsia="Arial" w:hAnsi="Arial"/>
          <w:sz w:val="18"/>
          <w:szCs w:val="18"/>
          <w:color w:val="auto"/>
        </w:rPr>
        <w:t>not incurred leverage. Such a decline could negatively affect our ability to make distributions. In addition, our common stockholders will bear the burden of any increase in our expenses as a result of leverage. There can be no assurance that our leveraging strategy will be successful.</w:t>
      </w:r>
    </w:p>
    <w:p>
      <w:pPr>
        <w:spacing w:after="0" w:line="73"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As of December 31, 2013, we had $192.6 million of indebtedness outstanding which had a weighted average interest cost of 5.08%. We may incur additional indebtedness in the future, although there can be no assurance that we will be successful in doing so.</w:t>
      </w:r>
    </w:p>
    <w:p>
      <w:pPr>
        <w:spacing w:after="0" w:line="73" w:lineRule="exact"/>
        <w:rPr>
          <w:sz w:val="20"/>
          <w:szCs w:val="20"/>
          <w:color w:val="auto"/>
        </w:rPr>
      </w:pPr>
    </w:p>
    <w:p>
      <w:pPr>
        <w:ind w:left="60" w:right="579" w:firstLine="270"/>
        <w:spacing w:after="0" w:line="264" w:lineRule="auto"/>
        <w:rPr>
          <w:sz w:val="20"/>
          <w:szCs w:val="20"/>
          <w:color w:val="auto"/>
        </w:rPr>
      </w:pPr>
      <w:r>
        <w:rPr>
          <w:rFonts w:ascii="Arial" w:cs="Arial" w:eastAsia="Arial" w:hAnsi="Arial"/>
          <w:sz w:val="18"/>
          <w:szCs w:val="18"/>
          <w:i w:val="1"/>
          <w:iCs w:val="1"/>
          <w:color w:val="auto"/>
        </w:rPr>
        <w:t xml:space="preserve">Illustration. </w:t>
      </w:r>
      <w:r>
        <w:rPr>
          <w:rFonts w:ascii="Arial" w:cs="Arial" w:eastAsia="Arial" w:hAnsi="Arial"/>
          <w:sz w:val="18"/>
          <w:szCs w:val="18"/>
          <w:color w:val="auto"/>
        </w:rPr>
        <w:t>The following table illustrates the effect of leverage on returns from an investment in our common stock assuming</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annual returns, net of expenses. The calculations in the table below are hypothetical and actual returns may be higher or lower than those appearing below.</w:t>
      </w:r>
    </w:p>
    <w:p>
      <w:pPr>
        <w:spacing w:after="0" w:line="13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Assumed Return on Our Portfolio</w:t>
      </w:r>
      <w:r>
        <w:rPr>
          <w:rFonts w:ascii="Arial" w:cs="Arial" w:eastAsia="Arial" w:hAnsi="Arial"/>
          <w:sz w:val="30"/>
          <w:szCs w:val="30"/>
          <w:b w:val="1"/>
          <w:bCs w:val="1"/>
          <w:color w:val="auto"/>
          <w:vertAlign w:val="superscript"/>
        </w:rPr>
        <w:t>(1)</w:t>
      </w:r>
    </w:p>
    <w:p>
      <w:pPr>
        <w:jc w:val="center"/>
        <w:ind w:right="519"/>
        <w:spacing w:after="0"/>
        <w:rPr>
          <w:sz w:val="20"/>
          <w:szCs w:val="20"/>
          <w:color w:val="auto"/>
        </w:rPr>
      </w:pPr>
      <w:r>
        <w:rPr>
          <w:rFonts w:ascii="Arial" w:cs="Arial" w:eastAsia="Arial" w:hAnsi="Arial"/>
          <w:sz w:val="18"/>
          <w:szCs w:val="18"/>
          <w:b w:val="1"/>
          <w:bCs w:val="1"/>
          <w:color w:val="auto"/>
        </w:rPr>
        <w:t>(net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5213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(5.0)%</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0.0%</w:t>
            </w:r>
          </w:p>
        </w:tc>
        <w:tc>
          <w:tcPr>
            <w:tcW w:w="100" w:type="dxa"/>
            <w:vAlign w:val="bottom"/>
          </w:tcPr>
          <w:p>
            <w:pPr>
              <w:spacing w:after="0"/>
              <w:rPr>
                <w:sz w:val="16"/>
                <w:szCs w:val="16"/>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6"/>
                <w:szCs w:val="16"/>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10.0%</w:t>
            </w:r>
          </w:p>
        </w:tc>
      </w:tr>
      <w:tr>
        <w:trPr>
          <w:trHeight w:val="210"/>
        </w:trPr>
        <w:tc>
          <w:tcPr>
            <w:tcW w:w="39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w w:val="99"/>
              </w:rPr>
              <w:t>Corresponding net return to common stockholder</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w:t>
            </w:r>
          </w:p>
        </w:tc>
        <w:tc>
          <w:tcPr>
            <w:tcW w:w="88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(13.1)%</w:t>
            </w:r>
          </w:p>
        </w:tc>
        <w:tc>
          <w:tcPr>
            <w:tcW w:w="86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5.3%</w:t>
            </w:r>
          </w:p>
        </w:tc>
        <w:tc>
          <w:tcPr>
            <w:tcW w:w="9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14.4%</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r>
    </w:tbl>
    <w:p>
      <w:pPr>
        <w:spacing w:after="0" w:line="256" w:lineRule="exact"/>
        <w:rPr>
          <w:sz w:val="20"/>
          <w:szCs w:val="20"/>
          <w:color w:val="auto"/>
        </w:rPr>
      </w:pPr>
    </w:p>
    <w:p>
      <w:pPr>
        <w:jc w:val="both"/>
        <w:ind w:left="300" w:right="659" w:hanging="272"/>
        <w:spacing w:after="0" w:line="264"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Assumes $459 million in total assets, $193 million in debt outstanding, $250 million in net assets, and an average cost of funds of 5.08%. Actual interest payments may be different. In order for us to cover our annual interest payments on indebtedness, we must achieve annual returns on our December 31, 2013 net assets of at least 4%.</w:t>
      </w:r>
    </w:p>
    <w:p>
      <w:pPr>
        <w:spacing w:after="0" w:line="73" w:lineRule="exact"/>
        <w:rPr>
          <w:sz w:val="20"/>
          <w:szCs w:val="20"/>
          <w:color w:val="auto"/>
        </w:rPr>
      </w:pPr>
    </w:p>
    <w:p>
      <w:pPr>
        <w:ind w:left="60" w:right="719" w:firstLine="270"/>
        <w:spacing w:after="0" w:line="276" w:lineRule="auto"/>
        <w:rPr>
          <w:sz w:val="20"/>
          <w:szCs w:val="20"/>
          <w:color w:val="auto"/>
        </w:rPr>
      </w:pPr>
      <w:r>
        <w:rPr>
          <w:rFonts w:ascii="Arial" w:cs="Arial" w:eastAsia="Arial" w:hAnsi="Arial"/>
          <w:sz w:val="17"/>
          <w:szCs w:val="17"/>
          <w:color w:val="auto"/>
        </w:rPr>
        <w:t>Our outstanding indebtedness imposes, and additional debt we may incur in the future will likely impose, financial and operating covenants that restrict our business activities, including limitations that could hinder our ability to finance additional loans and investments or to make the distributions required to maintain our status as a RIC. A failure to add new debt facilities or issue additional debt securities or other evidences of indebtedness in lieu of or in addition to existing indebtedness could have a material adverse effect on our business, financial condition or results of operations.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indebtedness could adversely affect our financial health and our ability to respond to changes in our business.</w:t>
      </w:r>
    </w:p>
    <w:p>
      <w:pPr>
        <w:spacing w:after="0" w:line="129" w:lineRule="exact"/>
        <w:rPr>
          <w:sz w:val="20"/>
          <w:szCs w:val="20"/>
          <w:color w:val="auto"/>
        </w:rPr>
      </w:pPr>
    </w:p>
    <w:p>
      <w:pPr>
        <w:ind w:left="60" w:right="579" w:firstLine="270"/>
        <w:spacing w:after="0" w:line="276" w:lineRule="auto"/>
        <w:rPr>
          <w:sz w:val="20"/>
          <w:szCs w:val="20"/>
          <w:color w:val="auto"/>
        </w:rPr>
      </w:pPr>
      <w:r>
        <w:rPr>
          <w:rFonts w:ascii="Arial" w:cs="Arial" w:eastAsia="Arial" w:hAnsi="Arial"/>
          <w:sz w:val="17"/>
          <w:szCs w:val="17"/>
          <w:color w:val="auto"/>
        </w:rPr>
        <w:t>With certain limited exceptions, we are only allowed to borrow amounts or issue senior securities such that our asset coverage, as defined in the 1940 Act, is at least 200% immediately after such borrowing or issuance. As of December 31, 2013, our asset coverage ratio was 226%. The amount of leverage that we employ in the future will depend on our management’s and our Board of Directors’ assessment of market and other factors at the time of any proposed borrowing. There is no assurance that a leveraging strategy will be successful. As a result of the level of our leverage:</w:t>
      </w:r>
    </w:p>
    <w:p>
      <w:pPr>
        <w:spacing w:after="0" w:line="64" w:lineRule="exact"/>
        <w:rPr>
          <w:sz w:val="20"/>
          <w:szCs w:val="20"/>
          <w:color w:val="auto"/>
        </w:rPr>
      </w:pPr>
    </w:p>
    <w:p>
      <w:pPr>
        <w:ind w:left="620" w:right="579" w:hanging="322"/>
        <w:spacing w:after="0" w:line="264"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exposure to risk of loss is greater if we incur debt or issue senior securities to finance investments because a decrease in the value of our investments has a greater negative impact on our equity returns and, therefore, the value of our business if we did not use leverage;</w:t>
      </w:r>
    </w:p>
    <w:p>
      <w:pPr>
        <w:spacing w:after="0" w:line="73" w:lineRule="exact"/>
        <w:rPr>
          <w:rFonts w:ascii="Arial" w:cs="Arial" w:eastAsia="Arial" w:hAnsi="Arial"/>
          <w:sz w:val="18"/>
          <w:szCs w:val="18"/>
          <w:color w:val="auto"/>
        </w:rPr>
      </w:pPr>
    </w:p>
    <w:p>
      <w:pPr>
        <w:ind w:left="620" w:right="739" w:hanging="322"/>
        <w:spacing w:after="0" w:line="302"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decrease in our asset coverage ratio resulting from increased leverage and the covenants contained in documents governing our indebtedness (which may impose asset coverage or investment portfolio composition requirements that are more stringent than those imposed by the 1940 Act) limit our flexibility in planning for, or reacting to, changes in our business and industry, as a result of which we could be required to liquidate investments at an inopportune time;</w:t>
      </w:r>
    </w:p>
    <w:p>
      <w:pPr>
        <w:spacing w:after="0" w:line="46" w:lineRule="exact"/>
        <w:rPr>
          <w:rFonts w:ascii="Arial" w:cs="Arial" w:eastAsia="Arial" w:hAnsi="Arial"/>
          <w:sz w:val="16"/>
          <w:szCs w:val="16"/>
          <w:color w:val="auto"/>
        </w:rPr>
      </w:pPr>
    </w:p>
    <w:p>
      <w:pPr>
        <w:ind w:left="620" w:right="779" w:hanging="322"/>
        <w:spacing w:after="0" w:line="277"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required to dedicate a portion of our cash flow to interest payments, limiting the availability of cash for dividends and other purposes; and</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may be impaired.</w:t>
      </w:r>
    </w:p>
    <w:p>
      <w:pPr>
        <w:spacing w:after="0" w:line="117" w:lineRule="exact"/>
        <w:rPr>
          <w:sz w:val="20"/>
          <w:szCs w:val="20"/>
          <w:color w:val="auto"/>
        </w:rPr>
      </w:pPr>
    </w:p>
    <w:p>
      <w:pPr>
        <w:jc w:val="both"/>
        <w:ind w:left="60" w:right="619" w:firstLine="270"/>
        <w:spacing w:after="0" w:line="312" w:lineRule="auto"/>
        <w:rPr>
          <w:sz w:val="20"/>
          <w:szCs w:val="20"/>
          <w:color w:val="auto"/>
        </w:rPr>
      </w:pPr>
      <w:r>
        <w:rPr>
          <w:rFonts w:ascii="Arial" w:cs="Arial" w:eastAsia="Arial" w:hAnsi="Arial"/>
          <w:sz w:val="16"/>
          <w:szCs w:val="16"/>
          <w:color w:val="auto"/>
        </w:rPr>
        <w:t>We cannot be sure that our leverage will not have a material adverse effect on us. In addition, we cannot be sure that additional financing will be available when required or, if available, will be on terms satisfactory to us. Further, even if we are able to obtain additional financing, we may be required to use some or all of the proceeds thereof to repay our outstanding indebtedness.</w:t>
      </w:r>
    </w:p>
    <w:p>
      <w:pPr>
        <w:spacing w:after="0" w:line="200" w:lineRule="exact"/>
        <w:rPr>
          <w:sz w:val="20"/>
          <w:szCs w:val="20"/>
          <w:color w:val="auto"/>
        </w:rPr>
      </w:pPr>
    </w:p>
    <w:p>
      <w:pPr>
        <w:spacing w:after="0" w:line="2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1059"/>
        <w:spacing w:after="0" w:line="308" w:lineRule="auto"/>
        <w:rPr>
          <w:sz w:val="20"/>
          <w:szCs w:val="20"/>
          <w:color w:val="auto"/>
        </w:rPr>
      </w:pPr>
      <w:r>
        <w:rPr>
          <w:rFonts w:ascii="Arial" w:cs="Arial" w:eastAsia="Arial" w:hAnsi="Arial"/>
          <w:sz w:val="17"/>
          <w:szCs w:val="17"/>
          <w:b w:val="1"/>
          <w:bCs w:val="1"/>
          <w:i w:val="1"/>
          <w:iCs w:val="1"/>
          <w:color w:val="auto"/>
        </w:rPr>
        <w:t>Economic recessions or downturns may have a material adverse effect on our business, financial condition and results of operations, and could impair the ability of our portfolio companies to repay loans.</w:t>
      </w:r>
    </w:p>
    <w:p>
      <w:pPr>
        <w:spacing w:after="0" w:line="38"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Economic recessions or downturns may result in a prolonged period of market illiquidity which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63"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In addition, to the extent that recessionary conditions return, the financial results of small and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would likely experience negative economic trends. The performances of certain of our portfolio companies have been, and may continue to be, negatively impacted by these economic or other conditions, which may ultimately result in our receipt of a reduced level of interest income from our portfolio companies and/or losses or charge offs related to our investments, and, in turn, may adversely affect distributable income. Further, adverse economic conditions may decrease the value of collateral securing some of our loans and the value of our equity investments. As a result, we may need to modify the payment terms of our investments, including changes in payment-in-kind interest provisions and/or cash interest rates. These factors may result in our receipt of a reduced level of interest income from our portfolio companies and/or losses or charge offs related to our investments, and, in turn, may adversely affect distributable income and have a material adverse effect on our results of operations.</w:t>
      </w:r>
    </w:p>
    <w:p>
      <w:pPr>
        <w:spacing w:after="0" w:line="105" w:lineRule="exact"/>
        <w:rPr>
          <w:sz w:val="20"/>
          <w:szCs w:val="20"/>
          <w:color w:val="auto"/>
        </w:rPr>
      </w:pPr>
    </w:p>
    <w:p>
      <w:pPr>
        <w:ind w:left="40" w:right="1019"/>
        <w:spacing w:after="0" w:line="277" w:lineRule="auto"/>
        <w:rPr>
          <w:sz w:val="20"/>
          <w:szCs w:val="20"/>
          <w:color w:val="auto"/>
        </w:rPr>
      </w:pPr>
      <w:r>
        <w:rPr>
          <w:rFonts w:ascii="Arial" w:cs="Arial" w:eastAsia="Arial" w:hAnsi="Arial"/>
          <w:sz w:val="18"/>
          <w:szCs w:val="18"/>
          <w:b w:val="1"/>
          <w:bCs w:val="1"/>
          <w:i w:val="1"/>
          <w:iCs w:val="1"/>
          <w:color w:val="auto"/>
        </w:rPr>
        <w:t>Further downgrades of the U.S. credit rating, impending automatic spending cuts or another government shutdown could negatively impact our liquidity, financial condition and earnings.</w:t>
      </w:r>
    </w:p>
    <w:p>
      <w:pPr>
        <w:spacing w:after="0" w:line="62"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Recent U.S. debt ceiling 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Absent further quantitative easing by the Federal Reserve, these developments could cause interest rates and borrowing costs to rise, which may negatively impact our ability to access the debt markets on favorable terms. In addition, disagreement over the federal budget has caused the U.S. federal government to shut down for periods of time. Continued adverse political and economic conditions could have a material adverse effect on our business, financial condition and results of operations.</w:t>
      </w:r>
    </w:p>
    <w:p>
      <w:pPr>
        <w:spacing w:after="0" w:line="114" w:lineRule="exact"/>
        <w:rPr>
          <w:sz w:val="20"/>
          <w:szCs w:val="20"/>
          <w:color w:val="auto"/>
        </w:rPr>
      </w:pPr>
    </w:p>
    <w:p>
      <w:pPr>
        <w:ind w:left="40" w:right="1219"/>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62"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The current worldwide financial market situation, as well as various social and political tensions in the United States and around the world, may continue to contribute to increased market volatility, may have long-term effects on the United States and worldwide financial markets, and may cause further economic uncertainties or deterioration in the United States and worldwide. Since 2010, several European Union (“EU”) countries, including Greece, Ireland, Italy, Spain, and Portugal, have faced budget issues, some of which may have negative long-term effects for the economies of those countries and other EU countries. There is continued concern about national-level support for the Euro and the accompanying coordination of fiscal and wage policy among European Economic and Monetary Union member countries. In addition, the fiscal policy of foreign nations, such as China, may have a severe impact on the worldwide and United States financial markets. We do not know how long the financial markets will continue to be affected by these events and cannot predict the effects of these or similar events in the future on the United States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Because we intend to continue to distribute substantially all of our income and net realized capital gains to our stockholders, we will need additional capital to finance our growth.</w:t>
      </w:r>
    </w:p>
    <w:p>
      <w:pPr>
        <w:spacing w:after="0" w:line="62"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In order to continue to qualify as a RIC, to avoid payment of excise taxes and to minimize or avoid payment of income taxes, we intend to continue to distribute to our stockholders substantially all of our net ordinary income and realized net capital gains except for certain net long-term capital gains (which we may retain, pay applicable income taxes with respect thereto, and elect to treat as deemed distributions to our stockholders). As a BDC, in order to incur new debt, we are generally required to meet a coverage ratio of total assets to total senior securities, which includes all of our borrowings and any preferred stock we may issue in the future, of at least 200%, as measured immediately after issuance of such security. This requirement limits the amount that we may borrow. Because we will continue to need capital to grow our loan and investment portfolio, this limitation may prevent us from incurring debt and require us to issue additional equity at a time when it may be disadvantageous to do so. We cannot assure you that debt and equity financing will be available to us on favorable terms, or at all, and debt financings may be restricted by the terms of such borrowings. If additional funds are not available to us, we could be forced to curtail or cease new lending and investment activities.</w:t>
      </w:r>
    </w:p>
    <w:p>
      <w:pPr>
        <w:spacing w:after="0" w:line="115"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We may from time to time expand our business through acquisitions, which could disrupt our business and harm our financial condition.</w:t>
      </w:r>
    </w:p>
    <w:p>
      <w:pPr>
        <w:spacing w:after="0" w:line="62"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We may pursue potential acquisitions of, and investments in, businesses complementary to our business and from time to time engage in discussions regarding such possible acquisitions. For example, in February 2012, we completed the acquisition of Trimaran Advisors. Such acquisition and any other acquisitions we may undertake involve a number of risks, including:</w:t>
      </w:r>
    </w:p>
    <w:p>
      <w:pPr>
        <w:spacing w:after="0" w:line="39" w:lineRule="exact"/>
        <w:rPr>
          <w:sz w:val="20"/>
          <w:szCs w:val="20"/>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the acquired businesses to achieve the results we expect;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capital and management attention from operational matters;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businesses;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incurrence of debt and contingent liabilities and risks associated with unanticipated events or liabilities; and</w:t>
      </w:r>
    </w:p>
    <w:p>
      <w:pPr>
        <w:spacing w:after="0" w:line="117" w:lineRule="exact"/>
        <w:rPr>
          <w:rFonts w:ascii="Arial" w:cs="Arial" w:eastAsia="Arial" w:hAnsi="Arial"/>
          <w:sz w:val="18"/>
          <w:szCs w:val="18"/>
          <w:color w:val="auto"/>
        </w:rPr>
      </w:pPr>
    </w:p>
    <w:p>
      <w:pPr>
        <w:ind w:left="600" w:right="879" w:hanging="32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disruption and strain on our existing business and resources that could result from our planned growth and continuing integration of our acquisitions.</w:t>
      </w:r>
    </w:p>
    <w:p>
      <w:pPr>
        <w:spacing w:after="0" w:line="62"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If we fail to properly evaluate acquisitions or investments, we may not achieve the anticipated benefits of such acquisitions, we may incur costs in excess of what we anticipate, and management resources and attention may be diverted from other necessary or valuable activities. Any acquisition, including the Trimaran Advisors acquisition, may not result in short-term or long-term benefits to us. If we are unable to integrate or successfully manage any business that we acquire, we may not realize anticipated cost savings, improved efficiencies or revenue growth, which may result in reduced profitability or operating losses.</w:t>
      </w:r>
    </w:p>
    <w:p>
      <w:pPr>
        <w:spacing w:after="0" w:line="91" w:lineRule="exact"/>
        <w:rPr>
          <w:sz w:val="20"/>
          <w:szCs w:val="20"/>
          <w:color w:val="auto"/>
        </w:rPr>
      </w:pPr>
    </w:p>
    <w:p>
      <w:pPr>
        <w:ind w:left="40" w:right="1319"/>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w:t>
      </w:r>
    </w:p>
    <w:p>
      <w:pPr>
        <w:spacing w:after="0" w:line="62"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However, absent stockholder approval, we may not change the nature of our business so as to cease to be, or withdraw our election as, a BDC. We cannot predict the effect any changes to our current operating policies and strategies would have on our business and operating results. Nevertheless, the effects may adversely affect our business and they could negatively impact our ability to pay you dividends and could cause you to lose all or part of your investment in our securities.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As a BDC under the 1940 Act, we are generally not permitted to incur indebtedness unless immediately after such borrowing we have an asset coverage for total borrowings of at least 200% (i.e., the amount of debt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39"/>
        <w:spacing w:after="0" w:line="259" w:lineRule="auto"/>
        <w:rPr>
          <w:sz w:val="20"/>
          <w:szCs w:val="20"/>
          <w:color w:val="auto"/>
        </w:rPr>
      </w:pPr>
      <w:r>
        <w:rPr>
          <w:rFonts w:ascii="Arial" w:cs="Arial" w:eastAsia="Arial" w:hAnsi="Arial"/>
          <w:sz w:val="18"/>
          <w:szCs w:val="18"/>
          <w:color w:val="auto"/>
        </w:rPr>
        <w:t>may not exceed 50% of the value of our assets). Recent legislation, if passed by Congress, would modify this section of the 1940 Act and increase the amount of debt that business development companies may incur by modifying the percentage from 200% to 150%. As a result, we may be able to incur additional indebtedness in the future and therefore your risk of an investment in our securities may increase.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businesses may be adversely affected by litigation and regulatory proceedings.</w:t>
      </w:r>
    </w:p>
    <w:p>
      <w:pPr>
        <w:spacing w:after="0" w:line="117" w:lineRule="exact"/>
        <w:rPr>
          <w:sz w:val="20"/>
          <w:szCs w:val="20"/>
          <w:color w:val="auto"/>
        </w:rPr>
      </w:pPr>
    </w:p>
    <w:p>
      <w:pPr>
        <w:ind w:left="40" w:right="559" w:firstLine="270"/>
        <w:spacing w:after="0" w:line="291" w:lineRule="auto"/>
        <w:rPr>
          <w:sz w:val="20"/>
          <w:szCs w:val="20"/>
          <w:color w:val="auto"/>
        </w:rPr>
      </w:pPr>
      <w:r>
        <w:rPr>
          <w:rFonts w:ascii="Arial" w:cs="Arial" w:eastAsia="Arial" w:hAnsi="Arial"/>
          <w:sz w:val="16"/>
          <w:szCs w:val="16"/>
          <w:color w:val="auto"/>
        </w:rPr>
        <w:t>From time to time, we may be subject to legal actions as well as various regulatory, governmental and law enforcement inquiries, investigations and subpoenas. In any such claims or actions, demands for substantial monetary damages may be asserted against us and may result in financial liability or an adverse effect on our reputation among investors. We may be unable to accurately estimate our exposure to litigation risk when we record balance sheet reserves for probable loss contingencies. As a result, any reserves we establish to cover any settlements or judgments may not be sufficient to cover our actual financial exposure, which may have a material impact on our results of operations or financial condition. In regulatory enforcement matters, claims for disgorgement, the imposition of penalties and the imposition of other remedial sanctions are possible.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Regulations governing our operation as a BDC affect our ability to, and the way in which we, raise additional capital.</w:t>
      </w:r>
    </w:p>
    <w:p>
      <w:pPr>
        <w:spacing w:after="0" w:line="129"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Our business requires a substantial amount of additional capital. We may acquire additional capital from the issuance of senior securities or other indebtedness, the issuance of additional shares of our common stock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immediately after such issuance or incurrence. With respect to certain types of senior securities, we must make provisions to prohibit any dividend distribution to our stockholders or the repurchase of certain of our securities, unless we meet the applicable asset coverage ratios at the time of the dividend distribution or repurchase. If the value of our assets declines, we may be unable to satisfy the asset coverage test. Furthermore, any amounts that we use to service our indebtedness would not be available for distributions to our common stockholders.</w:t>
      </w:r>
    </w:p>
    <w:p>
      <w:pPr>
        <w:spacing w:after="0" w:line="75"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All of the costs of offering and servicing such debt or preferred stock (if issued by us in the future), including interest or preferential dividend payments thereon, will be borne by our common stockholders. The interests of the holders of any debt or preferred stock we may issue will not necessarily be aligned with the interests of our common stockholders. In particular, the rights of holders of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74"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We are not generally able to issue and sell our common stock at a price below net asset value per share. We may, however, sell our common stock at a price below the then-current net asset value of our common stock if our board of directors determines that such sale is in the best interests of KCAP Financial and its stockholders, and our stockholders approve such sale, which they did in 2013.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 In addition to issuing securities to raise capital as described above; we may securitize a portion of the loans generate cash for funding new investments. If we are unable to successfully securitize our loan portfolio our ability to grow our business and fully execute our business strategy and our earnings (if any) may be adversely affected. Moreover, even</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77" w:lineRule="auto"/>
        <w:rPr>
          <w:sz w:val="20"/>
          <w:szCs w:val="20"/>
          <w:color w:val="auto"/>
        </w:rPr>
      </w:pPr>
      <w:r>
        <w:rPr>
          <w:rFonts w:ascii="Arial" w:cs="Arial" w:eastAsia="Arial" w:hAnsi="Arial"/>
          <w:sz w:val="18"/>
          <w:szCs w:val="18"/>
          <w:color w:val="auto"/>
        </w:rPr>
        <w:t>successful securitization of our loan portfolio might expose us to losses, as the residual loans in which we do not sell interests tend to be those that are riskier and more apt to generate losses.</w:t>
      </w:r>
    </w:p>
    <w:p>
      <w:pPr>
        <w:spacing w:after="0" w:line="89" w:lineRule="exact"/>
        <w:rPr>
          <w:sz w:val="20"/>
          <w:szCs w:val="20"/>
          <w:color w:val="auto"/>
        </w:rPr>
      </w:pPr>
    </w:p>
    <w:p>
      <w:pPr>
        <w:ind w:left="40" w:right="639"/>
        <w:spacing w:after="0" w:line="264" w:lineRule="auto"/>
        <w:rPr>
          <w:sz w:val="20"/>
          <w:szCs w:val="20"/>
          <w:color w:val="auto"/>
        </w:rPr>
      </w:pPr>
      <w:r>
        <w:rPr>
          <w:rFonts w:ascii="Arial" w:cs="Arial" w:eastAsia="Arial" w:hAnsi="Arial"/>
          <w:sz w:val="18"/>
          <w:szCs w:val="18"/>
          <w:b w:val="1"/>
          <w:bCs w:val="1"/>
          <w:i w:val="1"/>
          <w:iCs w:val="1"/>
          <w:color w:val="auto"/>
        </w:rPr>
        <w:t>Changes in the laws or regulations governing our business and the business of our Asset Manager Affiliates, or changes in the interpretations thereof, and any failure by us or our Asset Manager Affiliates to comply with these laws or regulations, could negatively affect the profitability of our operations.</w:t>
      </w:r>
    </w:p>
    <w:p>
      <w:pPr>
        <w:spacing w:after="0" w:line="73" w:lineRule="exact"/>
        <w:rPr>
          <w:sz w:val="20"/>
          <w:szCs w:val="20"/>
          <w:color w:val="auto"/>
        </w:rPr>
      </w:pPr>
    </w:p>
    <w:p>
      <w:pPr>
        <w:ind w:left="40" w:right="579" w:firstLine="270"/>
        <w:spacing w:after="0" w:line="253" w:lineRule="auto"/>
        <w:rPr>
          <w:sz w:val="20"/>
          <w:szCs w:val="20"/>
          <w:color w:val="auto"/>
        </w:rPr>
      </w:pPr>
      <w:r>
        <w:rPr>
          <w:rFonts w:ascii="Arial" w:cs="Arial" w:eastAsia="Arial" w:hAnsi="Arial"/>
          <w:sz w:val="18"/>
          <w:szCs w:val="18"/>
          <w:color w:val="auto"/>
        </w:rPr>
        <w:t>Changes in the laws or regulations or the interpretations of the laws and regulations that govern BDCs, registered investment advisers (such as our Asset Manager Affiliates), RICs or non-depository commercial lenders could significantly affect our operations and our cost of doing business. We are subject to federal, state and local laws and regulations as well as the rules of the stock exchange on which our securities are listed, and are subject to judicial and administrative decisions that affect our operations, including our loan originations, maximum interest rates, fees and other charges, disclosures to portfolio companies, the terms of secured transactions, collection and foreclosure procedures and other trade practices. These entities, including the Public Company Accounting Oversight Board, the SEC and the NASDAQ Global Select Market, have issued a significant number of new and increasingly complex requirements and regulations over the course of the last several years and continue to develop additional regulations.</w:t>
      </w:r>
    </w:p>
    <w:p>
      <w:pPr>
        <w:spacing w:after="0" w:line="89"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In addition, as registered investment advisers, the Asset Manager Affiliates are subject to new and existing regulations, regulatory risks, costs and expenses associated with operating as registered investment advisers that may limit their ability to operate, structure or expand their businesses in the future. If these laws, regulations or decisions change, or if we expand our business into jurisdictions that have adopted more stringent requirements than those in which we currently conduct business, we may have to incur significant expenses in order to comply or we might have to restrict our operations. In addition, if we do not comply with applicable laws, regulations and decisions, we may lose licenses needed for the conduct of our business and be subject to civil fines and criminal penalties, any of which could have a material adverse effect upon our business, results of operations or financial condition.</w:t>
      </w:r>
    </w:p>
    <w:p>
      <w:pPr>
        <w:spacing w:after="0" w:line="84"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Moreover, the Dodd-Frank Wall Street Reform and Consumer Protection Act (the “Dodd-Frank Act”) has increased and will continue to significantly increase the regulation of the financial services industry. The Dodd-Frank Act contains a broad set of provisions designed to govern the practices and oversight of financial institutions and other participants in the financial markets. One such provision, Section 619 of the Dodd-Frank Act, commonly referred to as the Volcker Rule, contains certain prohibitions and restrictions on the ability of a “banking entity”— which includes insured depository institutions, bank holding companies, foreign banking entities regulated by the Federal Reserve Board and their respective affiliates — and nonbank financial company supervised by the Federal Reserve to engage in proprietary trading and have certain interests in, or relationships with certain private funds (“covered funds”). Under the final regulations implementing the Volcker Rule, which were adopted in December 2013, many CLOs will be covered funds if they invest, or are permitted to invest, in assets other than loans, certain cash equivalents and interest rate or currency hedges. As a result, many banking entities, including many U.S. and non-U.S. broker-dealers with affiliated banks, may be unable to invest in, or in some cases to make a market in, the securities of CLOs in which we have invested, which may reduce liquidity in these securities and have a material adverse effect on their valuation. Moreover, the Volcker Rule regulations may affect the market for CLOs such that our Asset Manager Affiliates may be unable to establish, or to obtain warehouse funding for, new CLOs that would be covered funds. If our Asset Manager Affiliates establish CLOs that are structured not to be covered funds and thus do not permit investments in customary assets such as corporate bonds, asset-backed securities or synthetic investments, and we invest in such CLOs, the ability of our Asset Manager Affiliates to manage such CLOs will be constrained by those limitations, which could materially adversely affect any investments we make in such CLOs.</w:t>
      </w:r>
    </w:p>
    <w:p>
      <w:pPr>
        <w:spacing w:after="0" w:line="6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On August 28, 2013, the SEC, the FDIC, the Federal Reserve and certain other prudential banking regulators re-proposed regulations that would mandate risk retention for securitizations, including CLOs. Under the re-proposed rules, our Asset Manager Affiliates may be required to hold interests equal to 5% of the fair value of any CLO they sponsor (unless the CLO invests only in certain qualifying loans) and would be prohibited from selling or hedging those interests in accordance with the limitations on such sales or hedges set forth in the final rule. If the risk retention rules are adopted as re-proposed, our Asset Manager Affiliates would need to have the requisite capital to hold such interests as a condition to their ability to sponsor new CLOs, and the restrictions on hedging such interests may create greater risk with respect to those interests.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99"/>
        <w:spacing w:after="0" w:line="308" w:lineRule="auto"/>
        <w:rPr>
          <w:sz w:val="20"/>
          <w:szCs w:val="20"/>
          <w:color w:val="auto"/>
        </w:rPr>
      </w:pPr>
      <w:r>
        <w:rPr>
          <w:rFonts w:ascii="Arial" w:cs="Arial" w:eastAsia="Arial" w:hAnsi="Arial"/>
          <w:sz w:val="17"/>
          <w:szCs w:val="17"/>
          <w:color w:val="auto"/>
        </w:rPr>
        <w:t>Our Asset Manager Affiliates’ investments in such CLOs, or their inability to invest in such CLOs (and thus inability to sponsor them) could each have a material adverse effect upon our business, results of operations or financial condition.</w:t>
      </w:r>
    </w:p>
    <w:p>
      <w:pPr>
        <w:spacing w:after="0" w:line="38"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In April 2010, the SEC proposed revised rules for asset-backed securities offerings (“Regulation AB II”) that, if adopted, would substantially change the disclosure, reporting and offering process for public and private offerings of asset-backed securities, including CLOs. The proposed rules, if adopted, would require significant additional disclosures and would alter the safe-harbor standards for the private placement of asset-backed securities to impose informational requirements similar to those that would apply to registered public offerings of such securities. The application of such informational requirements to CLOs, which have not historically been publically registered, is unclear. The SEC announced that it would vote on the Regulation AB II final rules at an open meeting in February, and then rescinded that notice and reopened the rules for comment on a narrow point relating to privacy concerns around consumer data. The timing of the adoption of final rules, their application to privately offered securities in general and to CLOs in particular, the cost of compliance with such rules, and whether compliance would compromise proprietary methods or strategies of our Asset Manager Affiliates, is currently unclear.</w:t>
      </w:r>
    </w:p>
    <w:p>
      <w:pPr>
        <w:spacing w:after="0" w:line="70" w:lineRule="exact"/>
        <w:rPr>
          <w:sz w:val="20"/>
          <w:szCs w:val="20"/>
          <w:color w:val="auto"/>
        </w:rPr>
      </w:pPr>
    </w:p>
    <w:p>
      <w:pPr>
        <w:ind w:left="40" w:right="819" w:firstLine="270"/>
        <w:spacing w:after="0" w:line="272" w:lineRule="auto"/>
        <w:rPr>
          <w:sz w:val="20"/>
          <w:szCs w:val="20"/>
          <w:color w:val="auto"/>
        </w:rPr>
      </w:pPr>
      <w:r>
        <w:rPr>
          <w:rFonts w:ascii="Arial" w:cs="Arial" w:eastAsia="Arial" w:hAnsi="Arial"/>
          <w:sz w:val="17"/>
          <w:szCs w:val="17"/>
          <w:color w:val="auto"/>
        </w:rPr>
        <w:t>Other financial reform regulations, including regulations requiring clearing and margining of swap transactions, which may affect our ability to enter into hedging transactions; changes in the definition and regulation of commodity pool operators and commodity trading advisors, which could subject our Asset Manager Affiliates to additional regulations; new leveraged lending guidance that may affect the ways in which banking institutions originate the loans in which we and our affiliates invest; heightened regulatory capital requirements for banks that may affect our ability to borrow on reasonable terms; and non-US regulations of financial market participants that may overlap, expand upon or be inconsistent with US regulations may all have material adverse effects on our business.</w:t>
      </w:r>
    </w:p>
    <w:p>
      <w:pPr>
        <w:spacing w:after="0" w:line="97"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If we do not invest a sufficient portion of our assets in Qualifying Assets, we could be precluded from investing according to our current business strategy.</w:t>
      </w:r>
    </w:p>
    <w:p>
      <w:pPr>
        <w:spacing w:after="0" w:line="62" w:lineRule="exact"/>
        <w:rPr>
          <w:sz w:val="20"/>
          <w:szCs w:val="20"/>
          <w:color w:val="auto"/>
        </w:rPr>
      </w:pPr>
    </w:p>
    <w:p>
      <w:pPr>
        <w:ind w:left="40" w:right="599" w:firstLine="270"/>
        <w:spacing w:after="0" w:line="342" w:lineRule="auto"/>
        <w:rPr>
          <w:sz w:val="20"/>
          <w:szCs w:val="20"/>
          <w:color w:val="auto"/>
        </w:rPr>
      </w:pPr>
      <w:r>
        <w:rPr>
          <w:rFonts w:ascii="Arial" w:cs="Arial" w:eastAsia="Arial" w:hAnsi="Arial"/>
          <w:sz w:val="16"/>
          <w:szCs w:val="16"/>
          <w:color w:val="auto"/>
        </w:rPr>
        <w:t>As a BDC, we may not acquire any assets other than Qualifying Assets for purposes of the 1940 Act unless, at the time of and after giving effect to such acquisition, at least 70% of our total assets are Qualifying Assets. See “Item 1: Business — Regulation”.</w:t>
      </w:r>
    </w:p>
    <w:p>
      <w:pPr>
        <w:spacing w:after="0" w:line="16"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We believe that most of the senior loans and mezzanine investments that we acquire constitute “Qualifying Assets.” However, investments in the securities of CLO Funds generally do not constitute “Qualifying Assets,” and we may invest in other assets that are not “Qualifying Assets.” If we do not invest a sufficient portion of our assets in “Qualifying Assets,” we may be precluded from investing in what we believe are attractive investments, which would have a material adverse effect on our business, financial condition and results of operations. These restrictions could also prevent us from making investments in the equity securities of CLO Funds, which could limit our Asset Manager Affiliates’ ability to organize new CLO Funds. Similarly, these rules could prevent us from making follow-on investments in existing portfolio companies (which could result in the dilution of our position).</w:t>
      </w:r>
    </w:p>
    <w:p>
      <w:pPr>
        <w:spacing w:after="0" w:line="59"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In addition, we have received certain exemptive relief from the SEC relating to our status as a BDC and our ability to own securities issued by or any other interest in the business of a person who is a registered investment adviser. The conditions of such exemptive relief may limit our ability or the ability of our Asset Manager Affiliates, each a registered investment adviser, to operate, structure or expand their businesses in the future.</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taxes if we are unable to qualify as a RIC under Subchapter M of the Code.</w:t>
      </w:r>
    </w:p>
    <w:p>
      <w:pPr>
        <w:spacing w:after="0" w:line="62" w:lineRule="exact"/>
        <w:rPr>
          <w:sz w:val="20"/>
          <w:szCs w:val="20"/>
          <w:color w:val="auto"/>
        </w:rPr>
      </w:pPr>
    </w:p>
    <w:p>
      <w:pPr>
        <w:ind w:left="40" w:right="1079" w:firstLine="270"/>
        <w:spacing w:after="0" w:line="277" w:lineRule="auto"/>
        <w:rPr>
          <w:sz w:val="20"/>
          <w:szCs w:val="20"/>
          <w:color w:val="auto"/>
        </w:rPr>
      </w:pPr>
      <w:r>
        <w:rPr>
          <w:rFonts w:ascii="Arial" w:cs="Arial" w:eastAsia="Arial" w:hAnsi="Arial"/>
          <w:sz w:val="18"/>
          <w:szCs w:val="18"/>
          <w:color w:val="auto"/>
        </w:rPr>
        <w:t>To maintain RIC tax treatment under the Code, we must meet the following annual distribution, income source and asset diversification requirements:</w:t>
      </w:r>
    </w:p>
    <w:p>
      <w:pPr>
        <w:spacing w:after="0" w:line="62" w:lineRule="exact"/>
        <w:rPr>
          <w:sz w:val="20"/>
          <w:szCs w:val="20"/>
          <w:color w:val="auto"/>
        </w:rPr>
      </w:pPr>
    </w:p>
    <w:p>
      <w:pPr>
        <w:ind w:left="600" w:right="519" w:hanging="322"/>
        <w:spacing w:after="0" w:line="255"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annual distribution requirement for a RIC will be satisfied if we distribute to our stockholders on an annual basis at least 90% of our net ordinary income and realized net short-term capital gains in excess of realized net long-term capital losses, if any. Because we use debt financing, we are subject to certain asset coverage ratio requirements under the 1940 Act and are (and may in the future become) subject to certain financial covenants under loan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U.S. federal income taxes.</w:t>
      </w:r>
    </w:p>
    <w:p>
      <w:pPr>
        <w:spacing w:after="0" w:line="81" w:lineRule="exact"/>
        <w:rPr>
          <w:rFonts w:ascii="Arial" w:cs="Arial" w:eastAsia="Arial" w:hAnsi="Arial"/>
          <w:sz w:val="18"/>
          <w:szCs w:val="18"/>
          <w:color w:val="auto"/>
        </w:rPr>
      </w:pPr>
    </w:p>
    <w:p>
      <w:pPr>
        <w:ind w:left="600" w:right="959" w:hanging="32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source income requirement will be satisfied if we obtain at least 90% of our income for each year from dividends, interest, gains from the sale of stock or securities or similar sources.</w:t>
      </w:r>
    </w:p>
    <w:p>
      <w:pPr>
        <w:spacing w:after="0" w:line="62" w:lineRule="exact"/>
        <w:rPr>
          <w:rFonts w:ascii="Arial" w:cs="Arial" w:eastAsia="Arial" w:hAnsi="Arial"/>
          <w:sz w:val="18"/>
          <w:szCs w:val="18"/>
          <w:color w:val="auto"/>
        </w:rPr>
      </w:pPr>
    </w:p>
    <w:p>
      <w:pPr>
        <w:ind w:left="600" w:right="539" w:hanging="322"/>
        <w:spacing w:after="0" w:line="270"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If we do not satisfy the diversification requirements as of the end of any quarter, we will not lose our status as RIC provided that (i) we satisfied the requirements in a prior quarter and (ii) our failure to satisfy the requirements in the current quarter is not due in whole or in part to an acquisition of any security or other property.</w:t>
      </w:r>
    </w:p>
    <w:p>
      <w:pPr>
        <w:spacing w:after="0" w:line="74"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color w:val="auto"/>
        </w:rPr>
        <w:t>Failure to meet these requirements may result in our having to dispose of certain investments quickly in order to prevent the loss of RIC status. Because most of our investments will be in private companies, and therefore will be illiquid, any such dispositions could be made at disadvantageous prices and could result in substantial losses. Moreover, if we fail to maintain RIC tax treatment for any reason and are subject to corporate-level U.S. federal income taxes, the resulting taxes could substantially reduce our net assets, the amount of income available for distribution and the amount of our distributions. Such a failure would have a material adverse effect on us and on our stockholders.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subject to risks associated with our debt securitization financing transaction.</w:t>
      </w:r>
    </w:p>
    <w:p>
      <w:pPr>
        <w:spacing w:after="0" w:line="117"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a result of this debt securitization financing transaction, we are subject to a variety of risks, including those set forth below:</w:t>
      </w:r>
    </w:p>
    <w:p>
      <w:pPr>
        <w:spacing w:after="0" w:line="181"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b w:val="1"/>
          <w:bCs w:val="1"/>
          <w:i w:val="1"/>
          <w:iCs w:val="1"/>
          <w:color w:val="auto"/>
        </w:rPr>
        <w:t>We are subject to certain risks as a result of our indirect interests in the subordinated notes and membership interests of KCAP Senior Funding I, LLC.</w:t>
      </w:r>
    </w:p>
    <w:p>
      <w:pPr>
        <w:spacing w:after="0" w:line="62"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Under the terms of the master loan sale agreement governing the debt securitization financing transaction, (1) we sold and/or contributed to KCAP Senior Funding I Holdings, LLC (“Holdings”) all of our ownership interest in our portfolio loans and participations for the purchase price and other consideration set forth in the master loan sale agreement and (2) Holdings, in turn, sold and/or contributed to KCAP Senior Funding I, LLC (the “Issuer”) all of its ownership interest in such portfolio loans and participations for the purchase price and the consideration set forth in the master loan sale agreement. Following these transfers, the Issuer, and not Holdings or us, held all of the ownership interest in such portfolio loans and participations. As a result of the debt securitization financing transaction, we hold indirectly through Holdings all of the subordinated notes and membership interests of the Issuer. As a result, we consolidate the financial statements of Holdings and the</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57" w:lineRule="auto"/>
        <w:rPr>
          <w:sz w:val="20"/>
          <w:szCs w:val="20"/>
          <w:color w:val="auto"/>
        </w:rPr>
      </w:pPr>
      <w:r>
        <w:rPr>
          <w:rFonts w:ascii="Arial" w:cs="Arial" w:eastAsia="Arial" w:hAnsi="Arial"/>
          <w:sz w:val="18"/>
          <w:szCs w:val="18"/>
          <w:color w:val="auto"/>
        </w:rPr>
        <w:t>Issuer in our consolidated financial statements. Because Holdings and the Issuer are disregarded as entities separate from its owner for U.S. federal income tax purposes, each of the sale or contribution of portfolio loans by us to Holdings, and the sale of portfolio loans by Holdings to the Issuer, did not constitute a taxable event for U.S. federal income tax purposes. If the U.S. Internal Revenue Service were to take a contrary position, there could be a material adverse effect on our business, financial condition, results of operations or cash flows.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subordinated notes and membership interests of the Issuer are subordinated obligations of the Issuer.</w:t>
      </w:r>
    </w:p>
    <w:p>
      <w:pPr>
        <w:spacing w:after="0" w:line="117"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The subordinated notes of the Issuer are the junior class of notes issued by the Issuer, are subordinated in priority of payment to the secured notes issued by the Issuer and are subject to certain payment restrictions set forth in the indenture governing the notes of the Issuer. Therefore, Holdings only receives cash distributions on the subordinated notes if the Issuer has made all cash interest payments on the secured notes it has issued, and we only receive cash distributions in respect of our indirect ownership of the Issuer to the extent that Holdings receives any cash distributions in respect of its direct ownership of the Issuer. The subordinated notes of the Issuer are also unsecured and rank behind all of the secured creditors, known or unknown, of the Issuer, including the holders of the secured notes it has issued. Consequently, to the extent that the value of either the Issuer’s portfolio of loan investments has been reduced as a result of conditions in the credit markets, or as a result of defaulted loans or individual fund assets, the value of the subordinated notes of such securitization issuer at their redemption could be reduced. Accordingly, our investment in the Issuer may be subject to complete loss.</w:t>
      </w:r>
    </w:p>
    <w:p>
      <w:pPr>
        <w:spacing w:after="0" w:line="70"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The membership interests in the Issuer represent all of the residual economic interest in the Issuer. As such, the holder of the membership interests of the Issuer is the residual claimant on distributions, if any, made by the Issuer after holders of all classes of notes issued by the Issuer have been paid in full on each payment date or upon maturity of such notes under the debt securitization financing transaction documents.</w:t>
      </w:r>
    </w:p>
    <w:p>
      <w:pPr>
        <w:spacing w:after="0" w:line="79" w:lineRule="exact"/>
        <w:rPr>
          <w:sz w:val="20"/>
          <w:szCs w:val="20"/>
          <w:color w:val="auto"/>
        </w:rPr>
      </w:pPr>
    </w:p>
    <w:p>
      <w:pPr>
        <w:ind w:left="40" w:right="579" w:firstLine="270"/>
        <w:spacing w:after="0" w:line="269" w:lineRule="auto"/>
        <w:rPr>
          <w:sz w:val="20"/>
          <w:szCs w:val="20"/>
          <w:color w:val="auto"/>
        </w:rPr>
      </w:pPr>
      <w:r>
        <w:rPr>
          <w:rFonts w:ascii="Arial" w:cs="Arial" w:eastAsia="Arial" w:hAnsi="Arial"/>
          <w:sz w:val="17"/>
          <w:szCs w:val="17"/>
          <w:color w:val="auto"/>
        </w:rPr>
        <w:t>If an event of default has occurred and acceleration occurs in accordance with the terms of the indenture governing the notes of the Issuer, the secured notes of the Issuer then outstanding will be paid in full before any further payment or distribution on the subordinated notes of the Issuer. In addition, if an event of default occurs, holders of a majority of the most senior class of secured notes then outstanding will be entitled to determine the remedies to be exercised under the indenture, subject to the terms of the indenture. For example, upon the occurrence of an event of default with respect to the notes issued by the Issuer, the trustee or holders of a majority of the most senior class of secured notes of the Issuer then outstanding may declare the principal, together with any accrued interest, of all the notes of such class and any junior classes to be immediately due and payable. This would have the effect of accelerating the principal on such notes, triggering a repayment obligation on the part of the Issuer. If at such time the portfolio loans of the Issuer were not performing well, the Issuer may not have sufficient proceeds available to enable the trustee under the indenture to repay the obligations of holders of the subordinated notes of the Securitization Issuer, or to pay a dividend to holders of the membership interests of the Issuer.</w:t>
      </w:r>
    </w:p>
    <w:p>
      <w:pPr>
        <w:spacing w:after="0" w:line="75"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Remedies pursued by the holders of the secured notes of the Issuer could be adverse to the interests of the holders of the subordinated notes of the Issuer, and the holders of such secured notes will have no obligation to consider any possible adverse effect on such other interests. Thus, any remedies pursued by the holders of the secured notes of the Issuer may not be in our best interests and we may not receive payments or distributions upon an acceleration of the secured notes. Any failure of the Issuer to make distributions on the subordinated notes we hold, directly or indirectly, whether as a result of an event of default or otherwise, could have a material adverse effect on our business, financial condition, results of operations and cash flows and may result in an inability of us to make distributions sufficient to allow our qualification as a RIC.</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Issuer may fail to meet certain coverage tests.</w:t>
      </w:r>
    </w:p>
    <w:p>
      <w:pPr>
        <w:spacing w:after="0" w:line="117"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Under the documents governing the debt securitization financing transaction, there are two coverage tests applicable to the secured notes. The first such test compares the amount of interest received on the portfolio loans held by the Issuer to the amount of interest payable in respect of the secured notes of the Issuer. To meet this test at any time, interest received on the portfolio loans must equal at least 127% to 150% (based upon a graduated scale for the most senior class of secured notes then outstanding as provided for in the</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87" w:lineRule="auto"/>
        <w:rPr>
          <w:sz w:val="20"/>
          <w:szCs w:val="20"/>
          <w:color w:val="auto"/>
        </w:rPr>
      </w:pPr>
      <w:r>
        <w:rPr>
          <w:rFonts w:ascii="Arial" w:cs="Arial" w:eastAsia="Arial" w:hAnsi="Arial"/>
          <w:sz w:val="16"/>
          <w:szCs w:val="16"/>
          <w:color w:val="auto"/>
        </w:rPr>
        <w:t>indenture) of the interest payable in respect of the secured notes of the Issuer. The second such test compares the principal amount of the portfolio loans held by the Issuer to the aggregate outstanding principal amount of the secured notes of the Issuer. To meet this test at any time, the aggregate principal amount of the portfolio loans held by the Issuer must equal at least 124% to 147% (based upon a graduated scale for the most senior class of secured notes then outstanding as provided for in the indenture) of the outstanding principal amount of the secured notes of the Issuer. If either coverage test is not satisfied, interest and principal received by the Issuer are diverted on the following payment date to pay the most senior class or classes of secured notes to the extent necessary to cause all coverage tests to be satisfied on a pro forma basis after giving effect to all payments made in respect of the notes, which, with respect to the payment of any principal amount of the secured notes, we refer to as a mandatory redemption. If any coverage test with respect to the secured notes is not met, proceeds from the portfolio of loan investments that otherwise would have been distributed to the Issuer and the holders of its subordinated notes will instead be used to redeem first the secured notes of the Issuer, to the extent necessary to satisfy the applicable coverage tests.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not receive cash on our equity interests in the Issuer.</w:t>
      </w:r>
    </w:p>
    <w:p>
      <w:pPr>
        <w:spacing w:after="0" w:line="117" w:lineRule="exact"/>
        <w:rPr>
          <w:sz w:val="20"/>
          <w:szCs w:val="20"/>
          <w:color w:val="auto"/>
        </w:rPr>
      </w:pPr>
    </w:p>
    <w:p>
      <w:pPr>
        <w:ind w:left="40" w:right="559" w:firstLine="270"/>
        <w:spacing w:after="0" w:line="269" w:lineRule="auto"/>
        <w:rPr>
          <w:sz w:val="20"/>
          <w:szCs w:val="20"/>
          <w:color w:val="auto"/>
        </w:rPr>
      </w:pPr>
      <w:r>
        <w:rPr>
          <w:rFonts w:ascii="Arial" w:cs="Arial" w:eastAsia="Arial" w:hAnsi="Arial"/>
          <w:sz w:val="17"/>
          <w:szCs w:val="17"/>
          <w:color w:val="auto"/>
        </w:rPr>
        <w:t>We receive cash from the Issuer only to the extent that we or Holdings, as applicable, receives payments on the subordinated notes or membership interests of the Issuer. The Issuer may only make payments on such securities to the extent permitted by the payment priority provisions of the indenture governing the notes, which generally provides that principal payments on the subordinated notes may not be made on any payment date unless all amounts owing under the secured notes issued under such indenture are paid in full. In addition, if the Issuer does not meet the coverage tests set forth in the documents governing the debt securitization financing transaction, cash would be diverted from the subordinated notes of the Issuer to first pay the secured notes of the Issuer in amounts sufficient to cause such tests to be satisfied. In the event that we fail to directly or indirectly receive cash from the Issuer, we could be unable to make distributions in amounts sufficient to maintain our status as a RIC, or at all. We also could be forced to sell investments in portfolio companies at less than their fair value in order to continue making such distributions. However, the indenture places significant restrictions on the Issuer’s ability to sell investments. As a result, there may be times or circumstances during which the Issuer is unable to sell investments or take other actions that might be in our best interests.</w:t>
      </w:r>
    </w:p>
    <w:p>
      <w:pPr>
        <w:spacing w:after="0" w:line="112" w:lineRule="exact"/>
        <w:rPr>
          <w:sz w:val="20"/>
          <w:szCs w:val="20"/>
          <w:color w:val="auto"/>
        </w:rPr>
      </w:pPr>
    </w:p>
    <w:p>
      <w:pPr>
        <w:ind w:left="40" w:right="699"/>
        <w:spacing w:after="0" w:line="286" w:lineRule="auto"/>
        <w:rPr>
          <w:sz w:val="20"/>
          <w:szCs w:val="20"/>
          <w:color w:val="auto"/>
        </w:rPr>
      </w:pPr>
      <w:r>
        <w:rPr>
          <w:rFonts w:ascii="Arial" w:cs="Arial" w:eastAsia="Arial" w:hAnsi="Arial"/>
          <w:sz w:val="17"/>
          <w:szCs w:val="17"/>
          <w:b w:val="1"/>
          <w:bCs w:val="1"/>
          <w:i w:val="1"/>
          <w:iCs w:val="1"/>
          <w:color w:val="auto"/>
        </w:rPr>
        <w:t>A significant portion of the assets reflected on our financial statements are held by the Issuer and are subject to security interests under the senior secured notes issued by the Issuer and if it defaults on its obligations under the senior secured notes we and the Issuer may suffer adverse consequences, including foreclosure on those assets.</w:t>
      </w:r>
    </w:p>
    <w:p>
      <w:pPr>
        <w:spacing w:after="0" w:line="57"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In connection with our debt securitization financing transaction, we transferred all of our interests in certain portfolio loans to the Issuer. In doing so, we transferred any right we previously had to the payments made on such portfolio loans in exchange for 100% of the residual interests in the Issuer. As a result, we face a heightened risk of loss due to the impact of leverage utilized by the Issuer, which would have the effect of magnifying the impact on us of a loss on any portfolio loan held by the Issuer. In addition, while we serve as the collateral manager for the Issuer, which provides us with the authority to enforce payment obligations and loan covenants of the portfolio loans that we transferred to the Issuer, we are required to exercise such authority for the interests of the Issuer, rather than for our own interests alone.</w:t>
      </w:r>
    </w:p>
    <w:p>
      <w:pPr>
        <w:spacing w:after="0" w:line="70"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The structure of the debt securitization financing transaction is intended to prevent, in the event of our bankruptcy or the bankruptcy of Holdings, the consolidation for purposes of such bankruptcy proceedings of the Issuer with our operations or those of Holdings. If the true sale of these assets were not respected in the event of our insolvency, a trustee or debtor-in-possession might reclaim the assets of the Issuer for our estate. However, in doing so, we would become directly liable for all of the indebtedness then outstanding under the debt securitization financing transaction, which would equal the full amount of debt of the Issuer reflected on our consolidated balance sheet. In addition, we cannot assure that the recovery in the event we were consolidated with the Issuer for purposes of any bankruptcy proceeding would exceed the amount to which we would otherwise be entitled as a direct or indirect holder of the subordinated notes had we not been consolidated with the Issuer.</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As of December 31, 2013, $137 million of the assets that are reflected on our financial statements were held by the Issuer and pledged as collateral under the senior secured notes issued by the Issuer. If the Issuer defaults on its obligations under the senior secured notes, the holders of the senior secured notes may have the right to foreclose upon and sell, or otherwise transfer, the collateral subject to their security interests. In such event, we and the Issuer may be forced to sell our investments to raise funds to repay the Issuer’s outstanding borrowings in order to avoid foreclosure and these forced sales may be at times and at prices we and the Issuer would not consider advantageous. Moreover, such deleveraging of our company could significantly impair our ability to effectively operate our business in the manner in which we have historically operated. As a result, we could be forced to curtail or cease new investment activities and lower or eliminate the dividends that we have historically paid to our stockholders.</w:t>
      </w:r>
    </w:p>
    <w:p>
      <w:pPr>
        <w:spacing w:after="0" w:line="58"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In addition, if the holders of the senior secured notes exercise their right to sell the assets pledged by the Issuer, such sales may be completed at distressed sale prices, thereby diminishing or potentially eliminating the amount of cash available to the Issuer and us after repayment of the amounts outstanding under the senior secured notes.</w:t>
      </w:r>
    </w:p>
    <w:p>
      <w:pPr>
        <w:spacing w:after="0" w:line="17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Risks Related to Our Investments</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may be risky, and you could lose all or part of your investment.</w:t>
      </w:r>
    </w:p>
    <w:p>
      <w:pPr>
        <w:spacing w:after="0" w:line="117" w:lineRule="exact"/>
        <w:rPr>
          <w:sz w:val="20"/>
          <w:szCs w:val="20"/>
          <w:color w:val="auto"/>
        </w:rPr>
      </w:pPr>
    </w:p>
    <w:p>
      <w:pPr>
        <w:ind w:left="40" w:right="519" w:firstLine="270"/>
        <w:spacing w:after="0" w:line="279" w:lineRule="auto"/>
        <w:rPr>
          <w:sz w:val="20"/>
          <w:szCs w:val="20"/>
          <w:color w:val="auto"/>
        </w:rPr>
      </w:pPr>
      <w:r>
        <w:rPr>
          <w:rFonts w:ascii="Arial" w:cs="Arial" w:eastAsia="Arial" w:hAnsi="Arial"/>
          <w:sz w:val="17"/>
          <w:szCs w:val="17"/>
          <w:color w:val="auto"/>
        </w:rPr>
        <w:t>We invest primarily in senior secured term loans, mezzanine debt, selected equity investments issued by middle market companies, CLO Funds and our Asset Manager Affiliates. The investments in our Debt Securities Portfolio are all or predominantly below investment grade, may be highly leveraged, and therefore have speculative characteristics with respect to the issuer’s capacity to pay interest and repay principal. Defaults by portfolio companies may harm our operating results.</w:t>
      </w:r>
    </w:p>
    <w:p>
      <w:pPr>
        <w:spacing w:after="0" w:line="63" w:lineRule="exact"/>
        <w:rPr>
          <w:sz w:val="20"/>
          <w:szCs w:val="20"/>
          <w:color w:val="auto"/>
        </w:rPr>
      </w:pPr>
    </w:p>
    <w:p>
      <w:pPr>
        <w:ind w:left="40" w:right="559" w:firstLine="270"/>
        <w:spacing w:after="0" w:line="288" w:lineRule="auto"/>
        <w:rPr>
          <w:sz w:val="20"/>
          <w:szCs w:val="20"/>
          <w:color w:val="auto"/>
        </w:rPr>
      </w:pPr>
      <w:r>
        <w:rPr>
          <w:rFonts w:ascii="Arial" w:cs="Arial" w:eastAsia="Arial" w:hAnsi="Arial"/>
          <w:sz w:val="16"/>
          <w:szCs w:val="16"/>
          <w:i w:val="1"/>
          <w:iCs w:val="1"/>
          <w:color w:val="auto"/>
        </w:rPr>
        <w:t>Secured Loans</w:t>
      </w:r>
      <w:r>
        <w:rPr>
          <w:rFonts w:ascii="Arial" w:cs="Arial" w:eastAsia="Arial" w:hAnsi="Arial"/>
          <w:sz w:val="16"/>
          <w:szCs w:val="16"/>
          <w:color w:val="auto"/>
        </w:rPr>
        <w:t>. When we extend secured term loans, we generally take a security interest (either as a first lien position or as a</w:t>
      </w:r>
      <w:r>
        <w:rPr>
          <w:rFonts w:ascii="Arial" w:cs="Arial" w:eastAsia="Arial" w:hAnsi="Arial"/>
          <w:sz w:val="16"/>
          <w:szCs w:val="16"/>
          <w:i w:val="1"/>
          <w:iCs w:val="1"/>
          <w:color w:val="auto"/>
        </w:rPr>
        <w:t xml:space="preserve"> </w:t>
      </w:r>
      <w:r>
        <w:rPr>
          <w:rFonts w:ascii="Arial" w:cs="Arial" w:eastAsia="Arial" w:hAnsi="Arial"/>
          <w:sz w:val="16"/>
          <w:szCs w:val="16"/>
          <w:color w:val="auto"/>
        </w:rPr>
        <w:t>second lien position) in the available assets of these portfolio companies, including the equity interests of their subsidiaries, which we expect to assist in mitigating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and,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exercise our remedies.</w:t>
      </w:r>
    </w:p>
    <w:p>
      <w:pPr>
        <w:spacing w:after="0" w:line="6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generally are subordinated to senior loans and generally are unsecured. This</w:t>
      </w:r>
      <w:r>
        <w:rPr>
          <w:rFonts w:ascii="Arial" w:cs="Arial" w:eastAsia="Arial" w:hAnsi="Arial"/>
          <w:sz w:val="18"/>
          <w:szCs w:val="18"/>
          <w:i w:val="1"/>
          <w:iCs w:val="1"/>
          <w:color w:val="auto"/>
        </w:rPr>
        <w:t xml:space="preserve"> </w:t>
      </w:r>
      <w:r>
        <w:rPr>
          <w:rFonts w:ascii="Arial" w:cs="Arial" w:eastAsia="Arial" w:hAnsi="Arial"/>
          <w:sz w:val="18"/>
          <w:szCs w:val="18"/>
          <w:color w:val="auto"/>
        </w:rPr>
        <w:t>may result in an above average amount of risk and volatility or loss of principal.</w:t>
      </w:r>
    </w:p>
    <w:p>
      <w:pPr>
        <w:spacing w:after="0" w:line="62"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These investments may entail additional risks that could adversely affect our investment returns. To the extent interest payments associated with such debt are deferred, such debt is subject to greater fluctuations in value based on changes in interest rates and such debt could subject us to phantom income. Since we generally do not receive any cash prior to maturity of the debt, the investment is of greater risk.</w:t>
      </w:r>
    </w:p>
    <w:p>
      <w:pPr>
        <w:spacing w:after="0" w:line="79"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 We have made and expect to make selected equity investments. In addition, when we invest in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or mezzanine debt, we may acquire warrants in the equity of the portfolio company.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i w:val="1"/>
          <w:iCs w:val="1"/>
          <w:color w:val="auto"/>
        </w:rPr>
        <w:t>Risks Associated with Middle Market Companies</w:t>
      </w:r>
      <w:r>
        <w:rPr>
          <w:rFonts w:ascii="Arial" w:cs="Arial" w:eastAsia="Arial" w:hAnsi="Arial"/>
          <w:sz w:val="18"/>
          <w:szCs w:val="18"/>
          <w:color w:val="auto"/>
        </w:rPr>
        <w:t>. Investments in middle market companies also involve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risks, including:</w:t>
      </w:r>
    </w:p>
    <w:p>
      <w:pPr>
        <w:spacing w:after="0" w:line="62" w:lineRule="exact"/>
        <w:rPr>
          <w:sz w:val="20"/>
          <w:szCs w:val="20"/>
          <w:color w:val="auto"/>
        </w:rPr>
      </w:pPr>
    </w:p>
    <w:p>
      <w:pPr>
        <w:ind w:left="600" w:right="519" w:hanging="322"/>
        <w:spacing w:after="0" w:line="26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limited financial resources and inability to meet their obligations, which may be accompanied by a deterioration in the value of any collateral and a reduction in the likelihood of our realizing the value of any guarantees we may have obtained in connection with our investment;</w:t>
      </w:r>
    </w:p>
    <w:p>
      <w:pPr>
        <w:spacing w:after="0" w:line="73" w:lineRule="exact"/>
        <w:rPr>
          <w:rFonts w:ascii="Arial" w:cs="Arial" w:eastAsia="Arial" w:hAnsi="Arial"/>
          <w:sz w:val="18"/>
          <w:szCs w:val="18"/>
          <w:color w:val="auto"/>
        </w:rPr>
      </w:pPr>
    </w:p>
    <w:p>
      <w:pPr>
        <w:ind w:left="600" w:right="759" w:hanging="322"/>
        <w:spacing w:after="0" w:line="342"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shorter operating histories, narrower product lines and smaller market shares than larger businesses, which tend to render them more vulnerable to competitors’ actions and market conditions, as well as general economic downturns;</w:t>
      </w:r>
    </w:p>
    <w:p>
      <w:pPr>
        <w:spacing w:after="0" w:line="15" w:lineRule="exact"/>
        <w:rPr>
          <w:rFonts w:ascii="Arial" w:cs="Arial" w:eastAsia="Arial" w:hAnsi="Arial"/>
          <w:sz w:val="16"/>
          <w:szCs w:val="16"/>
          <w:color w:val="auto"/>
        </w:rPr>
      </w:pPr>
    </w:p>
    <w:p>
      <w:pPr>
        <w:ind w:left="600" w:right="579" w:hanging="322"/>
        <w:spacing w:after="0" w:line="26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dependence on management talents and efforts of a small group of persons; therefore, the death, disability, resignation or termination of one or more of these persons could have a material adverse impact on our portfolio company and, in turn, on us;</w:t>
      </w:r>
    </w:p>
    <w:p>
      <w:pPr>
        <w:spacing w:after="0" w:line="73" w:lineRule="exact"/>
        <w:rPr>
          <w:rFonts w:ascii="Arial" w:cs="Arial" w:eastAsia="Arial" w:hAnsi="Arial"/>
          <w:sz w:val="18"/>
          <w:szCs w:val="18"/>
          <w:color w:val="auto"/>
        </w:rPr>
      </w:pPr>
    </w:p>
    <w:p>
      <w:pPr>
        <w:ind w:left="600" w:right="559" w:hanging="322"/>
        <w:spacing w:after="0" w:line="264"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less predictable operating results, being parties to litigation from time to time, engaging in rapidly changing businesses with products subject to a substantial risk of obsolescence and requiring substantial additional capital expenditures to support their operations, finance expansion or maintain their competitive position;</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accessing the capital markets to meet future capital needs;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generally less publicly available information about their businesses, operations and financial condition.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CLO Fund Investments</w:t>
      </w:r>
      <w:r>
        <w:rPr>
          <w:rFonts w:ascii="Arial" w:cs="Arial" w:eastAsia="Arial" w:hAnsi="Arial"/>
          <w:sz w:val="18"/>
          <w:szCs w:val="18"/>
          <w:color w:val="auto"/>
        </w:rPr>
        <w:t>. Investments in CLO Funds also involve a number of significant risks, including:</w:t>
      </w:r>
    </w:p>
    <w:p>
      <w:pPr>
        <w:spacing w:after="0" w:line="117" w:lineRule="exact"/>
        <w:rPr>
          <w:sz w:val="20"/>
          <w:szCs w:val="20"/>
          <w:color w:val="auto"/>
        </w:rPr>
      </w:pPr>
    </w:p>
    <w:p>
      <w:pPr>
        <w:ind w:left="600" w:right="57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CLOs typically are comprised of a portfolio of senior secured loans; payments on CLO investments are and will be payable solely from the cash-flows from such senior secured loans.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 investments are exposed to leveraged credit risk.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 Funds are highly leveraged.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the potential for interruption and deferral of cash-flow from CLO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rates paid by corporate borrowers are subject to volatility.</w:t>
      </w:r>
    </w:p>
    <w:p>
      <w:pPr>
        <w:spacing w:after="0" w:line="117" w:lineRule="exact"/>
        <w:rPr>
          <w:rFonts w:ascii="Arial" w:cs="Arial" w:eastAsia="Arial" w:hAnsi="Arial"/>
          <w:sz w:val="18"/>
          <w:szCs w:val="18"/>
          <w:color w:val="auto"/>
        </w:rPr>
      </w:pPr>
    </w:p>
    <w:p>
      <w:pPr>
        <w:ind w:left="600" w:right="55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a CLO collateral manager to reinvest the proceeds of the prepayment of senior secured loans may adversely affect 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CLO investments are subject to prepayments and calls, increasing re-investment risk.</w:t>
      </w:r>
    </w:p>
    <w:p>
      <w:pPr>
        <w:spacing w:after="0" w:line="117" w:lineRule="exact"/>
        <w:rPr>
          <w:rFonts w:ascii="Arial" w:cs="Arial" w:eastAsia="Arial" w:hAnsi="Arial"/>
          <w:sz w:val="18"/>
          <w:szCs w:val="18"/>
          <w:color w:val="auto"/>
        </w:rPr>
      </w:pPr>
    </w:p>
    <w:p>
      <w:pPr>
        <w:ind w:left="600" w:right="89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limited control of the administration and amendment of senior secured loans owned by the CLOs in which we invest.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limited control of the administration and amendment of any CLO in which we invest.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Senior secured loans of CLOs may be sold and replaced resulting in a loss to us.</w:t>
      </w:r>
    </w:p>
    <w:p>
      <w:pPr>
        <w:spacing w:after="0" w:line="117"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results may be affected adversely if one or more of our significant equity or junior debt investments in a CLO vehicle defaults on its payment obligations or fails to perform as we expect.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Non-investment grade debt involves a greater risk of default and higher price volatility than investment grade debt.</w:t>
      </w:r>
    </w:p>
    <w:p>
      <w:pPr>
        <w:spacing w:after="0" w:line="129" w:lineRule="exact"/>
        <w:rPr>
          <w:sz w:val="20"/>
          <w:szCs w:val="20"/>
          <w:color w:val="auto"/>
        </w:rPr>
      </w:pPr>
    </w:p>
    <w:p>
      <w:pPr>
        <w:ind w:left="40" w:right="779" w:firstLine="270"/>
        <w:spacing w:after="0" w:line="277"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We may not receive all or a portion of the income we expect to continue to receive from our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Affiliates.</w:t>
      </w:r>
    </w:p>
    <w:p>
      <w:pPr>
        <w:spacing w:after="0" w:line="62" w:lineRule="exact"/>
        <w:rPr>
          <w:sz w:val="20"/>
          <w:szCs w:val="20"/>
          <w:color w:val="auto"/>
        </w:rPr>
      </w:pPr>
    </w:p>
    <w:p>
      <w:pPr>
        <w:ind w:left="40" w:right="899" w:firstLine="270"/>
        <w:spacing w:after="0" w:line="264" w:lineRule="auto"/>
        <w:rPr>
          <w:sz w:val="20"/>
          <w:szCs w:val="20"/>
          <w:color w:val="auto"/>
        </w:rPr>
      </w:pPr>
      <w:r>
        <w:rPr>
          <w:rFonts w:ascii="Arial" w:cs="Arial" w:eastAsia="Arial" w:hAnsi="Arial"/>
          <w:sz w:val="18"/>
          <w:szCs w:val="18"/>
          <w:color w:val="auto"/>
        </w:rPr>
        <w:t>We expect to receive distributions of recurring fee income, after the payment of their expenses, from the asset management activities of our Asset Manager Affiliates. However, the existing asset management agreements pursuant to which our Asset Manager Affiliates receive such fee income from the CLO Funds for</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19"/>
        <w:spacing w:after="0" w:line="271" w:lineRule="auto"/>
        <w:rPr>
          <w:sz w:val="20"/>
          <w:szCs w:val="20"/>
          <w:color w:val="auto"/>
        </w:rPr>
      </w:pPr>
      <w:r>
        <w:rPr>
          <w:rFonts w:ascii="Arial" w:cs="Arial" w:eastAsia="Arial" w:hAnsi="Arial"/>
          <w:sz w:val="17"/>
          <w:szCs w:val="17"/>
          <w:color w:val="auto"/>
        </w:rPr>
        <w:t>which they serve as managers may be terminated for “cause” by the holders of a majority of the most senior class of securities issued by such CLO Funds and the holders of a majority of the subordinated securities issued by such CLO Funds. “Cause” is defined in the asset management agreements to include a material breach by our Asset Manager Affiliates of the indenture governing the applicable CLO Fund, breaches by our Asset Manager Affiliates of certain specified provisions of the indenture (including, in some cases, a “key person” provision), material breaches of representations or warranties made by our Asset Manager Affiliates, bankruptcy or insolvency of our Asset Manager Affiliates, fraud or criminal activity on the part of our Asset Manager Affiliates or an event of default under the indenture governing the CLO Funds. We expect that future asset management agreements will contain comparable provisions.</w:t>
      </w:r>
    </w:p>
    <w:p>
      <w:pPr>
        <w:spacing w:after="0" w:line="71"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Further, a significant portion of the asset management fees payable to our Asset Manager Affiliates under the asset management agreements are subordinated to the prior payments of interest on the senior securities issued by the CLO Funds. If the asset management agreements are terminated, or the CLO Funds do not generate enough income (due to run-off of existing funds and de-leveraging), or otherwise have insufficient residual cash flow due to diversion of cash as a result of the failure by the CLO Funds to satisfy certain restrictive covenants contained in their indenture agreements to pay the subordinated management fees, the Asset Manager Affiliates will not receive the fee income that they expect to continue to receive which would reduce dividend income available to us, and in turn reduce our ability to make distributions to our stockholders.</w:t>
      </w:r>
    </w:p>
    <w:p>
      <w:pPr>
        <w:spacing w:after="0" w:line="86" w:lineRule="exact"/>
        <w:rPr>
          <w:sz w:val="20"/>
          <w:szCs w:val="20"/>
          <w:color w:val="auto"/>
        </w:rPr>
      </w:pPr>
    </w:p>
    <w:p>
      <w:pPr>
        <w:ind w:left="40" w:right="639"/>
        <w:spacing w:after="0" w:line="264" w:lineRule="auto"/>
        <w:rPr>
          <w:sz w:val="20"/>
          <w:szCs w:val="20"/>
          <w:color w:val="auto"/>
        </w:rPr>
      </w:pPr>
      <w:r>
        <w:rPr>
          <w:rFonts w:ascii="Arial" w:cs="Arial" w:eastAsia="Arial" w:hAnsi="Arial"/>
          <w:sz w:val="18"/>
          <w:szCs w:val="18"/>
          <w:b w:val="1"/>
          <w:bCs w:val="1"/>
          <w:i w:val="1"/>
          <w:iCs w:val="1"/>
          <w:color w:val="auto"/>
        </w:rPr>
        <w:t>Our portfolio investments for which there is no readily available market, including our investment in our Asset Manager Affiliates and our investments in CLO Funds, are recorded at fair value as determined in good faith by our Board of Directors. As a result, there is uncertainty as to the value of these investments.</w:t>
      </w:r>
    </w:p>
    <w:p>
      <w:pPr>
        <w:spacing w:after="0" w:line="73"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Our investments consist primarily of securities issued by privately-held companies, the fair value of which is not readily determinable. In addition, we are not permitted to maintain a general reserve for anticipated loan losses. Instead, we are required by the 1940 Act to specifically value each investment and record an unrealized gain or loss for any asset that we believe has increased or decreased in value. We value these securities at fair value as determined in good faith by our Board of Directors pursuant to a valuation methodology approved by our Board of Directors. These valuations are initially prepared by our management and reviewed by our Valuation Committee, which uses its best judgment in arriving at the fair value of these securities. However, the Board of Directors retains ultimate authority to determine the appropriate valuation for each investment. From time to time, our Board of Directors has used the services of an independent valuation firm to aid it in determining fair value, including our investments in CLO Funds and in our Asset Manager Affiliates.</w:t>
      </w:r>
    </w:p>
    <w:p>
      <w:pPr>
        <w:spacing w:after="0" w:line="74"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performs third party valuations on the Company’s material investments in illiquid securities, such that they are reviewed at least once during a trailing 12 month period. These third party valuation estimates are one of the relevant data points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 In addition to such third-party input, the types of factors that may be considered in valuing our investments include the nature and realizable value of any collateral, the portfolio company’s ability to make payments and its earnings, the markets in which the portfolio company does business, comparison to publicly-traded companies, discounted cash flow and other relevant factors. 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Because such valuations, and particularly valuations of private investments and private companies, are inherently uncertain and may be based on estimates, our determinations of fair value may differ materially from the values that would be assessed if a ready market for these securities existed. Our net asset value could be adversely affected if our determinations regarding the fair value of our illiquid investments were materially higher than the values that we ultimately realize upon the disposal of such securities.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599"/>
        <w:spacing w:after="0" w:line="312" w:lineRule="auto"/>
        <w:rPr>
          <w:sz w:val="20"/>
          <w:szCs w:val="20"/>
          <w:color w:val="auto"/>
        </w:rPr>
      </w:pPr>
      <w:r>
        <w:rPr>
          <w:rFonts w:ascii="Arial" w:cs="Arial" w:eastAsia="Arial" w:hAnsi="Arial"/>
          <w:sz w:val="16"/>
          <w:szCs w:val="16"/>
          <w:b w:val="1"/>
          <w:bCs w:val="1"/>
          <w:i w:val="1"/>
          <w:iCs w:val="1"/>
          <w:color w:val="auto"/>
        </w:rPr>
        <w:t>We are a non-diversified investment company within the meaning of the 1940 Act, and therefore we may invest a significant portion of our assets in a relatively small number of issuers, which subjects us to a risk of significant loss if any of these issuers defaults on its obligations under any of its debt instruments or as a result of a downturn in the particular industry.</w:t>
      </w:r>
    </w:p>
    <w:p>
      <w:pPr>
        <w:spacing w:after="0" w:line="39" w:lineRule="exact"/>
        <w:rPr>
          <w:sz w:val="20"/>
          <w:szCs w:val="20"/>
          <w:color w:val="auto"/>
        </w:rPr>
      </w:pPr>
    </w:p>
    <w:p>
      <w:pPr>
        <w:ind w:left="40" w:right="539" w:firstLine="270"/>
        <w:spacing w:after="0" w:line="289" w:lineRule="auto"/>
        <w:rPr>
          <w:sz w:val="20"/>
          <w:szCs w:val="20"/>
          <w:color w:val="auto"/>
        </w:rPr>
      </w:pPr>
      <w:r>
        <w:rPr>
          <w:rFonts w:ascii="Arial" w:cs="Arial" w:eastAsia="Arial" w:hAnsi="Arial"/>
          <w:sz w:val="16"/>
          <w:szCs w:val="16"/>
          <w:color w:val="auto"/>
        </w:rPr>
        <w:t>We are classified as a non-diversified investment company within the meaning of the 1940 Act, and therefore we may invest a significant portion of our assets in a relatively small number of issuers in a limited number of industries. As of December 31, 2013, our largest investment, our 100% equity interest in our Asset Manager Affiliates, equaled approximately 17.3% of the fair value of our total investments. Beyond the asset diversification requirements associated with our qualification as a RIC, we do not have fixed guidelines for diversification, and while we are not targeting any specific industries, relatively few industries may become significantly represented among our investments.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changes in fair value over time or a downturn in any particular industry. We may also be more susceptible to any single economic or regulatory occurrence than a diversified investment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Economic recessions or downturns could negatively impact our portfolio companies and harm our operating results.</w:t>
      </w:r>
    </w:p>
    <w:p>
      <w:pPr>
        <w:spacing w:after="0" w:line="129" w:lineRule="exact"/>
        <w:rPr>
          <w:sz w:val="20"/>
          <w:szCs w:val="20"/>
          <w:color w:val="auto"/>
        </w:rPr>
      </w:pPr>
    </w:p>
    <w:p>
      <w:pPr>
        <w:ind w:left="40" w:right="739" w:firstLine="270"/>
        <w:spacing w:after="0" w:line="272" w:lineRule="auto"/>
        <w:rPr>
          <w:sz w:val="20"/>
          <w:szCs w:val="20"/>
          <w:color w:val="auto"/>
        </w:rPr>
      </w:pPr>
      <w:r>
        <w:rPr>
          <w:rFonts w:ascii="Arial" w:cs="Arial" w:eastAsia="Arial" w:hAnsi="Arial"/>
          <w:sz w:val="17"/>
          <w:szCs w:val="17"/>
          <w:color w:val="auto"/>
        </w:rPr>
        <w:t>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may also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Defaults by our portfolio companies could harm our operating results.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A portfolio company’s failure to satisfy financial or operating covenants imposed by us or other debt holders could lead to defaults and, potentially, acceleration of the time when the loans are due and foreclosure on its secured assets. Such events could trigger cross-defaults under other agreements and jeopardize a portfolio company’s ability to meet its obligations under the debt that we hold and the value of any equity securities we own. We may incur expenses to the extent necessary to seek recovery upon default or to negotiate new terms with a defaulting portfolio company.</w:t>
      </w:r>
    </w:p>
    <w:p>
      <w:pPr>
        <w:spacing w:after="0" w:line="91" w:lineRule="exact"/>
        <w:rPr>
          <w:sz w:val="20"/>
          <w:szCs w:val="20"/>
          <w:color w:val="auto"/>
        </w:rPr>
      </w:pPr>
    </w:p>
    <w:p>
      <w:pPr>
        <w:ind w:left="40" w:right="639"/>
        <w:spacing w:after="0" w:line="342" w:lineRule="auto"/>
        <w:rPr>
          <w:sz w:val="20"/>
          <w:szCs w:val="20"/>
          <w:color w:val="auto"/>
        </w:rPr>
      </w:pPr>
      <w:r>
        <w:rPr>
          <w:rFonts w:ascii="Arial" w:cs="Arial" w:eastAsia="Arial" w:hAnsi="Arial"/>
          <w:sz w:val="16"/>
          <w:szCs w:val="16"/>
          <w:b w:val="1"/>
          <w:bCs w:val="1"/>
          <w:i w:val="1"/>
          <w:iCs w:val="1"/>
          <w:color w:val="auto"/>
        </w:rPr>
        <w:t>When we are a debt or minority equity investor in a portfolio company, which generally is the case, we may not be in a position to control the entity, and its management may make decisions that could decrease the value of our investment.</w:t>
      </w:r>
    </w:p>
    <w:p>
      <w:pPr>
        <w:spacing w:after="0" w:line="16"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Most of our investments are either debt or minority equity investments in our portfolio companies. Therefore, we are subject to the risk that a portfolio company may make business decisions with which we disagree, and the stockholders and management of such company may take risks or otherwise act in ways that do not serve our interests. As a result, a portfolio company may make decisions that could decrease the value of our portfolio holdings. In addition, we generally are not in a position to control any portfolio company by investing in its debt securities.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have limited access to information about privately held companies in which we invest.</w:t>
      </w:r>
    </w:p>
    <w:p>
      <w:pPr>
        <w:spacing w:after="0" w:line="117" w:lineRule="exact"/>
        <w:rPr>
          <w:sz w:val="20"/>
          <w:szCs w:val="20"/>
          <w:color w:val="auto"/>
        </w:rPr>
      </w:pPr>
    </w:p>
    <w:p>
      <w:pPr>
        <w:jc w:val="both"/>
        <w:ind w:left="40" w:right="639" w:firstLine="270"/>
        <w:spacing w:after="0" w:line="276" w:lineRule="auto"/>
        <w:rPr>
          <w:sz w:val="20"/>
          <w:szCs w:val="20"/>
          <w:color w:val="auto"/>
        </w:rPr>
      </w:pPr>
      <w:r>
        <w:rPr>
          <w:rFonts w:ascii="Arial" w:cs="Arial" w:eastAsia="Arial" w:hAnsi="Arial"/>
          <w:sz w:val="17"/>
          <w:szCs w:val="17"/>
          <w:color w:val="auto"/>
        </w:rPr>
        <w:t>We invest primarily in privately-held companies. Generally, little public information exists about these companies, and we are required to rely on the ability of our investment professionals to obtain adequate information to evaluate the potential returns from investing in these companies. These companies and their financial information are not subject to the Sarbanes-Oxley Act of 2002 and other rules that govern public companies. If we are unable to uncover all material information about these companies, we may not make a fully informed investment decision, and we may lose money on our investment.</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Prepayments of our debt investments by our portfolio companies could negatively impact our operating results.</w:t>
      </w:r>
    </w:p>
    <w:p>
      <w:pPr>
        <w:spacing w:after="0" w:line="129"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We are subject to the risk that the investments we make in our portfolio companies may be repaid prior to maturity. When this occurs, we generally reinvest these proceeds in temporary investments, pending their future investment in new portfolio companies. These temporary investments typically have substantially lower yields than the debt being prepaid and we could experience significant delays in reinvesting these amounts. Any future investment in a new portfolio company may also be at lower yields than the debt that was repaid. Consequently, our results of operations could be materially adversely affected if one or more of our portfolio companies elects to prepay amounts owed to us. Additionally, prepayments could negatively impact our return on equity, which could result in a decline in the market price of our common stock.</w:t>
      </w:r>
    </w:p>
    <w:p>
      <w:pPr>
        <w:spacing w:after="0" w:line="110"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and repayments from investments on acceptable terms, which would harm our financial condition and operating results.</w:t>
      </w:r>
    </w:p>
    <w:p>
      <w:pPr>
        <w:spacing w:after="0" w:line="62" w:lineRule="exact"/>
        <w:rPr>
          <w:sz w:val="20"/>
          <w:szCs w:val="20"/>
          <w:color w:val="auto"/>
        </w:rPr>
      </w:pPr>
    </w:p>
    <w:p>
      <w:pPr>
        <w:jc w:val="both"/>
        <w:ind w:left="40" w:right="619" w:firstLine="270"/>
        <w:spacing w:after="0" w:line="257"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and repayments from investments in interest-bearing deposits or other short-term instruments or use the net proceeds from such offerings to reduce then-outstanding obligations under our credit facility, if any. We cannot assure you that we will be able to find enough appropriate investments that meet our investment criteria or that any investment we complete using the proceeds from an offering will produce a sufficient return.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portfolio companies may incur debt that ranks equal with, or senior to, our investments in such companies.</w:t>
      </w:r>
    </w:p>
    <w:p>
      <w:pPr>
        <w:spacing w:after="0" w:line="129"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We invest primarily in debt securities issued by our portfolio companies. In some cases portfolio companies are permitted to have other debt that ranks equal with, or senior to, the debt securities in which we invest. By their terms, such debt instruments may provide that the holders thereof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such portfolio company may not have any remaining assets to use for repaying its obligation to us. In the case of debt ranking equal with debt securities in which we invest, we would have to share on an equal basis any distributions with other creditors holding such debt in the event of an insolvency, liquidation, dissolution, reorganization or bankruptcy of a portfolio company.</w:t>
      </w:r>
    </w:p>
    <w:p>
      <w:pPr>
        <w:spacing w:after="0" w:line="97" w:lineRule="exact"/>
        <w:rPr>
          <w:sz w:val="20"/>
          <w:szCs w:val="20"/>
          <w:color w:val="auto"/>
        </w:rPr>
      </w:pPr>
    </w:p>
    <w:p>
      <w:pPr>
        <w:jc w:val="both"/>
        <w:ind w:left="40" w:right="739"/>
        <w:spacing w:after="0" w:line="264" w:lineRule="auto"/>
        <w:rPr>
          <w:sz w:val="20"/>
          <w:szCs w:val="20"/>
          <w:color w:val="auto"/>
        </w:rPr>
      </w:pPr>
      <w:r>
        <w:rPr>
          <w:rFonts w:ascii="Arial" w:cs="Arial" w:eastAsia="Arial" w:hAnsi="Arial"/>
          <w:sz w:val="18"/>
          <w:szCs w:val="18"/>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73"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Certain loans that we make are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will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are requested to execute expressly subordinate our debt instruments to those held by the senior lender and further provide that the senior lender shall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200" w:lineRule="exact"/>
        <w:rPr>
          <w:sz w:val="20"/>
          <w:szCs w:val="20"/>
          <w:color w:val="auto"/>
        </w:rPr>
      </w:pPr>
    </w:p>
    <w:p>
      <w:pPr>
        <w:spacing w:after="0" w:line="33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right="999"/>
        <w:spacing w:after="0" w:line="277" w:lineRule="auto"/>
        <w:rPr>
          <w:sz w:val="20"/>
          <w:szCs w:val="20"/>
          <w:color w:val="auto"/>
        </w:rPr>
      </w:pPr>
      <w:r>
        <w:rPr>
          <w:rFonts w:ascii="Arial" w:cs="Arial" w:eastAsia="Arial" w:hAnsi="Arial"/>
          <w:sz w:val="18"/>
          <w:szCs w:val="18"/>
          <w:b w:val="1"/>
          <w:bCs w:val="1"/>
          <w:i w:val="1"/>
          <w:iCs w:val="1"/>
          <w:color w:val="auto"/>
        </w:rPr>
        <w:t>There may be circumstances where our debt investments could be subordinated to claims of other creditors or we could be subject to lender liability claims.</w:t>
      </w:r>
    </w:p>
    <w:p>
      <w:pPr>
        <w:spacing w:after="0" w:line="62" w:lineRule="exact"/>
        <w:rPr>
          <w:sz w:val="20"/>
          <w:szCs w:val="20"/>
          <w:color w:val="auto"/>
        </w:rPr>
      </w:pPr>
    </w:p>
    <w:p>
      <w:pPr>
        <w:ind w:left="40" w:right="759" w:firstLine="270"/>
        <w:spacing w:after="0" w:line="255" w:lineRule="auto"/>
        <w:rPr>
          <w:sz w:val="20"/>
          <w:szCs w:val="20"/>
          <w:color w:val="auto"/>
        </w:rPr>
      </w:pPr>
      <w:r>
        <w:rPr>
          <w:rFonts w:ascii="Arial" w:cs="Arial" w:eastAsia="Arial" w:hAnsi="Arial"/>
          <w:sz w:val="18"/>
          <w:szCs w:val="18"/>
          <w:color w:val="auto"/>
        </w:rPr>
        <w:t>Even though we may have structured certain of our investments as senior loans, if one of our portfolio companies were to go bankrupt, depending on the facts and circumstances, including the size of our investment and the extent to which we actually provided managerial assistance to that portfolio company, a bankruptcy court might recharacterize our debt investment and subordinate all or a portion of our claim to that of other creditors. In addition, lenders can be subject to lender liability claims for actions taken by them where they become too involved in the borrower’s business or exercise control over the borrower. It is possible that we could become subject to a lender’s liability claim, including as a result of actions taken in rendering significant managerial assistance.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investments in equity securities involve a substantial degree of risk.</w:t>
      </w:r>
    </w:p>
    <w:p>
      <w:pPr>
        <w:spacing w:after="0" w:line="117" w:lineRule="exact"/>
        <w:rPr>
          <w:sz w:val="20"/>
          <w:szCs w:val="20"/>
          <w:color w:val="auto"/>
        </w:rPr>
      </w:pPr>
    </w:p>
    <w:p>
      <w:pPr>
        <w:ind w:left="40" w:right="659" w:firstLine="270"/>
        <w:spacing w:after="0" w:line="272" w:lineRule="auto"/>
        <w:rPr>
          <w:sz w:val="20"/>
          <w:szCs w:val="20"/>
          <w:color w:val="auto"/>
        </w:rPr>
      </w:pPr>
      <w:r>
        <w:rPr>
          <w:rFonts w:ascii="Arial" w:cs="Arial" w:eastAsia="Arial" w:hAnsi="Arial"/>
          <w:sz w:val="17"/>
          <w:szCs w:val="17"/>
          <w:color w:val="auto"/>
        </w:rPr>
        <w:t>We may purchase common stock and other equity securities, including warrants. Although equity securities have historically generated higher average total returns than fixed-income securities over the long term, equity securities have also experienced significantly more volatility in those returns. The equity securities we acquire may fail to appreciate and may decline in value or become worthless, and our ability to recover our investment depends on our portfolio company’s success. 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and limited voting rights.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We may invest in securities issued by private companies. These securities may be subject to legal and other restrictions on resale or otherwise be less liquid than publicly-traded securities.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Our investments are usually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108"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We may not receive any return on our investment in the CLO Funds in which we have invested and the Asset Manager Affiliates may be unable to raise additional CLO Funds.</w:t>
      </w:r>
    </w:p>
    <w:p>
      <w:pPr>
        <w:spacing w:after="0" w:line="62"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color w:val="auto"/>
        </w:rPr>
        <w:t>As of December 31, 2013, we had $79.5 million at fair value invested in the subordinated securities, preferred shares, or other securities issued by the CLO Funds managed by our Asset Manager Affiliates and certain other third party asset managers. Subject to market conditions and legal requirements applicable to us under the 1940 Act, we expect to continue to acquire subordinated securities in the future in CLO Funds managed by our Asset Manager Affiliates and/or third party managers. Subordinated securities are the most junior class of securities issued by the CLO Funds and are subordinated in priority of payment to every other class of securities issued by these CLO Funds. Therefore, they only receive cash distributions if the CLO Funds have made all cash interest payments to all other debt securities issued by the CLO Fund. The subordinated securities are also unsecured and rank behind all of the secured creditors, known or unknown, of the CLO Fund, including the holders of the senior securities issued by the CLO Fund. Consequently, to the extent that the value of a CLO Fund’s loan investments has been reduced as a result of conditions in the credit markets, or as a result of default loans or individual fund assets, the value of the subordinated securities at their redemption could be reduced. Additionally, the Asset Manager Affiliates may not be able to continue to raise new CLO Funds due to prevailing CLO market conditions or other factors.</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Risks Related to Our Common Stock</w:t>
      </w:r>
    </w:p>
    <w:p>
      <w:pPr>
        <w:spacing w:after="0" w:line="148" w:lineRule="exact"/>
        <w:rPr>
          <w:sz w:val="20"/>
          <w:szCs w:val="20"/>
          <w:color w:val="auto"/>
        </w:rPr>
      </w:pPr>
    </w:p>
    <w:p>
      <w:pPr>
        <w:ind w:left="40" w:right="1259"/>
        <w:spacing w:after="0" w:line="277" w:lineRule="auto"/>
        <w:rPr>
          <w:sz w:val="20"/>
          <w:szCs w:val="20"/>
          <w:color w:val="auto"/>
        </w:rPr>
      </w:pPr>
      <w:r>
        <w:rPr>
          <w:rFonts w:ascii="Arial" w:cs="Arial" w:eastAsia="Arial" w:hAnsi="Arial"/>
          <w:sz w:val="18"/>
          <w:szCs w:val="18"/>
          <w:b w:val="1"/>
          <w:bCs w:val="1"/>
          <w:i w:val="1"/>
          <w:iCs w:val="1"/>
          <w:color w:val="auto"/>
        </w:rPr>
        <w:t>We may not be able to pay distributions to our stockholders, our distributions may not grow over time, and a portion of distributions paid to our stockholders may be a return of capital.</w:t>
      </w:r>
    </w:p>
    <w:p>
      <w:pPr>
        <w:spacing w:after="0" w:line="62" w:lineRule="exact"/>
        <w:rPr>
          <w:sz w:val="20"/>
          <w:szCs w:val="20"/>
          <w:color w:val="auto"/>
        </w:rPr>
      </w:pPr>
    </w:p>
    <w:p>
      <w:pPr>
        <w:ind w:left="40" w:right="579" w:firstLine="270"/>
        <w:spacing w:after="0" w:line="268"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may not be able to achieve investment results that will allow us to make a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In addition, due to the asset coverage test applicable to us as a BDC and a covenant that we agreed to in connection with the issuance of the 7.375% Notes Due 2019, we are limited in our ability to make distributions in certain circumstances. In this regard, we agreed in connection with our issuance of the 7.375% Notes Due 2019 that for the period of time during which the 7.375% Notes Due 2019 are outstanding, we will not violate (regardless of whether we are subject to) Section 18(a)(1)(B) as modified by Section 61(a)(1) of the 1940 Act. These provisions generally prohibit us from declaring any cash dividend or distribution upon our common stock, or purchasing any such common stock if our asset coverage, as defined in the 1940 Act, is below 200% at the time of the declaration of the dividend or distribution or the purchase and after deducting the amount of such dividend, distribution or purchase. Further, if we invest a greater amount of assets in equity securities that do not pay current dividends, it could reduce the amount available for distribution.</w:t>
      </w:r>
    </w:p>
    <w:p>
      <w:pPr>
        <w:spacing w:after="0" w:line="8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All distributions will be paid at the discretion of our Board of Directors and will depend on our earnings and those of the Asset Manager Affiliates, our financial condition, maintenance of our RIC status, compliance with applicable BDC regulations and such other factors as our Board of Directors may deem relevant from time to time. We cannot assure you that we will pay distributions to our stockholders in the future.</w:t>
      </w:r>
    </w:p>
    <w:p>
      <w:pPr>
        <w:spacing w:after="0" w:line="79"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When we make quarterly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federal tax purposes, which may result in higher tax liability when the shares are sold, even if they have not increased in value or have lost value. Our distributions have included and may continue to include a return of capital component.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Investing in shares of our common stock may involve an above average degree of risk.</w:t>
      </w:r>
    </w:p>
    <w:p>
      <w:pPr>
        <w:spacing w:after="0" w:line="117" w:lineRule="exact"/>
        <w:rPr>
          <w:sz w:val="20"/>
          <w:szCs w:val="20"/>
          <w:color w:val="auto"/>
        </w:rPr>
      </w:pPr>
    </w:p>
    <w:p>
      <w:pPr>
        <w:jc w:val="both"/>
        <w:ind w:left="40" w:right="659" w:firstLine="270"/>
        <w:spacing w:after="0" w:line="286" w:lineRule="auto"/>
        <w:rPr>
          <w:sz w:val="20"/>
          <w:szCs w:val="20"/>
          <w:color w:val="auto"/>
        </w:rPr>
      </w:pPr>
      <w:r>
        <w:rPr>
          <w:rFonts w:ascii="Arial" w:cs="Arial" w:eastAsia="Arial" w:hAnsi="Arial"/>
          <w:sz w:val="17"/>
          <w:szCs w:val="17"/>
          <w:color w:val="auto"/>
        </w:rPr>
        <w:t>The investments we make in accordance with our investment objective may result in a higher amount of risk, volatility or loss of principal than alternative investment options. Our investments in portfolio companies may be highly speculative, and therefore, an investment in our common stock may not be suitable for investors with lower risk tolerance.</w:t>
      </w:r>
    </w:p>
    <w:p>
      <w:pPr>
        <w:spacing w:after="0" w:line="98" w:lineRule="exact"/>
        <w:rPr>
          <w:sz w:val="20"/>
          <w:szCs w:val="20"/>
          <w:color w:val="auto"/>
        </w:rPr>
      </w:pPr>
    </w:p>
    <w:p>
      <w:pPr>
        <w:jc w:val="both"/>
        <w:ind w:left="40" w:right="939"/>
        <w:spacing w:after="0" w:line="375" w:lineRule="auto"/>
        <w:rPr>
          <w:sz w:val="20"/>
          <w:szCs w:val="20"/>
          <w:color w:val="auto"/>
        </w:rPr>
      </w:pPr>
      <w:r>
        <w:rPr>
          <w:rFonts w:ascii="Arial" w:cs="Arial" w:eastAsia="Arial" w:hAnsi="Arial"/>
          <w:sz w:val="15"/>
          <w:szCs w:val="15"/>
          <w:b w:val="1"/>
          <w:bCs w:val="1"/>
          <w:i w:val="1"/>
          <w:iCs w:val="1"/>
          <w:color w:val="auto"/>
        </w:rPr>
        <w:t>Shares of closed-end investment companies, including BDCs, frequently trade at a discount to their net asset value, and we cannot assure you that the market price of our common stock will not decline following any offering of our common stock.</w:t>
      </w:r>
    </w:p>
    <w:p>
      <w:pPr>
        <w:spacing w:after="0" w:line="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We cannot predict the price at which our common stock will trade. Shares of closed-end investment companies frequently trade at a discount to their net asset value and our stock may also be discounted in the market. This characteristic of closed-end investment companies is separate and distinct from the risk that our net asset value per share may decline. We cannot predict whether shares of our common stock will trade above, at or below our net asset value. The risk of loss associated with this characteristic of closed-end investment companies may be greater for investors expecting to sell shares of common stock soon after the purchase of such shares of common stock. In addition, if our common stock trades below its net asset value, we will generally not be able to issue additional shares of our common stock at its market price without first obtaining the approval of our stockholders and our independent directors.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share price may be volatile and may fluctuate substantially.</w:t>
      </w:r>
    </w:p>
    <w:p>
      <w:pPr>
        <w:spacing w:after="0" w:line="117"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6" w:lineRule="exact"/>
        <w:rPr>
          <w:sz w:val="20"/>
          <w:szCs w:val="20"/>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deploy or invest our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shortfall in revenue or net income or any increase in losses from levels expected by investors or securities analysts;</w:t>
      </w:r>
    </w:p>
    <w:p>
      <w:pPr>
        <w:spacing w:after="0" w:line="140" w:lineRule="exact"/>
        <w:rPr>
          <w:rFonts w:ascii="Arial" w:cs="Arial" w:eastAsia="Arial" w:hAnsi="Arial"/>
          <w:sz w:val="16"/>
          <w:szCs w:val="16"/>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policies or tax rules, particularly with respect to RICs or BDCs;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maintain our qualification as a RIC for U.S. federal income tax purposes;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value of our portfolio;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and trends;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departure of key personnel.</w:t>
      </w:r>
    </w:p>
    <w:p>
      <w:pPr>
        <w:spacing w:after="0" w:line="158" w:lineRule="exact"/>
        <w:rPr>
          <w:sz w:val="20"/>
          <w:szCs w:val="20"/>
          <w:color w:val="auto"/>
        </w:rPr>
      </w:pPr>
    </w:p>
    <w:p>
      <w:pPr>
        <w:ind w:left="40" w:right="939"/>
        <w:spacing w:after="0" w:line="277" w:lineRule="auto"/>
        <w:rPr>
          <w:sz w:val="20"/>
          <w:szCs w:val="20"/>
          <w:color w:val="auto"/>
        </w:rPr>
      </w:pPr>
      <w:r>
        <w:rPr>
          <w:rFonts w:ascii="Arial" w:cs="Arial" w:eastAsia="Arial" w:hAnsi="Arial"/>
          <w:sz w:val="18"/>
          <w:szCs w:val="18"/>
          <w:b w:val="1"/>
          <w:bCs w:val="1"/>
          <w:i w:val="1"/>
          <w:iCs w:val="1"/>
          <w:color w:val="auto"/>
        </w:rPr>
        <w:t>If we sell common stock at a discount to our net asset value per share, stockholders who do not participate in such sale will experience immediate dilution in an amount that may be material.</w:t>
      </w:r>
    </w:p>
    <w:p>
      <w:pPr>
        <w:spacing w:after="0" w:line="62" w:lineRule="exact"/>
        <w:rPr>
          <w:sz w:val="20"/>
          <w:szCs w:val="20"/>
          <w:color w:val="auto"/>
        </w:rPr>
      </w:pPr>
    </w:p>
    <w:p>
      <w:pPr>
        <w:ind w:left="40" w:right="519" w:firstLine="270"/>
        <w:spacing w:after="0" w:line="288" w:lineRule="auto"/>
        <w:rPr>
          <w:sz w:val="20"/>
          <w:szCs w:val="20"/>
          <w:color w:val="auto"/>
        </w:rPr>
      </w:pPr>
      <w:r>
        <w:rPr>
          <w:rFonts w:ascii="Arial" w:cs="Arial" w:eastAsia="Arial" w:hAnsi="Arial"/>
          <w:sz w:val="16"/>
          <w:szCs w:val="16"/>
          <w:color w:val="auto"/>
        </w:rPr>
        <w:t>Our stockholders have currently, and could again approve our ability to sell an unlimited number of shares of our common stock at any level of discount from net asset value per share during the 12 month period following such approval in accordance with the exception described above in “Item 1A. Risk Factors — Risks Related to Our Business and Structure — Regulations governing our operation as a BDC affect our ability to, and the way in which we, raise additional capital.” The issuance or sale by us of shares of our common stock at a discount to net asset value poses a risk of dilution to our stockholders. In particular, stockholders who do not purchase additional shares at or below the discounted price in proportion to their current ownership will experience an immediate decrease in net asset value per share (as well as in the aggregate net asset value of their shares if they do not participate at all). These stockholders will also experience a disproportionately greater decrease in their participation in our earnings and assets and their voting power than the increase we experience in our assets, potential earning power and voting interests from such issuance or sale. In addition, such sales may adversely affect the price at which our common stock trades.</w:t>
      </w:r>
    </w:p>
    <w:p>
      <w:pPr>
        <w:spacing w:after="0" w:line="102"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b w:val="1"/>
          <w:bCs w:val="1"/>
          <w:i w:val="1"/>
          <w:iCs w:val="1"/>
          <w:color w:val="auto"/>
        </w:rPr>
        <w:t>Certain provisions of the Delaware General Corporation Law and our certificate of incorporation and bylaws could deter takeover attempts and have an adverse impact on the price of our common stock.</w:t>
      </w:r>
    </w:p>
    <w:p>
      <w:pPr>
        <w:spacing w:after="0" w:line="62"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The Delaware General Corporation Law, our certificate of incorporation and our bylaws contain provisions that may have the effect of discouraging a third party from making an acquisition proposal for us. These anti-takeover provisions may inhibit a change in control in circumstances that could give the holders of our common stock the opportunity to realize a premium over the market price of our common stock.</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Notes.</w:t>
      </w:r>
    </w:p>
    <w:p>
      <w:pPr>
        <w:spacing w:after="0" w:line="117"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Our 8.75% convertible notes due 2016 (the “Convertible Notes”) are convertible into shares of our common stock at any time prior to the end of business on the business day preceding the maturity date. Upon conversion, we will satisfy our conversion obligation by issuing shares of our common stock to the converting</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jc w:val="both"/>
        <w:ind w:left="40" w:right="719"/>
        <w:spacing w:after="0" w:line="286" w:lineRule="auto"/>
        <w:rPr>
          <w:sz w:val="20"/>
          <w:szCs w:val="20"/>
          <w:color w:val="auto"/>
        </w:rPr>
      </w:pPr>
      <w:r>
        <w:rPr>
          <w:rFonts w:ascii="Arial" w:cs="Arial" w:eastAsia="Arial" w:hAnsi="Arial"/>
          <w:sz w:val="17"/>
          <w:szCs w:val="17"/>
          <w:color w:val="auto"/>
        </w:rPr>
        <w:t>holder or cash, at our option. Our stockholders may experience dilution in their ownership percentage of common stock upon our issuance of common stock on any conversion of the Convertible Notes and any dividends paid on our common stock will also be paid on shares issued on any conversion, which may result in a reduction of the per share dividend.</w:t>
      </w:r>
    </w:p>
    <w:p>
      <w:pPr>
        <w:spacing w:after="0" w:line="16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Risks Related to Our 7.375% Notes Due 2019 and our Convertible Notes</w:t>
      </w:r>
    </w:p>
    <w:p>
      <w:pPr>
        <w:spacing w:after="0" w:line="148"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b w:val="1"/>
          <w:bCs w:val="1"/>
          <w:i w:val="1"/>
          <w:iCs w:val="1"/>
          <w:color w:val="auto"/>
        </w:rPr>
        <w:t>The 7.375% Notes Due 2019 are unsecured and therefore are effectively subordinated to any secured indebtedness we have currently incurred or may incur in the future.</w:t>
      </w:r>
    </w:p>
    <w:p>
      <w:pPr>
        <w:spacing w:after="0" w:line="62"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The 7.375% Notes Due 2019 are not secured by any of our assets or any of the assets of our subsidiaries or the Asset Manager Affiliates. As a result, the 7.375% Notes Due 2019 are effectively subordinated to any secured indebtedness we or they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and the Asset Manager Affiliates may assert rights against the assets pledged to secure that indebtedness in order to receive full payment of their indebtedness before the assets may be used to pay other creditors, including the holders of the 7.375% Notes Due 2019.</w:t>
      </w:r>
    </w:p>
    <w:p>
      <w:pPr>
        <w:spacing w:after="0" w:line="111" w:lineRule="exact"/>
        <w:rPr>
          <w:sz w:val="20"/>
          <w:szCs w:val="20"/>
          <w:color w:val="auto"/>
        </w:rPr>
      </w:pPr>
    </w:p>
    <w:p>
      <w:pPr>
        <w:ind w:left="40" w:right="1019"/>
        <w:spacing w:after="0" w:line="342" w:lineRule="auto"/>
        <w:rPr>
          <w:sz w:val="20"/>
          <w:szCs w:val="20"/>
          <w:color w:val="auto"/>
        </w:rPr>
      </w:pPr>
      <w:r>
        <w:rPr>
          <w:rFonts w:ascii="Arial" w:cs="Arial" w:eastAsia="Arial" w:hAnsi="Arial"/>
          <w:sz w:val="16"/>
          <w:szCs w:val="16"/>
          <w:b w:val="1"/>
          <w:bCs w:val="1"/>
          <w:i w:val="1"/>
          <w:iCs w:val="1"/>
          <w:color w:val="auto"/>
        </w:rPr>
        <w:t>The 7.375% Notes Due 2019 are structurally subordinated to the indebtedness and other liabilities of our subsidiaries and portfolio companies with respect to which we hold equity investments, including the Asset Manager Affiliates.</w:t>
      </w:r>
    </w:p>
    <w:p>
      <w:pPr>
        <w:spacing w:after="0" w:line="16"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6"/>
          <w:szCs w:val="16"/>
          <w:color w:val="auto"/>
        </w:rPr>
        <w:t>The 7.375% Notes Due 2019 are obligations exclusively of KCAP Financial, Inc., and not of any of our subsidiaries or the Asset Manager Affiliates. None of our subsidiaries or the Asset Manager Affiliates are guarantors of the 7.375% Notes Due 2019, and the 7.375% Notes Due 2019 will not be required to be guaranteed by any subsidiary or asset management firm we may acquire or create in the future. Any assets of our subsidiaries and the Asset Manager Affiliates will not be directly available to satisfy the claims of our creditors, including holders of the 7.375% Notes Due 2019. Except to the extent we are a creditor with recognized claims against our subsidiaries, all claims of creditors of our subsidiaries will have priority over our equity interests in such entities (and therefore the claims of our creditors, including holders of the 7.375% Notes Due 2019)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7.375% Notes Due 2019 are structurally subordinated to all indebtedness and other liabilities of any of our subsidiaries and portfolio companies with respect to which we hold equity investments, including the Asset Manager Affiliates and any subsidiaries of the Asset Manager Affiliates that we may in the future acquire or establish. These entities may incur substantial indebtedness in the future, all of which would be structurally senior to the 7.375% Notes Due 2019.</w:t>
      </w:r>
    </w:p>
    <w:p>
      <w:pPr>
        <w:spacing w:after="0" w:line="107"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b w:val="1"/>
          <w:bCs w:val="1"/>
          <w:i w:val="1"/>
          <w:iCs w:val="1"/>
          <w:color w:val="auto"/>
        </w:rPr>
        <w:t>The indenture under which the 7.375% Notes Due 2019 are issued contains limited protection for holders of the 7.375% Notes Due 2019.</w:t>
      </w:r>
    </w:p>
    <w:p>
      <w:pPr>
        <w:spacing w:after="0" w:line="62"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The indenture under which the 7.375% Notes Due 2019 are issued offers limited protection to holders of the 7.375% Notes Due 2019. The terms of the indenture and the 7.375% Notes Due 2019 do not restrict our or any of our subsidiaries or the Asset Manager Affiliates’ ability to engage in, or otherwise be a party to, a variety of corporate transactions, circumstances or events that could have a material adverse impact on your investment in the 7.375% Notes Due 2019. In particular, the terms of the indenture and the 7.375% Notes Due 2019 do not place any restrictions on our or our subsidiaries or the Asset Manager Affiliates’ ability to:</w:t>
      </w:r>
    </w:p>
    <w:p>
      <w:pPr>
        <w:spacing w:after="0" w:line="50" w:lineRule="exact"/>
        <w:rPr>
          <w:sz w:val="20"/>
          <w:szCs w:val="20"/>
          <w:color w:val="auto"/>
        </w:rPr>
      </w:pPr>
    </w:p>
    <w:p>
      <w:pPr>
        <w:ind w:left="600" w:right="559" w:hanging="322"/>
        <w:spacing w:after="0" w:line="297"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7.375% Notes Due 2019, (2) any indebtedness or other obligations that would be secured and therefore rank effectively senior in right of payment to the 7.375% Notes Due 2019 to the extent of the values of the assets securing such debt, (3) indebtedness of ours that is guaranteed by one or more of our subsidiaries or the Asset Manager Affiliates and which therefore is structurally senior to the 7.375% Notes Due</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539"/>
        <w:spacing w:after="0" w:line="272" w:lineRule="auto"/>
        <w:rPr>
          <w:sz w:val="20"/>
          <w:szCs w:val="20"/>
          <w:color w:val="auto"/>
        </w:rPr>
      </w:pPr>
      <w:r>
        <w:rPr>
          <w:rFonts w:ascii="Arial" w:cs="Arial" w:eastAsia="Arial" w:hAnsi="Arial"/>
          <w:sz w:val="17"/>
          <w:szCs w:val="17"/>
          <w:color w:val="auto"/>
        </w:rPr>
        <w:t>2019 and (4) securities, indebtedness or obligations issued or incurred by our subsidiaries or the Asset Manager Affiliates that would be senior to our equity interests in those entities and therefore rank structurally senior to the 7.375% Notes Due 2019 with respect to the assets of our subsidiaries and the Asset Manager Affiliates, in each case other than an incurrence of indebtedness or other obligation that would cause a violation of Section 18(a)(1)(A) as modified by Section 61(a)(1) of the 1940 Act or any successor provisions.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70" w:lineRule="exact"/>
        <w:rPr>
          <w:sz w:val="20"/>
          <w:szCs w:val="20"/>
          <w:color w:val="auto"/>
        </w:rPr>
      </w:pPr>
    </w:p>
    <w:p>
      <w:pPr>
        <w:ind w:left="600" w:right="559" w:hanging="322"/>
        <w:spacing w:after="0" w:line="272" w:lineRule="auto"/>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the 7.375% Notes Due 2019, including subordinated indebtedness, in each case other than dividends, purchases, redemptions or payments that would cause a violation of Section 18(a)(1)(B) as modified by Section 61(a)(1) of the 1940 Act or any successor provisions.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69" w:lineRule="exact"/>
        <w:rPr>
          <w:rFonts w:ascii="Arial" w:cs="Arial" w:eastAsia="Arial" w:hAnsi="Arial"/>
          <w:sz w:val="17"/>
          <w:szCs w:val="17"/>
          <w:color w:val="auto"/>
        </w:rPr>
      </w:pPr>
    </w:p>
    <w:p>
      <w:pPr>
        <w:ind w:left="600" w:right="819" w:hanging="322"/>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17"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In addition, the indenture does not require us to offer to purchase the 7.375% Notes Due 2019 in connection with a change of control or any other event.</w:t>
      </w:r>
    </w:p>
    <w:p>
      <w:pPr>
        <w:spacing w:after="0" w:line="62" w:lineRule="exact"/>
        <w:rPr>
          <w:sz w:val="20"/>
          <w:szCs w:val="20"/>
          <w:color w:val="auto"/>
        </w:rPr>
      </w:pPr>
    </w:p>
    <w:p>
      <w:pPr>
        <w:ind w:left="40" w:right="619" w:firstLine="270"/>
        <w:spacing w:after="0" w:line="273" w:lineRule="auto"/>
        <w:rPr>
          <w:sz w:val="20"/>
          <w:szCs w:val="20"/>
          <w:color w:val="auto"/>
        </w:rPr>
      </w:pPr>
      <w:r>
        <w:rPr>
          <w:rFonts w:ascii="Arial" w:cs="Arial" w:eastAsia="Arial" w:hAnsi="Arial"/>
          <w:sz w:val="17"/>
          <w:szCs w:val="17"/>
          <w:color w:val="auto"/>
        </w:rPr>
        <w:t>Furthermore, the terms of the indenture and the 7.375% Notes Due 2019 do not protect holders of the 7.375% Notes Due 2019 in the event that we experience changes (including significant adverse changes) in our financial condition, results of operations or credit ratings, if any, as they do not require that we adhere to any financial tests or ratios or specified levels of net worth, revenues, income, cash flow, or liquidity other than as described above. Any changes to the 200% asset coverage ratio in the 1940 Act could affect the 7.375% Notes Due 2019. See “Item 1A. Risk Factors — Risks Related to Our Business and Structure — Pending legislation may allow us to incur additional leverage.”</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ability to recapitalize, incur additional debt and take a number of other actions that are not limited by the terms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7.375% Notes Due 2019 may have important consequences for you as a holder of the 7.375% Notes Due 2019, including making it</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more difficult for us to satisfy our obligations with respect to the 7.375% Notes Due 2019 or negatively affecting the trading value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the 7.375% Notes Due 2019.</w:t>
      </w:r>
    </w:p>
    <w:p>
      <w:pPr>
        <w:spacing w:after="0" w:line="103" w:lineRule="exact"/>
        <w:rPr>
          <w:sz w:val="20"/>
          <w:szCs w:val="20"/>
          <w:color w:val="auto"/>
        </w:rPr>
      </w:pPr>
    </w:p>
    <w:p>
      <w:pPr>
        <w:ind w:left="40" w:right="959" w:firstLine="270"/>
        <w:spacing w:after="0" w:line="312" w:lineRule="auto"/>
        <w:rPr>
          <w:sz w:val="20"/>
          <w:szCs w:val="20"/>
          <w:color w:val="auto"/>
        </w:rPr>
      </w:pPr>
      <w:r>
        <w:rPr>
          <w:rFonts w:ascii="Arial" w:cs="Arial" w:eastAsia="Arial" w:hAnsi="Arial"/>
          <w:sz w:val="16"/>
          <w:szCs w:val="16"/>
          <w:color w:val="auto"/>
        </w:rPr>
        <w:t>Other debt we issue or incur in the future could contain more protections for its holders than the indenture and the 7.375% Notes Due 2019, including additional covenants and events of default. The issuance or incurrence of any such debt with incremental protections could affect the market for and trading levels and prices of the 7.375% Notes Due 2019.</w:t>
      </w:r>
    </w:p>
    <w:p>
      <w:pPr>
        <w:spacing w:after="0" w:line="66" w:lineRule="exact"/>
        <w:rPr>
          <w:sz w:val="20"/>
          <w:szCs w:val="20"/>
          <w:color w:val="auto"/>
        </w:rPr>
      </w:pPr>
    </w:p>
    <w:p>
      <w:pPr>
        <w:jc w:val="both"/>
        <w:ind w:left="40" w:right="619"/>
        <w:spacing w:after="0" w:line="264" w:lineRule="auto"/>
        <w:rPr>
          <w:sz w:val="20"/>
          <w:szCs w:val="20"/>
          <w:color w:val="auto"/>
        </w:rPr>
      </w:pPr>
      <w:r>
        <w:rPr>
          <w:rFonts w:ascii="Arial" w:cs="Arial" w:eastAsia="Arial" w:hAnsi="Arial"/>
          <w:sz w:val="18"/>
          <w:szCs w:val="18"/>
          <w:b w:val="1"/>
          <w:bCs w:val="1"/>
          <w:i w:val="1"/>
          <w:iCs w:val="1"/>
          <w:color w:val="auto"/>
        </w:rPr>
        <w:t>Even though the 7.375% Notes Due 2019 are listed on the NYSE, an active trading market for the 7.375% Notes Due 2019 may not develop, or if it does develop, it will be sustained, which could limit your ability to sell the 7.375% Notes Due 2019 or affect the market price of the 7.375% Notes Due 2019.</w:t>
      </w:r>
    </w:p>
    <w:p>
      <w:pPr>
        <w:spacing w:after="0" w:line="73" w:lineRule="exact"/>
        <w:rPr>
          <w:sz w:val="20"/>
          <w:szCs w:val="20"/>
          <w:color w:val="auto"/>
        </w:rPr>
      </w:pPr>
    </w:p>
    <w:p>
      <w:pPr>
        <w:jc w:val="both"/>
        <w:ind w:left="40" w:right="679" w:firstLine="270"/>
        <w:spacing w:after="0" w:line="264" w:lineRule="auto"/>
        <w:rPr>
          <w:sz w:val="20"/>
          <w:szCs w:val="20"/>
          <w:color w:val="auto"/>
        </w:rPr>
      </w:pPr>
      <w:r>
        <w:rPr>
          <w:rFonts w:ascii="Arial" w:cs="Arial" w:eastAsia="Arial" w:hAnsi="Arial"/>
          <w:sz w:val="18"/>
          <w:szCs w:val="18"/>
          <w:color w:val="auto"/>
        </w:rPr>
        <w:t>We cannot provide any assurances that an active trading market will develop for the 7.375% Notes Due 2019 or that, if it does develop, it will be sustained or that you will be able to sell your 7.375% Notes Due 2019. The 7.375% Notes Due 2019 may trade at a discount from the price paid for the notes depending on</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979"/>
        <w:spacing w:after="0" w:line="277" w:lineRule="auto"/>
        <w:rPr>
          <w:sz w:val="20"/>
          <w:szCs w:val="20"/>
          <w:color w:val="auto"/>
        </w:rPr>
      </w:pPr>
      <w:r>
        <w:rPr>
          <w:rFonts w:ascii="Arial" w:cs="Arial" w:eastAsia="Arial" w:hAnsi="Arial"/>
          <w:sz w:val="18"/>
          <w:szCs w:val="18"/>
          <w:color w:val="auto"/>
        </w:rPr>
        <w:t>prevailing interest rates, the market for similar securities, our credit ratings, if any, general economic conditions, our financial condition, performance and prospects and other factors.</w:t>
      </w:r>
    </w:p>
    <w:p>
      <w:pPr>
        <w:spacing w:after="0" w:line="62" w:lineRule="exact"/>
        <w:rPr>
          <w:sz w:val="20"/>
          <w:szCs w:val="20"/>
          <w:color w:val="auto"/>
        </w:rPr>
      </w:pPr>
    </w:p>
    <w:p>
      <w:pPr>
        <w:ind w:left="40" w:right="679" w:firstLine="270"/>
        <w:spacing w:after="0" w:line="297" w:lineRule="auto"/>
        <w:rPr>
          <w:sz w:val="20"/>
          <w:szCs w:val="20"/>
          <w:color w:val="auto"/>
        </w:rPr>
      </w:pPr>
      <w:r>
        <w:rPr>
          <w:rFonts w:ascii="Arial" w:cs="Arial" w:eastAsia="Arial" w:hAnsi="Arial"/>
          <w:sz w:val="16"/>
          <w:szCs w:val="16"/>
          <w:color w:val="auto"/>
        </w:rPr>
        <w:t>Accordingly, we cannot assure you that a liquid trading market will develop for the 7.375% Notes Due 2019, or that, if an active trading market for the 7.375% Notes Due 2019 does develop, it will be sustained, that you will be able to sell your 7.375% Notes Due 2019 at a particular time or that the price you receive when you sell will be favorable. To the extent an active trading market does not develop the liquidity and trading price for the 7.375% Notes Due 2019 may be harmed. Accordingly, you may be required to bear the financial risk of an investment in the 7.375% Notes Due 2019 for an indefinite period of time.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If we default on our obligations to pay our other indebtedness, we may not be able to make payments on the Convertible Notes.</w:t>
      </w:r>
    </w:p>
    <w:p>
      <w:pPr>
        <w:spacing w:after="0" w:line="152"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the Convertible Notes due 2016 and other indebtedness to which we may be a party that is not waived by the required lenders, and the remedies sought by the holders of such indebtedness could make us unable to pay principal, premium, if any, and interest on the Convertible Notes and substantially decrease the market value of the Convertible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 any debt we may incur in the future could elect to terminate its commitment, cease making further loans and institute foreclosure proceedings against our assets, and we could be forced into bankruptcy or liquidation. If our operating performance declines, we may in the future need to seek to obtain waivers from under any other debt that we may incur in the future to avoid being in default. If we breach our covenants under any debt and seek a waiver, we may not be able to obtain a waiver from the required lenders. If this occurs, we would be in default under any debt, the lender could exercise its rights as described above, and we could be forced into bankruptcy or liquidation. If we are unable to repay debt, lenders having secured obligations could proceed against the collateral securing the debt. Because the Convertible Notes have, and any future debt we issue will likely have, customary cross-default provisions, if the indebtedness under the Convertible Notes or any other debt we may issue is accelerated, we may be unable to repay or finance the amounts due.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do not own any real estate or other real property. Our wholly-owned portfolio company, Katonah Debt Advisors, is the</w:t>
      </w:r>
    </w:p>
    <w:p>
      <w:pPr>
        <w:spacing w:after="0" w:line="51" w:lineRule="exact"/>
        <w:rPr>
          <w:sz w:val="20"/>
          <w:szCs w:val="20"/>
          <w:color w:val="auto"/>
        </w:rPr>
      </w:pPr>
    </w:p>
    <w:p>
      <w:pPr>
        <w:jc w:val="both"/>
        <w:ind w:left="40" w:right="959"/>
        <w:spacing w:after="0" w:line="221" w:lineRule="auto"/>
        <w:rPr>
          <w:sz w:val="20"/>
          <w:szCs w:val="20"/>
          <w:color w:val="auto"/>
        </w:rPr>
      </w:pPr>
      <w:r>
        <w:rPr>
          <w:rFonts w:ascii="Arial" w:cs="Arial" w:eastAsia="Arial" w:hAnsi="Arial"/>
          <w:sz w:val="18"/>
          <w:szCs w:val="18"/>
          <w:color w:val="auto"/>
        </w:rPr>
        <w:t>lessee for our principal headquarters at 295 Madison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We have entered into an Overhead Allocation Agreement with Katonah Debt Advisors which provides for the sharing of the expenses under the lease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60" w:right="1360" w:hanging="39"/>
        <w:spacing w:after="0" w:line="393"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PRICE RANGE OF COMMON STOCK</w:t>
      </w:r>
    </w:p>
    <w:p>
      <w:pPr>
        <w:spacing w:after="0" w:line="1" w:lineRule="exact"/>
        <w:rPr>
          <w:sz w:val="20"/>
          <w:szCs w:val="20"/>
          <w:color w:val="auto"/>
        </w:rPr>
      </w:pPr>
    </w:p>
    <w:p>
      <w:pPr>
        <w:ind w:left="60" w:right="840" w:firstLine="270"/>
        <w:spacing w:after="0" w:line="264" w:lineRule="auto"/>
        <w:rPr>
          <w:sz w:val="20"/>
          <w:szCs w:val="20"/>
          <w:color w:val="auto"/>
        </w:rPr>
      </w:pPr>
      <w:r>
        <w:rPr>
          <w:rFonts w:ascii="Arial" w:cs="Arial" w:eastAsia="Arial" w:hAnsi="Arial"/>
          <w:sz w:val="18"/>
          <w:szCs w:val="18"/>
          <w:color w:val="auto"/>
        </w:rPr>
        <w:t>Our common stock is quoted on The NASDAQ Global Select Market under the symbol “KCAP.” We completed our initial public offering on December 11, 2006 at an initial public offering (“IPO”) price of $15.00 per share. Prior to such date there was no public market for our common stock.</w:t>
      </w:r>
    </w:p>
    <w:p>
      <w:pPr>
        <w:spacing w:after="0" w:line="73" w:lineRule="exact"/>
        <w:rPr>
          <w:sz w:val="20"/>
          <w:szCs w:val="20"/>
          <w:color w:val="auto"/>
        </w:rPr>
      </w:pPr>
    </w:p>
    <w:p>
      <w:pPr>
        <w:ind w:left="60" w:right="940" w:firstLine="270"/>
        <w:spacing w:after="0" w:line="286" w:lineRule="auto"/>
        <w:rPr>
          <w:sz w:val="20"/>
          <w:szCs w:val="20"/>
          <w:color w:val="auto"/>
        </w:rPr>
      </w:pPr>
      <w:r>
        <w:rPr>
          <w:rFonts w:ascii="Arial" w:cs="Arial" w:eastAsia="Arial" w:hAnsi="Arial"/>
          <w:sz w:val="17"/>
          <w:szCs w:val="17"/>
          <w:color w:val="auto"/>
        </w:rPr>
        <w:t>The following table sets forth the range of high and low closing sales prices per share of our common stock as reported on The NASDAQ Global Select Market in respect of the periods indicated. The stock quotations are interdealer quotations and do not include markups, markdowns or commissions and may not necessarily represent actual transactions.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Stock Prices for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Close</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2"/>
              <w:spacing w:after="0" w:line="230" w:lineRule="exact"/>
              <w:rPr>
                <w:sz w:val="20"/>
                <w:szCs w:val="20"/>
                <w:color w:val="auto"/>
              </w:rPr>
            </w:pPr>
            <w:r>
              <w:rPr>
                <w:rFonts w:ascii="Arial" w:cs="Arial" w:eastAsia="Arial" w:hAnsi="Arial"/>
                <w:sz w:val="14"/>
                <w:szCs w:val="14"/>
                <w:b w:val="1"/>
                <w:bCs w:val="1"/>
                <w:color w:val="auto"/>
                <w:w w:val="91"/>
              </w:rPr>
              <w:t>NAV</w:t>
            </w:r>
            <w:r>
              <w:rPr>
                <w:rFonts w:ascii="Arial" w:cs="Arial" w:eastAsia="Arial" w:hAnsi="Arial"/>
                <w:sz w:val="23"/>
                <w:szCs w:val="23"/>
                <w:b w:val="1"/>
                <w:bCs w:val="1"/>
                <w:color w:val="auto"/>
                <w:w w:val="91"/>
                <w:vertAlign w:val="superscript"/>
              </w:rPr>
              <w:t>(1)</w:t>
            </w:r>
          </w:p>
        </w:tc>
      </w:tr>
      <w:tr>
        <w:trPr>
          <w:trHeight w:val="210"/>
        </w:trPr>
        <w:tc>
          <w:tcPr>
            <w:tcW w:w="5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2013:</w:t>
            </w:r>
          </w:p>
        </w:tc>
        <w:tc>
          <w:tcPr>
            <w:tcW w:w="1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50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11.10</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8.30</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8.95</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7.96</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11.26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11.26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16"/>
        </w:trPr>
        <w:tc>
          <w:tcPr>
            <w:tcW w:w="50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10.89</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9.41</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10.77</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0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9.67</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7.40</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9.19</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502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50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7.26</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7.26</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502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300" w:right="840" w:hanging="27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Asset Value (“NAV”) per share is determined as of the last day in the relevant quarter and therefore may not reflect the NAV per share on the date of the high and low closing sales prices.</w:t>
      </w:r>
    </w:p>
    <w:p>
      <w:pPr>
        <w:spacing w:after="0" w:line="62" w:lineRule="exact"/>
        <w:rPr>
          <w:sz w:val="20"/>
          <w:szCs w:val="20"/>
          <w:color w:val="auto"/>
        </w:rPr>
      </w:pPr>
    </w:p>
    <w:p>
      <w:pPr>
        <w:jc w:val="both"/>
        <w:ind w:left="60" w:right="940" w:firstLine="270"/>
        <w:spacing w:after="0" w:line="259" w:lineRule="auto"/>
        <w:rPr>
          <w:sz w:val="20"/>
          <w:szCs w:val="20"/>
          <w:color w:val="auto"/>
        </w:rPr>
      </w:pPr>
      <w:r>
        <w:rPr>
          <w:rFonts w:ascii="Arial" w:cs="Arial" w:eastAsia="Arial" w:hAnsi="Arial"/>
          <w:sz w:val="18"/>
          <w:szCs w:val="18"/>
          <w:color w:val="auto"/>
        </w:rPr>
        <w:t>We began paying quarterly dividends in our first full quarter of operations following our IPO. See “Management’s Discussion and Analysis of Financial Condition and Results of Operations” and Note 7 — “Distributable Tax Income” from our Notes to the Financial Statements included herein. The table below provides information relating to dividends we paid in respect of the periods indicated.</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Dividend</w:t>
            </w:r>
          </w:p>
        </w:tc>
        <w:tc>
          <w:tcPr>
            <w:tcW w:w="16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Declaration</w:t>
            </w:r>
          </w:p>
        </w:tc>
        <w:tc>
          <w:tcPr>
            <w:tcW w:w="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Pay Date</w:t>
            </w:r>
          </w:p>
        </w:tc>
        <w:tc>
          <w:tcPr>
            <w:tcW w:w="218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210"/>
        </w:trPr>
        <w:tc>
          <w:tcPr>
            <w:tcW w:w="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2013:</w:t>
            </w:r>
          </w:p>
        </w:tc>
        <w:tc>
          <w:tcPr>
            <w:tcW w:w="3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960" w:type="dxa"/>
            <w:vAlign w:val="bottom"/>
            <w:gridSpan w:val="2"/>
          </w:tcPr>
          <w:p>
            <w:pPr>
              <w:ind w:left="20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12/13/2013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12/27/2013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1/27/2014</w:t>
            </w:r>
          </w:p>
        </w:tc>
        <w:tc>
          <w:tcPr>
            <w:tcW w:w="21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9/13/2013</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10/8/2013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10/29/2013</w:t>
            </w:r>
          </w:p>
        </w:tc>
        <w:tc>
          <w:tcPr>
            <w:tcW w:w="2180" w:type="dxa"/>
            <w:vAlign w:val="bottom"/>
          </w:tcPr>
          <w:p>
            <w:pPr>
              <w:spacing w:after="0"/>
              <w:rPr>
                <w:sz w:val="18"/>
                <w:szCs w:val="18"/>
                <w:color w:val="auto"/>
              </w:rPr>
            </w:pPr>
          </w:p>
        </w:tc>
      </w:tr>
      <w:tr>
        <w:trPr>
          <w:trHeight w:val="216"/>
        </w:trPr>
        <w:tc>
          <w:tcPr>
            <w:tcW w:w="3960" w:type="dxa"/>
            <w:vAlign w:val="bottom"/>
            <w:gridSpan w:val="2"/>
          </w:tcPr>
          <w:p>
            <w:pPr>
              <w:ind w:left="20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6/17/2013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7/5/2013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7/26/2013</w:t>
            </w:r>
          </w:p>
        </w:tc>
        <w:tc>
          <w:tcPr>
            <w:tcW w:w="2180" w:type="dxa"/>
            <w:vAlign w:val="bottom"/>
          </w:tcPr>
          <w:p>
            <w:pPr>
              <w:spacing w:after="0"/>
              <w:rPr>
                <w:sz w:val="18"/>
                <w:szCs w:val="18"/>
                <w:color w:val="auto"/>
              </w:rPr>
            </w:pPr>
          </w:p>
        </w:tc>
      </w:tr>
      <w:tr>
        <w:trPr>
          <w:trHeight w:val="216"/>
        </w:trPr>
        <w:tc>
          <w:tcPr>
            <w:tcW w:w="396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0.28</w:t>
            </w: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3/15/2013</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4/5/2013</w:t>
            </w: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4/26/2013</w:t>
            </w:r>
          </w:p>
        </w:tc>
        <w:tc>
          <w:tcPr>
            <w:tcW w:w="2180" w:type="dxa"/>
            <w:vAlign w:val="bottom"/>
          </w:tcPr>
          <w:p>
            <w:pPr>
              <w:spacing w:after="0"/>
              <w:rPr>
                <w:sz w:val="18"/>
                <w:szCs w:val="18"/>
                <w:color w:val="auto"/>
              </w:rPr>
            </w:pPr>
          </w:p>
        </w:tc>
      </w:tr>
      <w:tr>
        <w:trPr>
          <w:trHeight w:val="210"/>
        </w:trPr>
        <w:tc>
          <w:tcPr>
            <w:tcW w:w="3960" w:type="dxa"/>
            <w:vAlign w:val="bottom"/>
            <w:gridSpan w:val="2"/>
          </w:tcPr>
          <w:p>
            <w:pPr>
              <w:ind w:left="200"/>
              <w:spacing w:after="0"/>
              <w:rPr>
                <w:sz w:val="20"/>
                <w:szCs w:val="20"/>
                <w:color w:val="auto"/>
              </w:rPr>
            </w:pPr>
            <w:r>
              <w:rPr>
                <w:rFonts w:ascii="Arial" w:cs="Arial" w:eastAsia="Arial" w:hAnsi="Arial"/>
                <w:sz w:val="18"/>
                <w:szCs w:val="18"/>
                <w:color w:val="auto"/>
              </w:rPr>
              <w:t>Total declared for 2013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0"/>
        </w:trPr>
        <w:tc>
          <w:tcPr>
            <w:tcW w:w="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3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960" w:type="dxa"/>
            <w:vAlign w:val="bottom"/>
            <w:gridSpan w:val="2"/>
          </w:tcPr>
          <w:p>
            <w:pPr>
              <w:ind w:left="20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12/17/2012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12/28/2012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1/28/2013</w:t>
            </w:r>
          </w:p>
        </w:tc>
        <w:tc>
          <w:tcPr>
            <w:tcW w:w="21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9/17/2012</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10/10/2012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10/29/2012</w:t>
            </w:r>
          </w:p>
        </w:tc>
        <w:tc>
          <w:tcPr>
            <w:tcW w:w="2180" w:type="dxa"/>
            <w:vAlign w:val="bottom"/>
          </w:tcPr>
          <w:p>
            <w:pPr>
              <w:spacing w:after="0"/>
              <w:rPr>
                <w:sz w:val="18"/>
                <w:szCs w:val="18"/>
                <w:color w:val="auto"/>
              </w:rPr>
            </w:pPr>
          </w:p>
        </w:tc>
      </w:tr>
      <w:tr>
        <w:trPr>
          <w:trHeight w:val="216"/>
        </w:trPr>
        <w:tc>
          <w:tcPr>
            <w:tcW w:w="3960" w:type="dxa"/>
            <w:vAlign w:val="bottom"/>
            <w:gridSpan w:val="2"/>
          </w:tcPr>
          <w:p>
            <w:pPr>
              <w:ind w:left="20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6/18/2012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7/6/2012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7/27/2012</w:t>
            </w:r>
          </w:p>
        </w:tc>
        <w:tc>
          <w:tcPr>
            <w:tcW w:w="2180" w:type="dxa"/>
            <w:vAlign w:val="bottom"/>
          </w:tcPr>
          <w:p>
            <w:pPr>
              <w:spacing w:after="0"/>
              <w:rPr>
                <w:sz w:val="18"/>
                <w:szCs w:val="18"/>
                <w:color w:val="auto"/>
              </w:rPr>
            </w:pPr>
          </w:p>
        </w:tc>
      </w:tr>
      <w:tr>
        <w:trPr>
          <w:trHeight w:val="216"/>
        </w:trPr>
        <w:tc>
          <w:tcPr>
            <w:tcW w:w="396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0.18</w:t>
            </w: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3/16/2012</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4/6/2012</w:t>
            </w: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4/27/2012</w:t>
            </w:r>
          </w:p>
        </w:tc>
        <w:tc>
          <w:tcPr>
            <w:tcW w:w="2180" w:type="dxa"/>
            <w:vAlign w:val="bottom"/>
          </w:tcPr>
          <w:p>
            <w:pPr>
              <w:spacing w:after="0"/>
              <w:rPr>
                <w:sz w:val="18"/>
                <w:szCs w:val="18"/>
                <w:color w:val="auto"/>
              </w:rPr>
            </w:pPr>
          </w:p>
        </w:tc>
      </w:tr>
      <w:tr>
        <w:trPr>
          <w:trHeight w:val="210"/>
        </w:trPr>
        <w:tc>
          <w:tcPr>
            <w:tcW w:w="3960" w:type="dxa"/>
            <w:vAlign w:val="bottom"/>
            <w:gridSpan w:val="2"/>
          </w:tcPr>
          <w:p>
            <w:pPr>
              <w:ind w:left="200"/>
              <w:spacing w:after="0"/>
              <w:rPr>
                <w:sz w:val="20"/>
                <w:szCs w:val="20"/>
                <w:color w:val="auto"/>
              </w:rPr>
            </w:pPr>
            <w:r>
              <w:rPr>
                <w:rFonts w:ascii="Arial" w:cs="Arial" w:eastAsia="Arial" w:hAnsi="Arial"/>
                <w:sz w:val="18"/>
                <w:szCs w:val="18"/>
                <w:color w:val="auto"/>
              </w:rPr>
              <w:t>Total declared for 2012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763"/>
        </w:trPr>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-1671955</wp:posOffset>
            </wp:positionV>
            <wp:extent cx="521398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-805180</wp:posOffset>
            </wp:positionV>
            <wp:extent cx="521398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The determination of the tax attributes of our distributions is made annually, based upon our taxable income for the full year and distributions paid for the full year. Ordinary dividend distributions from a RIC do not qualify for the tax rate applicable to “qualified dividend income” from domestic corporations and qualified foreign corporations, except to the extent that the RIC received the income in the form of qualifying dividends from domestic corporations and qualified foreign corporations. For further information about the tax attributes, see Note 7 “Distributable Taxable Income” of our notes to the financial statements, which can be found elsewhere in this Annual Report.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left="40" w:right="759" w:firstLine="270"/>
        <w:spacing w:after="0" w:line="257" w:lineRule="auto"/>
        <w:rPr>
          <w:sz w:val="20"/>
          <w:szCs w:val="20"/>
          <w:color w:val="auto"/>
        </w:rPr>
      </w:pPr>
      <w:r>
        <w:rPr>
          <w:rFonts w:ascii="Arial" w:cs="Arial" w:eastAsia="Arial" w:hAnsi="Arial"/>
          <w:sz w:val="18"/>
          <w:szCs w:val="18"/>
          <w:color w:val="auto"/>
        </w:rPr>
        <w:t>The following graph compares the return on our common stock with that of the Russell 2000 Index and the Nasdaq Financial 100 Index (IXF), for the period December 11, 2006 (the date of our initial public offering) to December 31, 2013. The graph assumes that, on December 11, 2006, a person invested $100 in each of our common stock, the Russell 2000 Index, and the IFX. The graph measures total shareholder return, which takes into account both changes in stock price and dividends. It assumes that dividends are reinvested.</w:t>
      </w:r>
    </w:p>
    <w:p>
      <w:pPr>
        <w:spacing w:after="0" w:line="18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Shareholder Return Performance Graph</w:t>
      </w:r>
    </w:p>
    <w:p>
      <w:pPr>
        <w:ind w:left="2620"/>
        <w:spacing w:after="0" w:line="217" w:lineRule="auto"/>
        <w:rPr>
          <w:sz w:val="20"/>
          <w:szCs w:val="20"/>
          <w:color w:val="auto"/>
        </w:rPr>
      </w:pPr>
      <w:r>
        <w:rPr>
          <w:rFonts w:ascii="Arial" w:cs="Arial" w:eastAsia="Arial" w:hAnsi="Arial"/>
          <w:sz w:val="18"/>
          <w:szCs w:val="18"/>
          <w:b w:val="1"/>
          <w:bCs w:val="1"/>
          <w:color w:val="auto"/>
        </w:rPr>
        <w:t>Cumulative Total Return Since Initial Public Offering</w:t>
      </w:r>
      <w:r>
        <w:rPr>
          <w:rFonts w:ascii="Arial" w:cs="Arial" w:eastAsia="Arial" w:hAnsi="Arial"/>
          <w:sz w:val="30"/>
          <w:szCs w:val="30"/>
          <w:b w:val="1"/>
          <w:bCs w:val="1"/>
          <w:color w:val="auto"/>
          <w:vertAlign w:val="superscript"/>
        </w:rPr>
        <w:t>(1)</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(Through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73025</wp:posOffset>
            </wp:positionV>
            <wp:extent cx="5402580" cy="2667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0258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right="639" w:hanging="272"/>
        <w:spacing w:after="0" w:line="312" w:lineRule="auto"/>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Total return includes reinvestment of dividends through December 31, 2013. The IXF is an index of diversified financial sector stocks and, as such, the Company believes that it is representative of our industry. The Russell 2000 is a broad based equity market index that tracks companies with a market capitalization that the Company believes are comparable to it.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40" w:right="919" w:firstLine="270"/>
        <w:spacing w:after="0" w:line="277" w:lineRule="auto"/>
        <w:rPr>
          <w:sz w:val="20"/>
          <w:szCs w:val="20"/>
          <w:color w:val="auto"/>
        </w:rPr>
      </w:pPr>
      <w:r>
        <w:rPr>
          <w:rFonts w:ascii="Arial" w:cs="Arial" w:eastAsia="Arial" w:hAnsi="Arial"/>
          <w:sz w:val="18"/>
          <w:szCs w:val="18"/>
          <w:color w:val="auto"/>
        </w:rPr>
        <w:t>As of December 31, 2013, there were 13 shareholders of record of our common stock and approximately 13,170 beneficial shareholders of the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year ended December 31, 2013, we issued 71,381 shares of common stock pursuant to a dividend reinvestment plan.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This issuance was not subject to the registration requirements of the Securities Act. See Note 9 “Stockholders’ Equity,” of our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Notes to the Consolidated Financial Statements included elsewhere in this annual report.</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0" w:right="539" w:firstLine="270"/>
        <w:spacing w:after="0" w:line="269" w:lineRule="auto"/>
        <w:rPr>
          <w:sz w:val="20"/>
          <w:szCs w:val="20"/>
          <w:color w:val="auto"/>
        </w:rPr>
      </w:pPr>
      <w:r>
        <w:rPr>
          <w:rFonts w:ascii="Arial" w:cs="Arial" w:eastAsia="Arial" w:hAnsi="Arial"/>
          <w:sz w:val="17"/>
          <w:szCs w:val="17"/>
          <w:color w:val="auto"/>
        </w:rPr>
        <w:t>We intend to continue to distribute quarterly dividends to our stockholders. Our quarterly dividends, if any, will be determined by our Board of Directors. To maintain our RIC status, we must timely distribute an amount equal to at least 90% of our ordinary income and realized net short-term capital gains in excess of realized net long-term capital losses, if any, reduced by deductible expenses, out of the assets legally available for distribution, for each year. To avoid certain excise taxes imposed on RICs, we are generally required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If this requirement is not met, we will be required to pay a nondeductible excise tax equal to 4% of the amount by which the required distribution amount exceeds the actual distribution for the year. The taxable income on which an excise tax is paid is generally carried forward and distributed to stockholders in the next tax year. Depending on the level of taxable income earned in a tax year, we may choose to carry forward taxable income in excess of current year distributions into the next tax year and pay a 4% excise tax on such income, to the extent required.</w:t>
      </w:r>
    </w:p>
    <w:p>
      <w:pPr>
        <w:spacing w:after="0" w:line="72"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We cannot assure you that we will achieve results that will permit the payment of any cash distributions and, because we issued public senior securities, we are prohibited from making distributions if doing so causes us to fail to maintain the asset coverage ratio stipulated by the 1940 Act. Similarly, we may be prohibited from making distributions by the terms of any of our other borrowings.</w:t>
      </w:r>
    </w:p>
    <w:p>
      <w:pPr>
        <w:spacing w:after="0" w:line="79" w:lineRule="exact"/>
        <w:rPr>
          <w:sz w:val="20"/>
          <w:szCs w:val="20"/>
          <w:color w:val="auto"/>
        </w:rPr>
      </w:pPr>
    </w:p>
    <w:p>
      <w:pPr>
        <w:ind w:left="60" w:right="679" w:firstLine="270"/>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60" w:right="719" w:firstLine="270"/>
        <w:spacing w:after="0" w:line="262" w:lineRule="auto"/>
        <w:rPr>
          <w:sz w:val="20"/>
          <w:szCs w:val="20"/>
          <w:color w:val="auto"/>
        </w:rPr>
      </w:pPr>
      <w:r>
        <w:rPr>
          <w:rFonts w:ascii="Arial" w:cs="Arial" w:eastAsia="Arial" w:hAnsi="Arial"/>
          <w:sz w:val="18"/>
          <w:szCs w:val="18"/>
          <w:color w:val="auto"/>
        </w:rPr>
        <w:t>The following table summarizes certain information regarding the Amended and Restated 2006 Equity Incentive Plan (the “Equity Incentive Plan”) and the Amended and Restated Non-Employee Director Plan (the “Non-Employee Director Plan”)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46482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272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3"/>
                <w:szCs w:val="13"/>
                <w:color w:val="auto"/>
              </w:rPr>
            </w:pPr>
          </w:p>
        </w:tc>
        <w:tc>
          <w:tcPr>
            <w:tcW w:w="13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80"/>
              <w:spacing w:after="0" w:line="151"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3"/>
                <w:szCs w:val="13"/>
                <w:color w:val="auto"/>
              </w:rPr>
            </w:pPr>
          </w:p>
        </w:tc>
        <w:tc>
          <w:tcPr>
            <w:tcW w:w="170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2"/>
              </w:rPr>
              <w:t>Number of Securities</w:t>
            </w:r>
          </w:p>
        </w:tc>
      </w:tr>
      <w:tr>
        <w:trPr>
          <w:trHeight w:val="149"/>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r>
      <w:tr>
        <w:trPr>
          <w:trHeight w:val="149"/>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r>
      <w:tr>
        <w:trPr>
          <w:trHeight w:val="149"/>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r>
      <w:tr>
        <w:trPr>
          <w:trHeight w:val="149"/>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and Rights</w:t>
            </w: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r>
      <w:tr>
        <w:trPr>
          <w:trHeight w:val="149"/>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r>
      <w:tr>
        <w:trPr>
          <w:trHeight w:val="171"/>
        </w:trPr>
        <w:tc>
          <w:tcPr>
            <w:tcW w:w="2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and Rights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98"/>
        </w:trPr>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w:t>
            </w:r>
          </w:p>
        </w:tc>
      </w:tr>
      <w:tr>
        <w:trPr>
          <w:trHeight w:val="258"/>
        </w:trPr>
        <w:tc>
          <w:tcPr>
            <w:tcW w:w="2720" w:type="dxa"/>
            <w:vAlign w:val="bottom"/>
          </w:tcPr>
          <w:p>
            <w:pPr>
              <w:ind w:left="20"/>
              <w:spacing w:after="0"/>
              <w:rPr>
                <w:sz w:val="20"/>
                <w:szCs w:val="20"/>
                <w:color w:val="auto"/>
              </w:rPr>
            </w:pPr>
            <w:r>
              <w:rPr>
                <w:rFonts w:ascii="Arial" w:cs="Arial" w:eastAsia="Arial" w:hAnsi="Arial"/>
                <w:sz w:val="18"/>
                <w:szCs w:val="18"/>
                <w:color w:val="auto"/>
              </w:rPr>
              <w:t>Equity Compensation Plans</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860" w:type="dxa"/>
            <w:vAlign w:val="bottom"/>
            <w:gridSpan w:val="3"/>
          </w:tcPr>
          <w:p>
            <w:pPr>
              <w:jc w:val="right"/>
              <w:ind w:right="240"/>
              <w:spacing w:after="0" w:line="258" w:lineRule="exact"/>
              <w:rPr>
                <w:sz w:val="20"/>
                <w:szCs w:val="20"/>
                <w:color w:val="auto"/>
              </w:rPr>
            </w:pPr>
            <w:r>
              <w:rPr>
                <w:rFonts w:ascii="Arial" w:cs="Arial" w:eastAsia="Arial" w:hAnsi="Arial"/>
                <w:sz w:val="18"/>
                <w:szCs w:val="18"/>
                <w:color w:val="auto"/>
              </w:rPr>
              <w:t>1,388,809</w:t>
            </w:r>
            <w:r>
              <w:rPr>
                <w:rFonts w:ascii="Arial" w:cs="Arial" w:eastAsia="Arial" w:hAnsi="Arial"/>
                <w:sz w:val="29"/>
                <w:szCs w:val="29"/>
                <w:color w:val="auto"/>
                <w:vertAlign w:val="superscript"/>
              </w:rPr>
              <w:t>(2)(3)</w:t>
            </w:r>
          </w:p>
        </w:tc>
      </w:tr>
      <w:tr>
        <w:trPr>
          <w:trHeight w:val="267"/>
        </w:trPr>
        <w:tc>
          <w:tcPr>
            <w:tcW w:w="2720" w:type="dxa"/>
            <w:vAlign w:val="bottom"/>
          </w:tcPr>
          <w:p>
            <w:pPr>
              <w:ind w:left="200"/>
              <w:spacing w:after="0" w:line="266" w:lineRule="exact"/>
              <w:rPr>
                <w:sz w:val="20"/>
                <w:szCs w:val="20"/>
                <w:color w:val="auto"/>
              </w:rPr>
            </w:pPr>
            <w:r>
              <w:rPr>
                <w:rFonts w:ascii="Arial" w:cs="Arial" w:eastAsia="Arial" w:hAnsi="Arial"/>
                <w:sz w:val="18"/>
                <w:szCs w:val="18"/>
                <w:color w:val="auto"/>
                <w:w w:val="95"/>
              </w:rPr>
              <w:t>Approved by Security Holders</w:t>
            </w:r>
            <w:r>
              <w:rPr>
                <w:rFonts w:ascii="Arial" w:cs="Arial" w:eastAsia="Arial" w:hAnsi="Arial"/>
                <w:sz w:val="30"/>
                <w:szCs w:val="30"/>
                <w:color w:val="auto"/>
                <w:w w:val="95"/>
                <w:vertAlign w:val="superscript"/>
              </w:rPr>
              <w:t>(1)</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02"/>
        </w:trPr>
        <w:tc>
          <w:tcPr>
            <w:tcW w:w="27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Equity Compensation Plans Not</w:t>
            </w:r>
          </w:p>
        </w:tc>
        <w:tc>
          <w:tcPr>
            <w:tcW w:w="160" w:type="dxa"/>
            <w:vAlign w:val="bottom"/>
            <w:shd w:val="clear" w:color="auto" w:fill="CCFFCC"/>
          </w:tcPr>
          <w:p>
            <w:pPr>
              <w:spacing w:after="0"/>
              <w:rPr>
                <w:sz w:val="17"/>
                <w:szCs w:val="17"/>
                <w:color w:val="auto"/>
              </w:rPr>
            </w:pPr>
          </w:p>
        </w:tc>
        <w:tc>
          <w:tcPr>
            <w:tcW w:w="130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700" w:type="dxa"/>
            <w:vAlign w:val="bottom"/>
            <w:gridSpan w:val="2"/>
            <w:shd w:val="clear" w:color="auto" w:fill="CCFFCC"/>
          </w:tcPr>
          <w:p>
            <w:pPr>
              <w:jc w:val="right"/>
              <w:ind w:right="580"/>
              <w:spacing w:after="0" w:line="201" w:lineRule="exact"/>
              <w:rPr>
                <w:sz w:val="20"/>
                <w:szCs w:val="20"/>
                <w:color w:val="auto"/>
              </w:rPr>
            </w:pPr>
            <w:r>
              <w:rPr>
                <w:rFonts w:ascii="Arial" w:cs="Arial" w:eastAsia="Arial" w:hAnsi="Arial"/>
                <w:sz w:val="18"/>
                <w:szCs w:val="18"/>
                <w:color w:val="auto"/>
              </w:rPr>
              <w:t>—</w:t>
            </w:r>
          </w:p>
        </w:tc>
      </w:tr>
      <w:tr>
        <w:trPr>
          <w:trHeight w:val="230"/>
        </w:trPr>
        <w:tc>
          <w:tcPr>
            <w:tcW w:w="27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Approved by Security Holders</w:t>
            </w:r>
          </w:p>
        </w:tc>
        <w:tc>
          <w:tcPr>
            <w:tcW w:w="160" w:type="dxa"/>
            <w:vAlign w:val="bottom"/>
            <w:tcBorders>
              <w:bottom w:val="single" w:sz="8" w:color="CCFFCC"/>
            </w:tcBorders>
            <w:shd w:val="clear" w:color="auto" w:fill="CCFFCC"/>
          </w:tcPr>
          <w:p>
            <w:pPr>
              <w:spacing w:after="0"/>
              <w:rPr>
                <w:sz w:val="20"/>
                <w:szCs w:val="20"/>
                <w:color w:val="auto"/>
              </w:rPr>
            </w:pPr>
          </w:p>
        </w:tc>
        <w:tc>
          <w:tcPr>
            <w:tcW w:w="118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102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12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CCFFCC"/>
            </w:tcBorders>
            <w:shd w:val="clear" w:color="auto" w:fill="CCFFCC"/>
          </w:tcPr>
          <w:p>
            <w:pPr>
              <w:spacing w:after="0"/>
              <w:rPr>
                <w:sz w:val="20"/>
                <w:szCs w:val="20"/>
                <w:color w:val="auto"/>
              </w:rPr>
            </w:pP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1860" w:type="dxa"/>
            <w:vAlign w:val="bottom"/>
            <w:gridSpan w:val="3"/>
          </w:tcPr>
          <w:p>
            <w:pPr>
              <w:jc w:val="right"/>
              <w:ind w:right="580"/>
              <w:spacing w:after="0"/>
              <w:rPr>
                <w:sz w:val="20"/>
                <w:szCs w:val="20"/>
                <w:color w:val="auto"/>
              </w:rPr>
            </w:pPr>
            <w:r>
              <w:rPr>
                <w:rFonts w:ascii="Arial" w:cs="Arial" w:eastAsia="Arial" w:hAnsi="Arial"/>
                <w:sz w:val="18"/>
                <w:szCs w:val="18"/>
                <w:color w:val="auto"/>
              </w:rPr>
              <w:t>1,388,809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-156845</wp:posOffset>
            </wp:positionV>
            <wp:extent cx="1826895"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14605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-156845</wp:posOffset>
            </wp:positionV>
            <wp:extent cx="1803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3470910</wp:posOffset>
            </wp:positionH>
            <wp:positionV relativeFrom="paragraph">
              <wp:posOffset>-156845</wp:posOffset>
            </wp:positionV>
            <wp:extent cx="2146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-156845</wp:posOffset>
            </wp:positionV>
            <wp:extent cx="3689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160020</wp:posOffset>
            </wp:positionV>
            <wp:extent cx="6172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00" w:hanging="27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Equity Incentive Plan and Non-Employee Director Plan.</w:t>
      </w:r>
    </w:p>
    <w:p>
      <w:pPr>
        <w:spacing w:after="0" w:line="117" w:lineRule="exact"/>
        <w:rPr>
          <w:rFonts w:ascii="Arial" w:cs="Arial" w:eastAsia="Arial" w:hAnsi="Arial"/>
          <w:sz w:val="18"/>
          <w:szCs w:val="18"/>
          <w:color w:val="auto"/>
        </w:rPr>
      </w:pPr>
    </w:p>
    <w:p>
      <w:pPr>
        <w:ind w:left="300" w:right="559" w:hanging="272"/>
        <w:spacing w:after="0" w:line="288" w:lineRule="auto"/>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the following additional limitations: The aggregate number of shares of restricted stock that may be issued under the Equity Incentive Plan may not exceed 10% of the outstanding shares on June 13, 2008, the effective date of the Equity Incentive Plan, plus 10% of the number of shares issued or delivered by the Company (other than pursuant to compensation plans) during the term of the Equity Incentive Plan. No one person may be granted more than 25% of the shares of restricted stock reserved for issuance under the Equity Incentive Plan. In addition, the amount of voting securities that would result from the exercise of all of the Company’s outstanding warrants, options and rights, together with any restricted stock issued by the Company, at the time of issuance may not exceed 25% of the outstanding voting securities of the Company, except that if the amount of voting securities that would result from the exercise of all the Company’s outstanding warrants, options and rights issued to the Company’s directors, officers and employees, together with any restricted stock issued by the Company, would exceed 15% of the outstanding voting securities of the Company, the total amount of voting</w:t>
      </w:r>
    </w:p>
    <w:p>
      <w:pPr>
        <w:spacing w:after="0" w:line="200" w:lineRule="exact"/>
        <w:rPr>
          <w:sz w:val="20"/>
          <w:szCs w:val="20"/>
          <w:color w:val="auto"/>
        </w:rPr>
      </w:pPr>
    </w:p>
    <w:p>
      <w:pPr>
        <w:spacing w:after="0" w:line="3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280" w:right="739"/>
        <w:spacing w:after="0" w:line="342" w:lineRule="auto"/>
        <w:rPr>
          <w:sz w:val="20"/>
          <w:szCs w:val="20"/>
          <w:color w:val="auto"/>
        </w:rPr>
      </w:pPr>
      <w:r>
        <w:rPr>
          <w:rFonts w:ascii="Arial" w:cs="Arial" w:eastAsia="Arial" w:hAnsi="Arial"/>
          <w:sz w:val="16"/>
          <w:szCs w:val="16"/>
          <w:color w:val="auto"/>
        </w:rPr>
        <w:t>securities that would result from the exercise of all outstanding warrants, options and rights, together with any restricted stock issued by the Company, at the time of issuance may not exceed 20% of the outstanding voting securities of the Company.</w:t>
      </w:r>
    </w:p>
    <w:p>
      <w:pPr>
        <w:spacing w:after="0" w:line="16" w:lineRule="exact"/>
        <w:rPr>
          <w:sz w:val="20"/>
          <w:szCs w:val="20"/>
          <w:color w:val="auto"/>
        </w:rPr>
      </w:pPr>
    </w:p>
    <w:p>
      <w:pPr>
        <w:ind w:left="280" w:right="579" w:hanging="272"/>
        <w:spacing w:after="0" w:line="264"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1,352,809 shares issuable under the Company’s Equity Incentive Plan may be issued in the form of options, restricted stock or other stock-based awards. The 36,000 shares issuable under the Company’s Non-Employee Director Plan may currently be issued in the form of restricted stock.</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The following selected financial and other data for the years ended December 31, 2013, 2012, 2011, 2010, and 2009 is derived from our financial statements. The data should be read in conjunction with our financial statements and notes thereto and “Management’s Discussion and Analysis of Financial Condition and Results of Operations,” which are included in this Annual Report.</w:t>
      </w:r>
    </w:p>
    <w:p>
      <w:pPr>
        <w:spacing w:after="0" w:line="18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400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Year Ended</w:t>
            </w:r>
          </w:p>
        </w:tc>
      </w:tr>
      <w:tr>
        <w:trPr>
          <w:trHeight w:val="149"/>
        </w:trPr>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212"/>
        </w:trPr>
        <w:tc>
          <w:tcPr>
            <w:tcW w:w="2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20"/>
              <w:spacing w:after="0" w:line="212" w:lineRule="exact"/>
              <w:rPr>
                <w:sz w:val="20"/>
                <w:szCs w:val="20"/>
                <w:color w:val="auto"/>
              </w:rPr>
            </w:pPr>
            <w:r>
              <w:rPr>
                <w:rFonts w:ascii="Arial" w:cs="Arial" w:eastAsia="Arial" w:hAnsi="Arial"/>
                <w:sz w:val="14"/>
                <w:szCs w:val="14"/>
                <w:b w:val="1"/>
                <w:bCs w:val="1"/>
                <w:color w:val="auto"/>
                <w:w w:val="84"/>
              </w:rPr>
              <w:t>2009</w:t>
            </w:r>
            <w:r>
              <w:rPr>
                <w:rFonts w:ascii="Arial" w:cs="Arial" w:eastAsia="Arial" w:hAnsi="Arial"/>
                <w:sz w:val="23"/>
                <w:szCs w:val="23"/>
                <w:b w:val="1"/>
                <w:bCs w:val="1"/>
                <w:color w:val="auto"/>
                <w:w w:val="84"/>
                <w:vertAlign w:val="superscript"/>
              </w:rPr>
              <w:t>(1)</w:t>
            </w:r>
          </w:p>
        </w:tc>
        <w:tc>
          <w:tcPr>
            <w:tcW w:w="180" w:type="dxa"/>
            <w:vAlign w:val="bottom"/>
            <w:tcBorders>
              <w:bottom w:val="single" w:sz="8" w:color="auto"/>
            </w:tcBorders>
          </w:tcPr>
          <w:p>
            <w:pPr>
              <w:spacing w:after="0"/>
              <w:rPr>
                <w:sz w:val="18"/>
                <w:szCs w:val="18"/>
                <w:color w:val="auto"/>
              </w:rPr>
            </w:pPr>
          </w:p>
        </w:tc>
      </w:tr>
      <w:tr>
        <w:trPr>
          <w:trHeight w:val="196"/>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6"/>
                <w:szCs w:val="16"/>
                <w:color w:val="auto"/>
              </w:rPr>
              <w:t>Interest and related portfolio income: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2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Interest and Dividends</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35,210,764</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33,578,974</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w w:val="99"/>
              </w:rPr>
              <w:t>23,823,588</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24,638,631</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33,497,213</w:t>
            </w:r>
          </w:p>
        </w:tc>
      </w:tr>
      <w:tr>
        <w:trPr>
          <w:trHeight w:val="203"/>
        </w:trPr>
        <w:tc>
          <w:tcPr>
            <w:tcW w:w="2800" w:type="dxa"/>
            <w:vAlign w:val="bottom"/>
          </w:tcPr>
          <w:p>
            <w:pPr>
              <w:ind w:left="200"/>
              <w:spacing w:after="0"/>
              <w:rPr>
                <w:sz w:val="20"/>
                <w:szCs w:val="20"/>
                <w:color w:val="auto"/>
              </w:rPr>
            </w:pPr>
            <w:r>
              <w:rPr>
                <w:rFonts w:ascii="Arial" w:cs="Arial" w:eastAsia="Arial" w:hAnsi="Arial"/>
                <w:sz w:val="16"/>
                <w:szCs w:val="16"/>
                <w:color w:val="auto"/>
              </w:rPr>
              <w:t>Fees and other income</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305,376</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304,882</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86,057</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215,233</w:t>
            </w: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399,338</w:t>
            </w:r>
          </w:p>
        </w:tc>
      </w:tr>
      <w:tr>
        <w:trPr>
          <w:trHeight w:val="193"/>
        </w:trPr>
        <w:tc>
          <w:tcPr>
            <w:tcW w:w="2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Dividends from Asset Manager</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12,750,000</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4,700,000</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1,910,000</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4,500,000</w:t>
            </w:r>
          </w:p>
        </w:tc>
        <w:tc>
          <w:tcPr>
            <w:tcW w:w="8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r>
      <w:tr>
        <w:trPr>
          <w:trHeight w:val="212"/>
        </w:trPr>
        <w:tc>
          <w:tcPr>
            <w:tcW w:w="2800" w:type="dxa"/>
            <w:vAlign w:val="bottom"/>
            <w:shd w:val="clear" w:color="auto" w:fill="CCFFCC"/>
          </w:tcPr>
          <w:p>
            <w:pPr>
              <w:ind w:left="380"/>
              <w:spacing w:after="0"/>
              <w:rPr>
                <w:sz w:val="20"/>
                <w:szCs w:val="20"/>
                <w:color w:val="auto"/>
              </w:rPr>
            </w:pPr>
            <w:r>
              <w:rPr>
                <w:rFonts w:ascii="Arial" w:cs="Arial" w:eastAsia="Arial" w:hAnsi="Arial"/>
                <w:sz w:val="16"/>
                <w:szCs w:val="16"/>
                <w:color w:val="auto"/>
              </w:rPr>
              <w:t>Affiliates</w:t>
            </w: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03"/>
        </w:trPr>
        <w:tc>
          <w:tcPr>
            <w:tcW w:w="2800" w:type="dxa"/>
            <w:vAlign w:val="bottom"/>
          </w:tcPr>
          <w:p>
            <w:pPr>
              <w:ind w:left="200"/>
              <w:spacing w:after="0"/>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2,000,000</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0"/>
        </w:trPr>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6"/>
        </w:trPr>
        <w:tc>
          <w:tcPr>
            <w:tcW w:w="2800" w:type="dxa"/>
            <w:vAlign w:val="bottom"/>
            <w:shd w:val="clear" w:color="auto" w:fill="CCFFCC"/>
          </w:tcPr>
          <w:p>
            <w:pPr>
              <w:ind w:left="380"/>
              <w:spacing w:after="0"/>
              <w:rPr>
                <w:sz w:val="20"/>
                <w:szCs w:val="20"/>
                <w:color w:val="auto"/>
              </w:rPr>
            </w:pPr>
            <w:r>
              <w:rPr>
                <w:rFonts w:ascii="Arial" w:cs="Arial" w:eastAsia="Arial" w:hAnsi="Arial"/>
                <w:sz w:val="16"/>
                <w:szCs w:val="16"/>
                <w:color w:val="auto"/>
              </w:rPr>
              <w:t>Total interest and related portfolio</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48,266,140</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38,583,856</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w w:val="99"/>
              </w:rPr>
              <w:t>27,819,645</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29,353,864</w:t>
            </w:r>
          </w:p>
        </w:tc>
        <w:tc>
          <w:tcPr>
            <w:tcW w:w="8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33,896,551</w:t>
            </w:r>
          </w:p>
        </w:tc>
      </w:tr>
      <w:tr>
        <w:trPr>
          <w:trHeight w:val="209"/>
        </w:trPr>
        <w:tc>
          <w:tcPr>
            <w:tcW w:w="2800" w:type="dxa"/>
            <w:vAlign w:val="bottom"/>
            <w:tcBorders>
              <w:bottom w:val="single" w:sz="8" w:color="CCFFCC"/>
            </w:tcBorders>
            <w:shd w:val="clear" w:color="auto" w:fill="CCFFCC"/>
          </w:tcPr>
          <w:p>
            <w:pPr>
              <w:ind w:left="560"/>
              <w:spacing w:after="0"/>
              <w:rPr>
                <w:sz w:val="20"/>
                <w:szCs w:val="20"/>
                <w:color w:val="auto"/>
              </w:rPr>
            </w:pPr>
            <w:r>
              <w:rPr>
                <w:rFonts w:ascii="Arial" w:cs="Arial" w:eastAsia="Arial" w:hAnsi="Arial"/>
                <w:sz w:val="16"/>
                <w:szCs w:val="16"/>
                <w:color w:val="auto"/>
              </w:rPr>
              <w:t>income</w:t>
            </w: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20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22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r>
      <w:tr>
        <w:trPr>
          <w:trHeight w:val="199"/>
        </w:trPr>
        <w:tc>
          <w:tcPr>
            <w:tcW w:w="2800" w:type="dxa"/>
            <w:vAlign w:val="bottom"/>
          </w:tcPr>
          <w:p>
            <w:pPr>
              <w:ind w:left="20"/>
              <w:spacing w:after="0"/>
              <w:rPr>
                <w:sz w:val="20"/>
                <w:szCs w:val="20"/>
                <w:color w:val="auto"/>
              </w:rPr>
            </w:pPr>
            <w:r>
              <w:rPr>
                <w:rFonts w:ascii="Arial" w:cs="Arial" w:eastAsia="Arial" w:hAnsi="Arial"/>
                <w:sz w:val="16"/>
                <w:szCs w:val="16"/>
                <w:color w:val="auto"/>
              </w:rPr>
              <w:t>Expenses: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3"/>
        </w:trPr>
        <w:tc>
          <w:tcPr>
            <w:tcW w:w="2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Interest and amortization of debt</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10,116,271</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6,976,018</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4,588,482</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7,088,202</w:t>
            </w:r>
          </w:p>
        </w:tc>
        <w:tc>
          <w:tcPr>
            <w:tcW w:w="8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9,276,563</w:t>
            </w:r>
          </w:p>
        </w:tc>
      </w:tr>
      <w:tr>
        <w:trPr>
          <w:trHeight w:val="212"/>
        </w:trPr>
        <w:tc>
          <w:tcPr>
            <w:tcW w:w="2800" w:type="dxa"/>
            <w:vAlign w:val="bottom"/>
            <w:shd w:val="clear" w:color="auto" w:fill="CCFFCC"/>
          </w:tcPr>
          <w:p>
            <w:pPr>
              <w:ind w:left="380"/>
              <w:spacing w:after="0"/>
              <w:rPr>
                <w:sz w:val="20"/>
                <w:szCs w:val="20"/>
                <w:color w:val="auto"/>
              </w:rPr>
            </w:pPr>
            <w:r>
              <w:rPr>
                <w:rFonts w:ascii="Arial" w:cs="Arial" w:eastAsia="Arial" w:hAnsi="Arial"/>
                <w:sz w:val="16"/>
                <w:szCs w:val="16"/>
                <w:color w:val="auto"/>
              </w:rPr>
              <w:t>issuance costs</w:t>
            </w: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03"/>
        </w:trPr>
        <w:tc>
          <w:tcPr>
            <w:tcW w:w="2800" w:type="dxa"/>
            <w:vAlign w:val="bottom"/>
          </w:tcPr>
          <w:p>
            <w:pPr>
              <w:ind w:left="200"/>
              <w:spacing w:after="0"/>
              <w:rPr>
                <w:sz w:val="20"/>
                <w:szCs w:val="20"/>
                <w:color w:val="auto"/>
              </w:rPr>
            </w:pPr>
            <w:r>
              <w:rPr>
                <w:rFonts w:ascii="Arial" w:cs="Arial" w:eastAsia="Arial" w:hAnsi="Arial"/>
                <w:sz w:val="16"/>
                <w:szCs w:val="16"/>
                <w:color w:val="auto"/>
              </w:rPr>
              <w:t>Compensation</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4,630,481</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3,172,814</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3,907,900</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3,322,895</w:t>
            </w: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3,222,604</w:t>
            </w:r>
          </w:p>
        </w:tc>
      </w:tr>
      <w:tr>
        <w:trPr>
          <w:trHeight w:val="203"/>
        </w:trPr>
        <w:tc>
          <w:tcPr>
            <w:tcW w:w="2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4,563,749</w:t>
            </w:r>
          </w:p>
        </w:tc>
        <w:tc>
          <w:tcPr>
            <w:tcW w:w="8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4,344,611</w:t>
            </w:r>
          </w:p>
        </w:tc>
        <w:tc>
          <w:tcPr>
            <w:tcW w:w="8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3,490,939</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7,045,648</w:t>
            </w:r>
          </w:p>
        </w:tc>
        <w:tc>
          <w:tcPr>
            <w:tcW w:w="8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3,066,729</w:t>
            </w:r>
          </w:p>
        </w:tc>
      </w:tr>
      <w:tr>
        <w:trPr>
          <w:trHeight w:val="20"/>
        </w:trPr>
        <w:tc>
          <w:tcPr>
            <w:tcW w:w="28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6"/>
        </w:trPr>
        <w:tc>
          <w:tcPr>
            <w:tcW w:w="28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19,310,501</w:t>
            </w: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14,493,443</w:t>
            </w: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11,987,321</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17,456,745</w:t>
            </w:r>
          </w:p>
        </w:tc>
        <w:tc>
          <w:tcPr>
            <w:tcW w:w="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15,565,896</w:t>
            </w:r>
          </w:p>
        </w:tc>
      </w:tr>
      <w:tr>
        <w:trPr>
          <w:trHeight w:val="20"/>
        </w:trPr>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Net Investment Income</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28,955,639</w:t>
            </w:r>
          </w:p>
        </w:tc>
        <w:tc>
          <w:tcPr>
            <w:tcW w:w="8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24,090,413</w:t>
            </w:r>
          </w:p>
        </w:tc>
        <w:tc>
          <w:tcPr>
            <w:tcW w:w="8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w w:val="99"/>
              </w:rPr>
              <w:t>15,832,324</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11,897,119</w:t>
            </w:r>
          </w:p>
        </w:tc>
        <w:tc>
          <w:tcPr>
            <w:tcW w:w="8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18,330,655</w:t>
            </w:r>
          </w:p>
        </w:tc>
      </w:tr>
      <w:tr>
        <w:trPr>
          <w:trHeight w:val="193"/>
        </w:trPr>
        <w:tc>
          <w:tcPr>
            <w:tcW w:w="2800" w:type="dxa"/>
            <w:vAlign w:val="bottom"/>
          </w:tcPr>
          <w:p>
            <w:pPr>
              <w:ind w:left="20"/>
              <w:spacing w:after="0"/>
              <w:rPr>
                <w:sz w:val="20"/>
                <w:szCs w:val="20"/>
                <w:color w:val="auto"/>
              </w:rPr>
            </w:pPr>
            <w:r>
              <w:rPr>
                <w:rFonts w:ascii="Arial" w:cs="Arial" w:eastAsia="Arial" w:hAnsi="Arial"/>
                <w:sz w:val="16"/>
                <w:szCs w:val="16"/>
                <w:color w:val="auto"/>
                <w:w w:val="92"/>
              </w:rPr>
              <w:t>Realized and unrealized gains (losses) on</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9"/>
        </w:trPr>
        <w:tc>
          <w:tcPr>
            <w:tcW w:w="280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Net realized gains (losses)</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2"/>
              </w:rPr>
              <w:t>(12,627,314)</w:t>
            </w:r>
          </w:p>
        </w:tc>
        <w:tc>
          <w:tcPr>
            <w:tcW w:w="8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(3,232,975)</w:t>
            </w:r>
          </w:p>
        </w:tc>
        <w:tc>
          <w:tcPr>
            <w:tcW w:w="8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2"/>
              </w:rPr>
              <w:t>(18,476,608)</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2"/>
              </w:rPr>
              <w:t>(17,862,984)</w:t>
            </w:r>
          </w:p>
        </w:tc>
        <w:tc>
          <w:tcPr>
            <w:tcW w:w="8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2"/>
              </w:rPr>
              <w:t>(15,782,121)</w:t>
            </w:r>
          </w:p>
        </w:tc>
      </w:tr>
      <w:tr>
        <w:trPr>
          <w:trHeight w:val="193"/>
        </w:trPr>
        <w:tc>
          <w:tcPr>
            <w:tcW w:w="2800" w:type="dxa"/>
            <w:vAlign w:val="bottom"/>
          </w:tcPr>
          <w:p>
            <w:pPr>
              <w:ind w:left="200"/>
              <w:spacing w:after="0"/>
              <w:rPr>
                <w:sz w:val="20"/>
                <w:szCs w:val="20"/>
                <w:color w:val="auto"/>
              </w:rPr>
            </w:pPr>
            <w:r>
              <w:rPr>
                <w:rFonts w:ascii="Arial" w:cs="Arial" w:eastAsia="Arial" w:hAnsi="Arial"/>
                <w:sz w:val="16"/>
                <w:szCs w:val="16"/>
                <w:color w:val="auto"/>
              </w:rPr>
              <w:t>Net change in unrealized gains</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894,647</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5,268,341</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10,293,828</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(8,322,812)</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31,854,736</w:t>
            </w:r>
          </w:p>
        </w:tc>
      </w:tr>
      <w:tr>
        <w:trPr>
          <w:trHeight w:val="209"/>
        </w:trPr>
        <w:tc>
          <w:tcPr>
            <w:tcW w:w="2800" w:type="dxa"/>
            <w:vAlign w:val="bottom"/>
          </w:tcPr>
          <w:p>
            <w:pPr>
              <w:ind w:left="380"/>
              <w:spacing w:after="0"/>
              <w:rPr>
                <w:sz w:val="20"/>
                <w:szCs w:val="20"/>
                <w:color w:val="auto"/>
              </w:rPr>
            </w:pPr>
            <w:r>
              <w:rPr>
                <w:rFonts w:ascii="Arial" w:cs="Arial" w:eastAsia="Arial" w:hAnsi="Arial"/>
                <w:sz w:val="16"/>
                <w:szCs w:val="16"/>
                <w:color w:val="auto"/>
              </w:rPr>
              <w:t>(losses)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2800" w:type="dxa"/>
            <w:vAlign w:val="bottom"/>
            <w:shd w:val="clear" w:color="auto" w:fill="CCFFCC"/>
          </w:tcPr>
          <w:p>
            <w:pPr>
              <w:ind w:left="380"/>
              <w:spacing w:after="0"/>
              <w:rPr>
                <w:sz w:val="20"/>
                <w:szCs w:val="20"/>
                <w:color w:val="auto"/>
              </w:rPr>
            </w:pPr>
            <w:r>
              <w:rPr>
                <w:rFonts w:ascii="Arial" w:cs="Arial" w:eastAsia="Arial" w:hAnsi="Arial"/>
                <w:sz w:val="16"/>
                <w:szCs w:val="16"/>
                <w:color w:val="auto"/>
              </w:rPr>
              <w:t>Total net gains (losses)</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2"/>
              </w:rPr>
              <w:t>(11,732,667)</w:t>
            </w:r>
          </w:p>
        </w:tc>
        <w:tc>
          <w:tcPr>
            <w:tcW w:w="8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2,035,366</w:t>
            </w:r>
          </w:p>
        </w:tc>
        <w:tc>
          <w:tcPr>
            <w:tcW w:w="8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(8,182,780)</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2"/>
              </w:rPr>
              <w:t>(26,185,796)</w:t>
            </w:r>
          </w:p>
        </w:tc>
        <w:tc>
          <w:tcPr>
            <w:tcW w:w="8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16,072,615</w:t>
            </w:r>
          </w:p>
        </w:tc>
      </w:tr>
      <w:tr>
        <w:trPr>
          <w:trHeight w:val="20"/>
        </w:trPr>
        <w:tc>
          <w:tcPr>
            <w:tcW w:w="28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6"/>
                <w:szCs w:val="16"/>
                <w:color w:val="auto"/>
              </w:rPr>
              <w:t>Net increase (decrease) in net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17,222,972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26,125,778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7,649,544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w w:val="92"/>
              </w:rPr>
              <w:t>(14,288,677)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34,403,270</w:t>
            </w:r>
          </w:p>
        </w:tc>
      </w:tr>
      <w:tr>
        <w:trPr>
          <w:trHeight w:val="209"/>
        </w:trPr>
        <w:tc>
          <w:tcPr>
            <w:tcW w:w="2800" w:type="dxa"/>
            <w:vAlign w:val="bottom"/>
          </w:tcPr>
          <w:p>
            <w:pPr>
              <w:ind w:left="200"/>
              <w:spacing w:after="0"/>
              <w:rPr>
                <w:sz w:val="20"/>
                <w:szCs w:val="20"/>
                <w:color w:val="auto"/>
              </w:rPr>
            </w:pPr>
            <w:r>
              <w:rPr>
                <w:rFonts w:ascii="Arial" w:cs="Arial" w:eastAsia="Arial" w:hAnsi="Arial"/>
                <w:sz w:val="16"/>
                <w:szCs w:val="16"/>
                <w:color w:val="auto"/>
              </w:rPr>
              <w:t>resulting from operations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4"/>
        </w:trPr>
        <w:tc>
          <w:tcPr>
            <w:tcW w:w="2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6"/>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Per Share:</w:t>
            </w: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6"/>
                <w:szCs w:val="16"/>
                <w:color w:val="auto"/>
              </w:rPr>
              <w:t>Earnings per common share – 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0.33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1.56</w:t>
            </w:r>
          </w:p>
        </w:tc>
      </w:tr>
      <w:tr>
        <w:trPr>
          <w:trHeight w:val="203"/>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Earnings per common share – diluted</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0.53</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0.95</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0.33</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(0.63)</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1.56</w:t>
            </w:r>
          </w:p>
        </w:tc>
      </w:tr>
      <w:tr>
        <w:trPr>
          <w:trHeight w:val="193"/>
        </w:trPr>
        <w:tc>
          <w:tcPr>
            <w:tcW w:w="2800" w:type="dxa"/>
            <w:vAlign w:val="bottom"/>
          </w:tcPr>
          <w:p>
            <w:pPr>
              <w:ind w:left="20"/>
              <w:spacing w:after="0"/>
              <w:rPr>
                <w:sz w:val="20"/>
                <w:szCs w:val="20"/>
                <w:color w:val="auto"/>
              </w:rPr>
            </w:pPr>
            <w:r>
              <w:rPr>
                <w:rFonts w:ascii="Arial" w:cs="Arial" w:eastAsia="Arial" w:hAnsi="Arial"/>
                <w:sz w:val="16"/>
                <w:szCs w:val="16"/>
                <w:color w:val="auto"/>
              </w:rPr>
              <w:t>Net investment income per share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0.69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0.83</w:t>
            </w:r>
          </w:p>
        </w:tc>
      </w:tr>
      <w:tr>
        <w:trPr>
          <w:trHeight w:val="209"/>
        </w:trPr>
        <w:tc>
          <w:tcPr>
            <w:tcW w:w="2800" w:type="dxa"/>
            <w:vAlign w:val="bottom"/>
          </w:tcPr>
          <w:p>
            <w:pPr>
              <w:ind w:left="200"/>
              <w:spacing w:after="0"/>
              <w:rPr>
                <w:sz w:val="20"/>
                <w:szCs w:val="20"/>
                <w:color w:val="auto"/>
              </w:rPr>
            </w:pPr>
            <w:r>
              <w:rPr>
                <w:rFonts w:ascii="Arial" w:cs="Arial" w:eastAsia="Arial" w:hAnsi="Arial"/>
                <w:sz w:val="16"/>
                <w:szCs w:val="16"/>
                <w:color w:val="auto"/>
              </w:rPr>
              <w:t>basic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6"/>
        </w:trPr>
        <w:tc>
          <w:tcPr>
            <w:tcW w:w="2900" w:type="dxa"/>
            <w:vAlign w:val="bottom"/>
            <w:gridSpan w:val="2"/>
            <w:shd w:val="clear" w:color="auto" w:fill="CCFFCC"/>
          </w:tcPr>
          <w:p>
            <w:pPr>
              <w:ind w:left="20"/>
              <w:spacing w:after="0"/>
              <w:rPr>
                <w:sz w:val="20"/>
                <w:szCs w:val="20"/>
                <w:color w:val="auto"/>
              </w:rPr>
            </w:pPr>
            <w:r>
              <w:rPr>
                <w:rFonts w:ascii="Arial" w:cs="Arial" w:eastAsia="Arial" w:hAnsi="Arial"/>
                <w:sz w:val="16"/>
                <w:szCs w:val="16"/>
                <w:color w:val="auto"/>
                <w:w w:val="91"/>
              </w:rPr>
              <w:t>Net investment income per share – diluted $</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0.86</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0.89</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0.69</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0.53</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0.83</w:t>
            </w:r>
          </w:p>
        </w:tc>
      </w:tr>
      <w:tr>
        <w:trPr>
          <w:trHeight w:val="203"/>
        </w:trPr>
        <w:tc>
          <w:tcPr>
            <w:tcW w:w="2800" w:type="dxa"/>
            <w:vAlign w:val="bottom"/>
          </w:tcPr>
          <w:p>
            <w:pPr>
              <w:ind w:left="20"/>
              <w:spacing w:after="0"/>
              <w:rPr>
                <w:sz w:val="20"/>
                <w:szCs w:val="20"/>
                <w:color w:val="auto"/>
              </w:rPr>
            </w:pPr>
            <w:r>
              <w:rPr>
                <w:rFonts w:ascii="Arial" w:cs="Arial" w:eastAsia="Arial" w:hAnsi="Arial"/>
                <w:sz w:val="16"/>
                <w:szCs w:val="16"/>
                <w:color w:val="auto"/>
              </w:rPr>
              <w:t>Distributions per common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0.69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0.92</w:t>
            </w:r>
          </w:p>
        </w:tc>
      </w:tr>
      <w:tr>
        <w:trPr>
          <w:trHeight w:val="203"/>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22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6"/>
                <w:szCs w:val="16"/>
                <w:color w:val="auto"/>
              </w:rPr>
              <w:t>Investment assets at fair value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440,549,994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312,044,763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239,791,681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191,186,296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409,105,621</w:t>
            </w:r>
          </w:p>
        </w:tc>
      </w:tr>
      <w:tr>
        <w:trPr>
          <w:trHeight w:val="203"/>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87"/>
              </w:rPr>
              <w:t>459,172,388</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87"/>
              </w:rPr>
              <w:t>319,260,473</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w w:val="89"/>
              </w:rPr>
              <w:t>248,133,661</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87"/>
              </w:rPr>
              <w:t>279,822,686</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89"/>
              </w:rPr>
              <w:t>439,416,057</w:t>
            </w:r>
          </w:p>
        </w:tc>
      </w:tr>
      <w:tr>
        <w:trPr>
          <w:trHeight w:val="203"/>
        </w:trPr>
        <w:tc>
          <w:tcPr>
            <w:tcW w:w="2800" w:type="dxa"/>
            <w:vAlign w:val="bottom"/>
          </w:tcPr>
          <w:p>
            <w:pPr>
              <w:ind w:left="20"/>
              <w:spacing w:after="0"/>
              <w:rPr>
                <w:sz w:val="20"/>
                <w:szCs w:val="20"/>
                <w:color w:val="auto"/>
              </w:rPr>
            </w:pPr>
            <w:r>
              <w:rPr>
                <w:rFonts w:ascii="Arial" w:cs="Arial" w:eastAsia="Arial" w:hAnsi="Arial"/>
                <w:sz w:val="16"/>
                <w:szCs w:val="16"/>
                <w:color w:val="auto"/>
              </w:rPr>
              <w:t>Total debt outstanding</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192,592,373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101,400,000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60,000,000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86,746,582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218,050,363</w:t>
            </w:r>
          </w:p>
        </w:tc>
      </w:tr>
      <w:tr>
        <w:trPr>
          <w:trHeight w:val="203"/>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87"/>
              </w:rPr>
              <w:t>250,369,693</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87"/>
              </w:rPr>
              <w:t>207,875,659</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w w:val="89"/>
              </w:rPr>
              <w:t>180,525,942</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87"/>
              </w:rPr>
              <w:t>186,925,667</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89"/>
              </w:rPr>
              <w:t>213,895,724</w:t>
            </w:r>
          </w:p>
        </w:tc>
      </w:tr>
      <w:tr>
        <w:trPr>
          <w:trHeight w:val="203"/>
        </w:trPr>
        <w:tc>
          <w:tcPr>
            <w:tcW w:w="2800" w:type="dxa"/>
            <w:vAlign w:val="bottom"/>
          </w:tcPr>
          <w:p>
            <w:pPr>
              <w:ind w:left="20"/>
              <w:spacing w:after="0"/>
              <w:rPr>
                <w:sz w:val="20"/>
                <w:szCs w:val="20"/>
                <w:color w:val="auto"/>
              </w:rPr>
            </w:pPr>
            <w:r>
              <w:rPr>
                <w:rFonts w:ascii="Arial" w:cs="Arial" w:eastAsia="Arial" w:hAnsi="Arial"/>
                <w:sz w:val="16"/>
                <w:szCs w:val="16"/>
                <w:color w:val="auto"/>
              </w:rPr>
              <w:t>Net asset value per common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7.85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9.56</w:t>
            </w:r>
          </w:p>
        </w:tc>
      </w:tr>
      <w:tr>
        <w:trPr>
          <w:trHeight w:val="193"/>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Common shares outstanding at end of</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33,332,123</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26,470,408</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w w:val="99"/>
              </w:rPr>
              <w:t>22,992,211</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22,767,130</w:t>
            </w:r>
          </w:p>
        </w:tc>
        <w:tc>
          <w:tcPr>
            <w:tcW w:w="8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22,363,281</w:t>
            </w:r>
          </w:p>
        </w:tc>
      </w:tr>
      <w:tr>
        <w:trPr>
          <w:trHeight w:val="212"/>
        </w:trPr>
        <w:tc>
          <w:tcPr>
            <w:tcW w:w="2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year</w:t>
            </w: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03"/>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2800" w:type="dxa"/>
            <w:vAlign w:val="bottom"/>
            <w:shd w:val="clear" w:color="auto" w:fill="CCFFCC"/>
          </w:tcPr>
          <w:p>
            <w:pPr>
              <w:ind w:left="20"/>
              <w:spacing w:after="0" w:line="242" w:lineRule="exact"/>
              <w:rPr>
                <w:sz w:val="20"/>
                <w:szCs w:val="20"/>
                <w:color w:val="auto"/>
              </w:rPr>
            </w:pPr>
            <w:r>
              <w:rPr>
                <w:rFonts w:ascii="Arial" w:cs="Arial" w:eastAsia="Arial" w:hAnsi="Arial"/>
                <w:sz w:val="16"/>
                <w:szCs w:val="16"/>
                <w:color w:val="auto"/>
              </w:rPr>
              <w:t>Investments funded</w:t>
            </w:r>
            <w:r>
              <w:rPr>
                <w:rFonts w:ascii="Arial" w:cs="Arial" w:eastAsia="Arial" w:hAnsi="Arial"/>
                <w:sz w:val="27"/>
                <w:szCs w:val="27"/>
                <w:color w:val="auto"/>
                <w:vertAlign w:val="superscript"/>
              </w:rPr>
              <w:t>(2)</w:t>
            </w:r>
          </w:p>
        </w:tc>
        <w:tc>
          <w:tcPr>
            <w:tcW w:w="100" w:type="dxa"/>
            <w:vAlign w:val="bottom"/>
            <w:shd w:val="clear" w:color="auto" w:fill="CCFFCC"/>
          </w:tcPr>
          <w:p>
            <w:pPr>
              <w:spacing w:after="0"/>
              <w:rPr>
                <w:sz w:val="21"/>
                <w:szCs w:val="21"/>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87"/>
              </w:rPr>
              <w:t>243,966,586</w:t>
            </w:r>
          </w:p>
        </w:tc>
        <w:tc>
          <w:tcPr>
            <w:tcW w:w="80" w:type="dxa"/>
            <w:vAlign w:val="bottom"/>
            <w:shd w:val="clear" w:color="auto" w:fill="CCFFCC"/>
          </w:tcPr>
          <w:p>
            <w:pPr>
              <w:spacing w:after="0"/>
              <w:rPr>
                <w:sz w:val="21"/>
                <w:szCs w:val="21"/>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87"/>
              </w:rPr>
              <w:t>123,165,150</w:t>
            </w:r>
          </w:p>
        </w:tc>
        <w:tc>
          <w:tcPr>
            <w:tcW w:w="80" w:type="dxa"/>
            <w:vAlign w:val="bottom"/>
            <w:shd w:val="clear" w:color="auto" w:fill="CCFFCC"/>
          </w:tcPr>
          <w:p>
            <w:pPr>
              <w:spacing w:after="0"/>
              <w:rPr>
                <w:sz w:val="21"/>
                <w:szCs w:val="21"/>
                <w:color w:val="auto"/>
              </w:rPr>
            </w:pP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w w:val="99"/>
              </w:rPr>
              <w:t>85,541,809</w:t>
            </w:r>
          </w:p>
        </w:tc>
        <w:tc>
          <w:tcPr>
            <w:tcW w:w="100" w:type="dxa"/>
            <w:vAlign w:val="bottom"/>
            <w:shd w:val="clear" w:color="auto" w:fill="CCFFCC"/>
          </w:tcPr>
          <w:p>
            <w:pPr>
              <w:spacing w:after="0"/>
              <w:rPr>
                <w:sz w:val="21"/>
                <w:szCs w:val="21"/>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w w:val="97"/>
              </w:rPr>
              <w:t>11,245,300</w:t>
            </w:r>
          </w:p>
        </w:tc>
        <w:tc>
          <w:tcPr>
            <w:tcW w:w="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23,482,349</w:t>
            </w:r>
          </w:p>
        </w:tc>
      </w:tr>
      <w:tr>
        <w:trPr>
          <w:trHeight w:val="192"/>
        </w:trPr>
        <w:tc>
          <w:tcPr>
            <w:tcW w:w="2800" w:type="dxa"/>
            <w:vAlign w:val="bottom"/>
          </w:tcPr>
          <w:p>
            <w:pPr>
              <w:ind w:left="20"/>
              <w:spacing w:after="0"/>
              <w:rPr>
                <w:sz w:val="20"/>
                <w:szCs w:val="20"/>
                <w:color w:val="auto"/>
              </w:rPr>
            </w:pPr>
            <w:r>
              <w:rPr>
                <w:rFonts w:ascii="Arial" w:cs="Arial" w:eastAsia="Arial" w:hAnsi="Arial"/>
                <w:sz w:val="16"/>
                <w:szCs w:val="16"/>
                <w:color w:val="auto"/>
                <w:w w:val="94"/>
              </w:rPr>
              <w:t>Principal collections related to investment</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97"/>
              </w:rPr>
              <w:t>94,197,886</w:t>
            </w:r>
          </w:p>
        </w:tc>
        <w:tc>
          <w:tcPr>
            <w:tcW w:w="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104,556,500</w:t>
            </w:r>
          </w:p>
        </w:tc>
        <w:tc>
          <w:tcPr>
            <w:tcW w:w="8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81,681,314</w:t>
            </w: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223,103,170</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84,503,183</w:t>
            </w:r>
          </w:p>
        </w:tc>
      </w:tr>
      <w:tr>
        <w:trPr>
          <w:trHeight w:val="254"/>
        </w:trPr>
        <w:tc>
          <w:tcPr>
            <w:tcW w:w="2800" w:type="dxa"/>
            <w:vAlign w:val="bottom"/>
          </w:tcPr>
          <w:p>
            <w:pPr>
              <w:ind w:left="200"/>
              <w:spacing w:after="0" w:line="254" w:lineRule="exact"/>
              <w:rPr>
                <w:sz w:val="20"/>
                <w:szCs w:val="20"/>
                <w:color w:val="auto"/>
              </w:rPr>
            </w:pPr>
            <w:r>
              <w:rPr>
                <w:rFonts w:ascii="Arial" w:cs="Arial" w:eastAsia="Arial" w:hAnsi="Arial"/>
                <w:sz w:val="16"/>
                <w:szCs w:val="16"/>
                <w:color w:val="auto"/>
              </w:rPr>
              <w:t>repayments or sales</w:t>
            </w:r>
            <w:r>
              <w:rPr>
                <w:rFonts w:ascii="Arial" w:cs="Arial" w:eastAsia="Arial" w:hAnsi="Arial"/>
                <w:sz w:val="27"/>
                <w:szCs w:val="27"/>
                <w:color w:val="auto"/>
                <w:vertAlign w:val="superscript"/>
              </w:rPr>
              <w:t>(2)</w:t>
            </w: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92"/>
        </w:trPr>
        <w:tc>
          <w:tcPr>
            <w:tcW w:w="2800" w:type="dxa"/>
            <w:vAlign w:val="bottom"/>
            <w:shd w:val="clear" w:color="auto" w:fill="CCFFCC"/>
          </w:tcPr>
          <w:p>
            <w:pPr>
              <w:ind w:left="20"/>
              <w:spacing w:after="0"/>
              <w:rPr>
                <w:sz w:val="20"/>
                <w:szCs w:val="20"/>
                <w:color w:val="auto"/>
              </w:rPr>
            </w:pPr>
            <w:r>
              <w:rPr>
                <w:rFonts w:ascii="Arial" w:cs="Arial" w:eastAsia="Arial" w:hAnsi="Arial"/>
                <w:sz w:val="16"/>
                <w:szCs w:val="16"/>
                <w:color w:val="auto"/>
                <w:w w:val="98"/>
              </w:rPr>
              <w:t>Number of portfolio investments at year</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FFCC"/>
          </w:tcPr>
          <w:p>
            <w:pPr>
              <w:spacing w:after="0"/>
              <w:rPr>
                <w:sz w:val="16"/>
                <w:szCs w:val="16"/>
                <w:color w:val="auto"/>
              </w:rPr>
            </w:pPr>
          </w:p>
        </w:tc>
        <w:tc>
          <w:tcPr>
            <w:tcW w:w="102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124</w:t>
            </w:r>
          </w:p>
        </w:tc>
      </w:tr>
      <w:tr>
        <w:trPr>
          <w:trHeight w:val="254"/>
        </w:trPr>
        <w:tc>
          <w:tcPr>
            <w:tcW w:w="2800" w:type="dxa"/>
            <w:vAlign w:val="bottom"/>
            <w:shd w:val="clear" w:color="auto" w:fill="CCFFCC"/>
          </w:tcPr>
          <w:p>
            <w:pPr>
              <w:ind w:left="200"/>
              <w:spacing w:after="0" w:line="254" w:lineRule="exact"/>
              <w:rPr>
                <w:sz w:val="20"/>
                <w:szCs w:val="20"/>
                <w:color w:val="auto"/>
              </w:rPr>
            </w:pPr>
            <w:r>
              <w:rPr>
                <w:rFonts w:ascii="Arial" w:cs="Arial" w:eastAsia="Arial" w:hAnsi="Arial"/>
                <w:sz w:val="16"/>
                <w:szCs w:val="16"/>
                <w:color w:val="auto"/>
              </w:rPr>
              <w:t>end</w:t>
            </w:r>
            <w:r>
              <w:rPr>
                <w:rFonts w:ascii="Arial" w:cs="Arial" w:eastAsia="Arial" w:hAnsi="Arial"/>
                <w:sz w:val="27"/>
                <w:szCs w:val="27"/>
                <w:color w:val="auto"/>
                <w:vertAlign w:val="superscript"/>
              </w:rPr>
              <w:t>(2)</w:t>
            </w:r>
          </w:p>
        </w:tc>
        <w:tc>
          <w:tcPr>
            <w:tcW w:w="100" w:type="dxa"/>
            <w:vAlign w:val="bottom"/>
            <w:shd w:val="clear" w:color="auto" w:fill="CCFFCC"/>
          </w:tcPr>
          <w:p>
            <w:pPr>
              <w:spacing w:after="0"/>
              <w:rPr>
                <w:sz w:val="22"/>
                <w:szCs w:val="22"/>
                <w:color w:val="auto"/>
              </w:rPr>
            </w:pPr>
          </w:p>
        </w:tc>
        <w:tc>
          <w:tcPr>
            <w:tcW w:w="800" w:type="dxa"/>
            <w:vAlign w:val="bottom"/>
            <w:shd w:val="clear" w:color="auto" w:fill="CCFFCC"/>
          </w:tcPr>
          <w:p>
            <w:pPr>
              <w:spacing w:after="0"/>
              <w:rPr>
                <w:sz w:val="22"/>
                <w:szCs w:val="22"/>
                <w:color w:val="auto"/>
              </w:rPr>
            </w:pPr>
          </w:p>
        </w:tc>
        <w:tc>
          <w:tcPr>
            <w:tcW w:w="220" w:type="dxa"/>
            <w:vAlign w:val="bottom"/>
            <w:tcBorders>
              <w:right w:val="single" w:sz="8" w:color="CCFFCC"/>
            </w:tcBorders>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800" w:type="dxa"/>
            <w:vAlign w:val="bottom"/>
            <w:shd w:val="clear" w:color="auto" w:fill="CCFFCC"/>
          </w:tcPr>
          <w:p>
            <w:pPr>
              <w:spacing w:after="0"/>
              <w:rPr>
                <w:sz w:val="22"/>
                <w:szCs w:val="22"/>
                <w:color w:val="auto"/>
              </w:rPr>
            </w:pPr>
          </w:p>
        </w:tc>
        <w:tc>
          <w:tcPr>
            <w:tcW w:w="220" w:type="dxa"/>
            <w:vAlign w:val="bottom"/>
            <w:tcBorders>
              <w:right w:val="single" w:sz="8" w:color="CCFFCC"/>
            </w:tcBorders>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820" w:type="dxa"/>
            <w:vAlign w:val="bottom"/>
            <w:shd w:val="clear" w:color="auto" w:fill="CCFFCC"/>
          </w:tcPr>
          <w:p>
            <w:pPr>
              <w:spacing w:after="0"/>
              <w:rPr>
                <w:sz w:val="22"/>
                <w:szCs w:val="22"/>
                <w:color w:val="auto"/>
              </w:rPr>
            </w:pPr>
          </w:p>
        </w:tc>
        <w:tc>
          <w:tcPr>
            <w:tcW w:w="200" w:type="dxa"/>
            <w:vAlign w:val="bottom"/>
            <w:tcBorders>
              <w:righ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00" w:type="dxa"/>
            <w:vAlign w:val="bottom"/>
            <w:shd w:val="clear" w:color="auto" w:fill="CCFFCC"/>
          </w:tcPr>
          <w:p>
            <w:pPr>
              <w:spacing w:after="0"/>
              <w:rPr>
                <w:sz w:val="22"/>
                <w:szCs w:val="22"/>
                <w:color w:val="auto"/>
              </w:rPr>
            </w:pPr>
          </w:p>
        </w:tc>
        <w:tc>
          <w:tcPr>
            <w:tcW w:w="220" w:type="dxa"/>
            <w:vAlign w:val="bottom"/>
            <w:tcBorders>
              <w:right w:val="single" w:sz="8" w:color="CCFFCC"/>
            </w:tcBorders>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80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r>
      <w:tr>
        <w:trPr>
          <w:trHeight w:val="192"/>
        </w:trPr>
        <w:tc>
          <w:tcPr>
            <w:tcW w:w="2800" w:type="dxa"/>
            <w:vAlign w:val="bottom"/>
          </w:tcPr>
          <w:p>
            <w:pPr>
              <w:ind w:left="20"/>
              <w:spacing w:after="0"/>
              <w:rPr>
                <w:sz w:val="20"/>
                <w:szCs w:val="20"/>
                <w:color w:val="auto"/>
              </w:rPr>
            </w:pPr>
            <w:r>
              <w:rPr>
                <w:rFonts w:ascii="Arial" w:cs="Arial" w:eastAsia="Arial" w:hAnsi="Arial"/>
                <w:sz w:val="16"/>
                <w:szCs w:val="16"/>
                <w:color w:val="auto"/>
              </w:rPr>
              <w:t>Weighted average yield of income</w:t>
            </w:r>
          </w:p>
        </w:tc>
        <w:tc>
          <w:tcPr>
            <w:tcW w:w="10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r>
      <w:tr>
        <w:trPr>
          <w:trHeight w:val="353"/>
        </w:trPr>
        <w:tc>
          <w:tcPr>
            <w:tcW w:w="2800" w:type="dxa"/>
            <w:vAlign w:val="bottom"/>
          </w:tcPr>
          <w:p>
            <w:pPr>
              <w:ind w:left="200"/>
              <w:spacing w:after="0"/>
              <w:rPr>
                <w:sz w:val="20"/>
                <w:szCs w:val="20"/>
                <w:color w:val="auto"/>
              </w:rPr>
            </w:pPr>
            <w:r>
              <w:rPr>
                <w:rFonts w:ascii="Arial" w:cs="Arial" w:eastAsia="Arial" w:hAnsi="Arial"/>
                <w:sz w:val="16"/>
                <w:szCs w:val="16"/>
                <w:color w:val="auto"/>
              </w:rPr>
              <w:t>producing debt investments</w:t>
            </w:r>
            <w:r>
              <w:rPr>
                <w:rFonts w:ascii="Arial" w:cs="Arial" w:eastAsia="Arial" w:hAnsi="Arial"/>
                <w:sz w:val="27"/>
                <w:szCs w:val="27"/>
                <w:color w:val="auto"/>
                <w:vertAlign w:val="superscript"/>
              </w:rPr>
              <w:t>(3)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-5130800</wp:posOffset>
            </wp:positionV>
            <wp:extent cx="52654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654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-4478655</wp:posOffset>
            </wp:positionV>
            <wp:extent cx="52654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6542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-3423920</wp:posOffset>
            </wp:positionV>
            <wp:extent cx="5265420"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65420" cy="3003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172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prior year amounts have been reclassified to conform to current year presentation.</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Does not include investments in time deposits or money markets.</w:t>
      </w:r>
    </w:p>
    <w:p>
      <w:pPr>
        <w:spacing w:after="0" w:line="117" w:lineRule="exact"/>
        <w:rPr>
          <w:rFonts w:ascii="Arial" w:cs="Arial" w:eastAsia="Arial" w:hAnsi="Arial"/>
          <w:sz w:val="18"/>
          <w:szCs w:val="18"/>
          <w:color w:val="auto"/>
        </w:rPr>
      </w:pPr>
    </w:p>
    <w:p>
      <w:pPr>
        <w:ind w:left="280" w:right="979" w:hanging="272"/>
        <w:spacing w:after="0" w:line="277"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Weighted average yield of income producing investments is calculated as the average yield to par outstanding balances for investments in loans, bonds, and mezzanine debt in our Debt Securities portfolio.</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40" w:right="839" w:firstLine="270"/>
        <w:spacing w:after="0" w:line="297" w:lineRule="auto"/>
        <w:rPr>
          <w:sz w:val="20"/>
          <w:szCs w:val="20"/>
          <w:color w:val="auto"/>
        </w:rPr>
      </w:pPr>
      <w:r>
        <w:rPr>
          <w:rFonts w:ascii="Arial" w:cs="Arial" w:eastAsia="Arial" w:hAnsi="Arial"/>
          <w:sz w:val="16"/>
          <w:szCs w:val="16"/>
          <w:i w:val="1"/>
          <w:iCs w:val="1"/>
          <w:color w:val="auto"/>
        </w:rPr>
        <w:t>The following discussion should be read in conjunction with our financial statements and related notes and other financial information appearing elsewhere in this annual report. In addition to historical information, the following discussion and other parts of this annual report contain forward-looking information that involves risks and uncertainties. Our actual results could differ materially from those anticipated by such forward-looking information due to the factors discussed under “Item 1A. Risk Factors” and “Note About Forward-Looking Statements” appearing elsewhere in this annual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We are an internally managed, non-diversified closed-end investment company that is regulated as a Business Development Company, or BDC under the 1940 Act. We have three principal areas of investments:</w:t>
      </w:r>
    </w:p>
    <w:p>
      <w:pPr>
        <w:spacing w:after="0" w:line="62"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First we originate, structure, and invest in senior secured term loans, mezzanine debt and selected equity securities primarily in privately-held middle market companies (the “Debt Securities Portfolio”). Second, we have invested in wholly-owned asset management companies (Katonah Debt Advisors and Trimaran Advisors, collectively the “Asset Manager Affiliates”). Third, we invest in debt and equity securities issued by CLO Funds managed by our Asset Manager Affiliates or by other asset managers (the “CLO Fund Securities”).</w:t>
      </w:r>
    </w:p>
    <w:p>
      <w:pPr>
        <w:spacing w:after="0" w:line="80" w:lineRule="exact"/>
        <w:rPr>
          <w:sz w:val="20"/>
          <w:szCs w:val="20"/>
          <w:color w:val="auto"/>
        </w:rPr>
      </w:pPr>
    </w:p>
    <w:p>
      <w:pPr>
        <w:ind w:left="40" w:right="539" w:firstLine="270"/>
        <w:spacing w:after="0" w:line="253" w:lineRule="auto"/>
        <w:rPr>
          <w:sz w:val="20"/>
          <w:szCs w:val="20"/>
          <w:color w:val="auto"/>
        </w:rPr>
      </w:pPr>
      <w:r>
        <w:rPr>
          <w:rFonts w:ascii="Arial" w:cs="Arial" w:eastAsia="Arial" w:hAnsi="Arial"/>
          <w:sz w:val="18"/>
          <w:szCs w:val="18"/>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87" w:lineRule="exact"/>
        <w:rPr>
          <w:sz w:val="20"/>
          <w:szCs w:val="20"/>
          <w:color w:val="auto"/>
        </w:rPr>
      </w:pPr>
    </w:p>
    <w:p>
      <w:pPr>
        <w:ind w:left="40" w:right="639" w:firstLine="270"/>
        <w:spacing w:after="0" w:line="273" w:lineRule="auto"/>
        <w:rPr>
          <w:sz w:val="20"/>
          <w:szCs w:val="20"/>
          <w:color w:val="auto"/>
        </w:rPr>
      </w:pPr>
      <w:r>
        <w:rPr>
          <w:rFonts w:ascii="Arial" w:cs="Arial" w:eastAsia="Arial" w:hAnsi="Arial"/>
          <w:sz w:val="17"/>
          <w:szCs w:val="17"/>
          <w:color w:val="auto"/>
        </w:rPr>
        <w:t>From our Asset Manager Affiliates investment, we expect to receive recurring dividend distributions and to generate capital appreciation through the addition of new collateralized loan obligation funds (“CLO Funds”) to manage. The Asset Manager Affiliates manage CLO Funds which invest in broadly syndicated loans, high-yield bonds and other credit instruments. Collectively, the Asset Manager Affiliates have approximately $3.2 billion of par value assets under management as of December 31, 2013. The Asset Manager Affiliates are registered under the Investment Advisers Act of 1940, and are managed independently from the Company by a separate portfolio management team.</w:t>
      </w:r>
    </w:p>
    <w:p>
      <w:pPr>
        <w:spacing w:after="0" w:line="70"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7"/>
          <w:szCs w:val="17"/>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compliment the growth of our Asset Manager Affiliates.</w:t>
      </w:r>
    </w:p>
    <w:p>
      <w:pPr>
        <w:spacing w:after="0" w:line="57" w:lineRule="exact"/>
        <w:rPr>
          <w:sz w:val="20"/>
          <w:szCs w:val="20"/>
          <w:color w:val="auto"/>
        </w:rPr>
      </w:pPr>
    </w:p>
    <w:p>
      <w:pPr>
        <w:ind w:left="40" w:right="539" w:firstLine="270"/>
        <w:spacing w:after="0" w:line="312" w:lineRule="auto"/>
        <w:rPr>
          <w:sz w:val="20"/>
          <w:szCs w:val="20"/>
          <w:color w:val="auto"/>
        </w:rPr>
      </w:pPr>
      <w:r>
        <w:rPr>
          <w:rFonts w:ascii="Arial" w:cs="Arial" w:eastAsia="Arial" w:hAnsi="Arial"/>
          <w:sz w:val="16"/>
          <w:szCs w:val="16"/>
          <w:color w:val="auto"/>
        </w:rPr>
        <w:t>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39" w:lineRule="exact"/>
        <w:rPr>
          <w:sz w:val="20"/>
          <w:szCs w:val="20"/>
          <w:color w:val="auto"/>
        </w:rPr>
      </w:pPr>
    </w:p>
    <w:p>
      <w:pPr>
        <w:ind w:left="40" w:right="699" w:firstLine="270"/>
        <w:spacing w:after="0" w:line="271" w:lineRule="auto"/>
        <w:rPr>
          <w:sz w:val="20"/>
          <w:szCs w:val="20"/>
          <w:color w:val="auto"/>
        </w:rPr>
      </w:pPr>
      <w:r>
        <w:rPr>
          <w:rFonts w:ascii="Arial" w:cs="Arial" w:eastAsia="Arial" w:hAnsi="Arial"/>
          <w:sz w:val="17"/>
          <w:szCs w:val="17"/>
          <w:color w:val="auto"/>
        </w:rPr>
        <w:t>We have elected to be treated for U.S. federal income tax purposes as a RIC and intend to operate in a manner to maintain our RIC status. As a RIC, we intend to distribute to our stockholders substantially all of our net ordinary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Our common stock is traded on The NASDAQ Global Select Market under the symbol “KCAP.” The net asset value per share of our common stock at December 31, 2013 was $7.51. On December 31, 2013, the last reported sale price of a share of our common stock on The NASDAQ Global Select Market was $8.07.</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60" w:right="679" w:firstLine="270"/>
        <w:spacing w:after="0" w:line="291" w:lineRule="auto"/>
        <w:rPr>
          <w:sz w:val="20"/>
          <w:szCs w:val="20"/>
          <w:color w:val="auto"/>
        </w:rPr>
      </w:pPr>
      <w:r>
        <w:rPr>
          <w:rFonts w:ascii="Arial" w:cs="Arial" w:eastAsia="Arial" w:hAnsi="Arial"/>
          <w:sz w:val="16"/>
          <w:szCs w:val="16"/>
          <w:color w:val="auto"/>
        </w:rPr>
        <w:t>Our primary investments are: (1) lending to and investing in middle-market businesses through investments in senior secured loans, junior secured loans, subordinated/mezzanine debt investments, and other equity investments, which may include warrants,</w:t>
      </w:r>
    </w:p>
    <w:p>
      <w:pPr>
        <w:ind w:left="60" w:right="799" w:firstLine="8"/>
        <w:spacing w:after="0" w:line="261"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investments in our Asset Manager Affiliates, which invest in broadly syndicated loans, high-yield bonds and other credit instruments, and (3) CLO Fund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portfolio investment activity (excluding activity in time deposit and money market investments) for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2013, December 31, 2012, and December 31, 2011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171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920" w:type="dxa"/>
            <w:vAlign w:val="bottom"/>
          </w:tcPr>
          <w:p>
            <w:pPr>
              <w:spacing w:after="0"/>
              <w:rPr>
                <w:sz w:val="12"/>
                <w:szCs w:val="12"/>
                <w:color w:val="auto"/>
              </w:rPr>
            </w:pPr>
          </w:p>
        </w:tc>
        <w:tc>
          <w:tcPr>
            <w:tcW w:w="104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6"/>
              </w:rPr>
              <w:t>Debt Securities</w:t>
            </w: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CLO Fund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Asset Manager</w:t>
            </w:r>
          </w:p>
        </w:tc>
        <w:tc>
          <w:tcPr>
            <w:tcW w:w="10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Total Portfolio</w:t>
            </w:r>
          </w:p>
        </w:tc>
      </w:t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Securities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8"/>
              </w:rPr>
              <w:t>Securities</w:t>
            </w: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Affiliates</w:t>
            </w: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96"/>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Fair Value at December 31, 2010</w:t>
            </w: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91,042,928</w:t>
            </w:r>
          </w:p>
        </w:tc>
        <w:tc>
          <w:tcPr>
            <w:tcW w:w="80" w:type="dxa"/>
            <w:vAlign w:val="bottom"/>
            <w:shd w:val="clear" w:color="auto" w:fill="CCFFCC"/>
          </w:tcPr>
          <w:p>
            <w:pPr>
              <w:spacing w:after="0"/>
              <w:rPr>
                <w:sz w:val="17"/>
                <w:szCs w:val="17"/>
                <w:color w:val="auto"/>
              </w:rPr>
            </w:pPr>
          </w:p>
        </w:tc>
        <w:tc>
          <w:tcPr>
            <w:tcW w:w="10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$ 53,031,000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8"/>
              </w:rPr>
              <w:t>4,688,832</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$ 41,493,000</w:t>
            </w:r>
          </w:p>
        </w:tc>
        <w:tc>
          <w:tcPr>
            <w:tcW w:w="11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$ 190,255,760</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2011 Activity:</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81,815,921</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8"/>
              </w:rPr>
              <w:t>3,218,151</w:t>
            </w:r>
          </w:p>
        </w:tc>
        <w:tc>
          <w:tcPr>
            <w:tcW w:w="108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(194,027)</w:t>
            </w:r>
          </w:p>
        </w:tc>
        <w:tc>
          <w:tcPr>
            <w:tcW w:w="11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84,840,045</w:t>
            </w:r>
          </w:p>
        </w:tc>
      </w:tr>
      <w:tr>
        <w:trPr>
          <w:trHeight w:val="203"/>
        </w:trPr>
        <w:tc>
          <w:tcPr>
            <w:tcW w:w="2920" w:type="dxa"/>
            <w:vAlign w:val="bottom"/>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(56,944,765)</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(1,935,000)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(141,769)</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(59,021,534)</w:t>
            </w:r>
          </w:p>
        </w:tc>
      </w:tr>
      <w:tr>
        <w:trPr>
          <w:trHeight w:val="203"/>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Net accretion of discount</w:t>
            </w: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156,180</w:t>
            </w:r>
          </w:p>
        </w:tc>
        <w:tc>
          <w:tcPr>
            <w:tcW w:w="80" w:type="dxa"/>
            <w:vAlign w:val="bottom"/>
            <w:shd w:val="clear" w:color="auto" w:fill="CCFFCC"/>
          </w:tcPr>
          <w:p>
            <w:pPr>
              <w:spacing w:after="0"/>
              <w:rPr>
                <w:sz w:val="17"/>
                <w:szCs w:val="17"/>
                <w:color w:val="auto"/>
              </w:rPr>
            </w:pPr>
          </w:p>
        </w:tc>
        <w:tc>
          <w:tcPr>
            <w:tcW w:w="10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1,398,283</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1,554,463</w:t>
            </w:r>
          </w:p>
        </w:tc>
      </w:tr>
      <w:tr>
        <w:trPr>
          <w:trHeight w:val="203"/>
        </w:trPr>
        <w:tc>
          <w:tcPr>
            <w:tcW w:w="2920" w:type="dxa"/>
            <w:vAlign w:val="bottom"/>
          </w:tcPr>
          <w:p>
            <w:pPr>
              <w:ind w:left="200"/>
              <w:spacing w:after="0"/>
              <w:rPr>
                <w:sz w:val="20"/>
                <w:szCs w:val="20"/>
                <w:color w:val="auto"/>
              </w:rPr>
            </w:pPr>
            <w:r>
              <w:rPr>
                <w:rFonts w:ascii="Arial" w:cs="Arial" w:eastAsia="Arial" w:hAnsi="Arial"/>
                <w:sz w:val="16"/>
                <w:szCs w:val="16"/>
                <w:color w:val="auto"/>
              </w:rPr>
              <w:t>Net realized losses</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(17,261,608)</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(1,215,000)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(18,476,608)</w:t>
            </w:r>
          </w:p>
        </w:tc>
      </w:tr>
      <w:tr>
        <w:trPr>
          <w:trHeight w:val="203"/>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Increase (decrease) in fair value</w:t>
            </w: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15,864,850</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(2,840,966)</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2"/>
              </w:rPr>
              <w:t>(1,724,319)</w:t>
            </w:r>
          </w:p>
        </w:tc>
        <w:tc>
          <w:tcPr>
            <w:tcW w:w="108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(484,973)</w:t>
            </w:r>
          </w:p>
        </w:tc>
        <w:tc>
          <w:tcPr>
            <w:tcW w:w="11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10,814,592</w:t>
            </w:r>
          </w:p>
        </w:tc>
      </w:tr>
      <w:tr>
        <w:trPr>
          <w:trHeight w:val="20"/>
        </w:trPr>
        <w:tc>
          <w:tcPr>
            <w:tcW w:w="29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96"/>
        </w:trPr>
        <w:tc>
          <w:tcPr>
            <w:tcW w:w="2920" w:type="dxa"/>
            <w:vAlign w:val="bottom"/>
          </w:tcPr>
          <w:p>
            <w:pPr>
              <w:ind w:left="200"/>
              <w:spacing w:after="0"/>
              <w:rPr>
                <w:sz w:val="20"/>
                <w:szCs w:val="20"/>
                <w:color w:val="auto"/>
              </w:rPr>
            </w:pPr>
            <w:r>
              <w:rPr>
                <w:rFonts w:ascii="Arial" w:cs="Arial" w:eastAsia="Arial" w:hAnsi="Arial"/>
                <w:sz w:val="16"/>
                <w:szCs w:val="16"/>
                <w:color w:val="auto"/>
              </w:rPr>
              <w:t>Fair Value at December 31, 2011</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114,673,506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48,438,317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6,040,895</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40,814,000</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209,966,718</w:t>
            </w:r>
          </w:p>
        </w:tc>
      </w:tr>
      <w:tr>
        <w:trPr>
          <w:trHeight w:val="203"/>
        </w:trPr>
        <w:tc>
          <w:tcPr>
            <w:tcW w:w="2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2012 Activity:</w:t>
            </w: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03"/>
        </w:trPr>
        <w:tc>
          <w:tcPr>
            <w:tcW w:w="2920" w:type="dxa"/>
            <w:vAlign w:val="bottom"/>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107,417,624</w:t>
            </w:r>
          </w:p>
        </w:tc>
        <w:tc>
          <w:tcPr>
            <w:tcW w:w="8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24,715,500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1,815,978</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38,823,228</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172,772,330</w:t>
            </w:r>
          </w:p>
        </w:tc>
      </w:tr>
      <w:tr>
        <w:trPr>
          <w:trHeight w:val="203"/>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w w:val="90"/>
              </w:rPr>
              <w:t>(104,504,327)</w:t>
            </w:r>
          </w:p>
        </w:tc>
        <w:tc>
          <w:tcPr>
            <w:tcW w:w="1040" w:type="dxa"/>
            <w:vAlign w:val="bottom"/>
            <w:gridSpan w:val="3"/>
            <w:shd w:val="clear" w:color="auto" w:fill="CCFFCC"/>
          </w:tcPr>
          <w:p>
            <w:pPr>
              <w:jc w:val="right"/>
              <w:ind w:right="20"/>
              <w:spacing w:after="0"/>
              <w:rPr>
                <w:sz w:val="20"/>
                <w:szCs w:val="20"/>
                <w:color w:val="auto"/>
              </w:rPr>
            </w:pPr>
            <w:r>
              <w:rPr>
                <w:rFonts w:ascii="Arial" w:cs="Arial" w:eastAsia="Arial" w:hAnsi="Arial"/>
                <w:sz w:val="16"/>
                <w:szCs w:val="16"/>
                <w:color w:val="auto"/>
              </w:rPr>
              <w:t>(2,234,916)</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(106,739,243)</w:t>
            </w:r>
          </w:p>
        </w:tc>
      </w:tr>
      <w:tr>
        <w:trPr>
          <w:trHeight w:val="203"/>
        </w:trPr>
        <w:tc>
          <w:tcPr>
            <w:tcW w:w="2920" w:type="dxa"/>
            <w:vAlign w:val="bottom"/>
          </w:tcPr>
          <w:p>
            <w:pPr>
              <w:ind w:left="200"/>
              <w:spacing w:after="0"/>
              <w:rPr>
                <w:sz w:val="20"/>
                <w:szCs w:val="20"/>
                <w:color w:val="auto"/>
              </w:rPr>
            </w:pPr>
            <w:r>
              <w:rPr>
                <w:rFonts w:ascii="Arial" w:cs="Arial" w:eastAsia="Arial" w:hAnsi="Arial"/>
                <w:sz w:val="16"/>
                <w:szCs w:val="16"/>
                <w:color w:val="auto"/>
              </w:rPr>
              <w:t>Net accretion of discount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385,590</w:t>
            </w:r>
          </w:p>
        </w:tc>
        <w:tc>
          <w:tcPr>
            <w:tcW w:w="8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1,137,344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1,522,934</w:t>
            </w:r>
          </w:p>
        </w:tc>
      </w:tr>
      <w:tr>
        <w:trPr>
          <w:trHeight w:val="203"/>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Net realized losses</w:t>
            </w: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(3,232,975)</w:t>
            </w: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(3,232,975)</w:t>
            </w:r>
          </w:p>
        </w:tc>
      </w:tr>
      <w:tr>
        <w:trPr>
          <w:trHeight w:val="203"/>
        </w:trPr>
        <w:tc>
          <w:tcPr>
            <w:tcW w:w="2920" w:type="dxa"/>
            <w:vAlign w:val="bottom"/>
          </w:tcPr>
          <w:p>
            <w:pPr>
              <w:ind w:left="200"/>
              <w:spacing w:after="0"/>
              <w:rPr>
                <w:sz w:val="20"/>
                <w:szCs w:val="20"/>
                <w:color w:val="auto"/>
              </w:rPr>
            </w:pPr>
            <w:r>
              <w:rPr>
                <w:rFonts w:ascii="Arial" w:cs="Arial" w:eastAsia="Arial" w:hAnsi="Arial"/>
                <w:sz w:val="16"/>
                <w:szCs w:val="16"/>
                <w:color w:val="auto"/>
              </w:rPr>
              <w:t>Increase (decrease) in fair value</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(3,701,536)</w:t>
            </w:r>
          </w:p>
        </w:tc>
        <w:tc>
          <w:tcPr>
            <w:tcW w:w="1040" w:type="dxa"/>
            <w:vAlign w:val="bottom"/>
            <w:gridSpan w:val="3"/>
          </w:tcPr>
          <w:p>
            <w:pPr>
              <w:jc w:val="right"/>
              <w:ind w:right="80"/>
              <w:spacing w:after="0"/>
              <w:rPr>
                <w:sz w:val="20"/>
                <w:szCs w:val="20"/>
                <w:color w:val="auto"/>
              </w:rPr>
            </w:pPr>
            <w:r>
              <w:rPr>
                <w:rFonts w:ascii="Arial" w:cs="Arial" w:eastAsia="Arial" w:hAnsi="Arial"/>
                <w:sz w:val="16"/>
                <w:szCs w:val="16"/>
                <w:color w:val="auto"/>
              </w:rPr>
              <w:t>11,201,262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163,843</w:t>
            </w:r>
          </w:p>
        </w:tc>
        <w:tc>
          <w:tcPr>
            <w:tcW w:w="1080" w:type="dxa"/>
            <w:vAlign w:val="bottom"/>
            <w:gridSpan w:val="3"/>
          </w:tcPr>
          <w:p>
            <w:pPr>
              <w:jc w:val="right"/>
              <w:ind w:right="40"/>
              <w:spacing w:after="0"/>
              <w:rPr>
                <w:sz w:val="20"/>
                <w:szCs w:val="20"/>
                <w:color w:val="auto"/>
              </w:rPr>
            </w:pPr>
            <w:r>
              <w:rPr>
                <w:rFonts w:ascii="Arial" w:cs="Arial" w:eastAsia="Arial" w:hAnsi="Arial"/>
                <w:sz w:val="16"/>
                <w:szCs w:val="16"/>
                <w:color w:val="auto"/>
              </w:rPr>
              <w:t>(2,395,228)</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5,268,341</w:t>
            </w:r>
          </w:p>
        </w:tc>
      </w:tr>
      <w:tr>
        <w:trPr>
          <w:trHeight w:val="20"/>
        </w:trPr>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Fair Value at December 31, 2012</w:t>
            </w: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4"/>
              </w:rPr>
              <w:t>111,037,882</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83,257,507</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8"/>
              </w:rPr>
              <w:t>8,020,716</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77,242,000</w:t>
            </w:r>
          </w:p>
        </w:tc>
        <w:tc>
          <w:tcPr>
            <w:tcW w:w="11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279,558,105</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2013 Activity:</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Purchases/originations/draws</w:t>
            </w: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4"/>
              </w:rPr>
              <w:t>232,226,295</w:t>
            </w:r>
          </w:p>
        </w:tc>
        <w:tc>
          <w:tcPr>
            <w:tcW w:w="80" w:type="dxa"/>
            <w:vAlign w:val="bottom"/>
            <w:shd w:val="clear" w:color="auto" w:fill="CCFFCC"/>
          </w:tcPr>
          <w:p>
            <w:pPr>
              <w:spacing w:after="0"/>
              <w:rPr>
                <w:sz w:val="17"/>
                <w:szCs w:val="17"/>
                <w:color w:val="auto"/>
              </w:rPr>
            </w:pPr>
          </w:p>
        </w:tc>
        <w:tc>
          <w:tcPr>
            <w:tcW w:w="10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11,957,500</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8"/>
              </w:rPr>
              <w:t>3,813,838</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217,212</w:t>
            </w:r>
          </w:p>
        </w:tc>
        <w:tc>
          <w:tcPr>
            <w:tcW w:w="11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248,214,845</w:t>
            </w:r>
          </w:p>
        </w:tc>
      </w:tr>
      <w:tr>
        <w:trPr>
          <w:trHeight w:val="203"/>
        </w:trPr>
        <w:tc>
          <w:tcPr>
            <w:tcW w:w="2920" w:type="dxa"/>
            <w:vAlign w:val="bottom"/>
          </w:tcPr>
          <w:p>
            <w:pPr>
              <w:ind w:left="200"/>
              <w:spacing w:after="0"/>
              <w:rPr>
                <w:sz w:val="20"/>
                <w:szCs w:val="20"/>
                <w:color w:val="auto"/>
              </w:rPr>
            </w:pPr>
            <w:r>
              <w:rPr>
                <w:rFonts w:ascii="Arial" w:cs="Arial" w:eastAsia="Arial" w:hAnsi="Arial"/>
                <w:sz w:val="16"/>
                <w:szCs w:val="16"/>
                <w:color w:val="auto"/>
              </w:rPr>
              <w:t>Pay-downs/pay-offs/sales</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(80,089,537)</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(623,403)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(2,882,106)</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(83,595,046)</w:t>
            </w:r>
          </w:p>
        </w:tc>
      </w:tr>
      <w:tr>
        <w:trPr>
          <w:trHeight w:val="203"/>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Net accretion of discount</w:t>
            </w: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238,554</w:t>
            </w:r>
          </w:p>
        </w:tc>
        <w:tc>
          <w:tcPr>
            <w:tcW w:w="80" w:type="dxa"/>
            <w:vAlign w:val="bottom"/>
            <w:shd w:val="clear" w:color="auto" w:fill="CCFFCC"/>
          </w:tcPr>
          <w:p>
            <w:pPr>
              <w:spacing w:after="0"/>
              <w:rPr>
                <w:sz w:val="17"/>
                <w:szCs w:val="17"/>
                <w:color w:val="auto"/>
              </w:rPr>
            </w:pPr>
          </w:p>
        </w:tc>
        <w:tc>
          <w:tcPr>
            <w:tcW w:w="10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216,444</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454,998</w:t>
            </w:r>
          </w:p>
        </w:tc>
      </w:tr>
      <w:tr>
        <w:trPr>
          <w:trHeight w:val="203"/>
        </w:trPr>
        <w:tc>
          <w:tcPr>
            <w:tcW w:w="2920" w:type="dxa"/>
            <w:vAlign w:val="bottom"/>
          </w:tcPr>
          <w:p>
            <w:pPr>
              <w:ind w:left="200"/>
              <w:spacing w:after="0"/>
              <w:rPr>
                <w:sz w:val="20"/>
                <w:szCs w:val="20"/>
                <w:color w:val="auto"/>
              </w:rPr>
            </w:pPr>
            <w:r>
              <w:rPr>
                <w:rFonts w:ascii="Arial" w:cs="Arial" w:eastAsia="Arial" w:hAnsi="Arial"/>
                <w:sz w:val="16"/>
                <w:szCs w:val="16"/>
                <w:color w:val="auto"/>
              </w:rPr>
              <w:t>Net realized losses</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(11,538,868)</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(551,636)</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(12,090,504)</w:t>
            </w:r>
          </w:p>
        </w:tc>
      </w:tr>
      <w:tr>
        <w:trPr>
          <w:trHeight w:val="203"/>
        </w:trPr>
        <w:tc>
          <w:tcPr>
            <w:tcW w:w="2920" w:type="dxa"/>
            <w:vAlign w:val="bottom"/>
            <w:shd w:val="clear" w:color="auto" w:fill="CCFFCC"/>
          </w:tcPr>
          <w:p>
            <w:pPr>
              <w:ind w:left="200"/>
              <w:spacing w:after="0"/>
              <w:rPr>
                <w:sz w:val="20"/>
                <w:szCs w:val="20"/>
                <w:color w:val="auto"/>
              </w:rPr>
            </w:pPr>
            <w:r>
              <w:rPr>
                <w:rFonts w:ascii="Arial" w:cs="Arial" w:eastAsia="Arial" w:hAnsi="Arial"/>
                <w:sz w:val="16"/>
                <w:szCs w:val="16"/>
                <w:color w:val="auto"/>
              </w:rPr>
              <w:t>Increase (decrease) in fair value</w:t>
            </w:r>
          </w:p>
        </w:tc>
        <w:tc>
          <w:tcPr>
            <w:tcW w:w="10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14,956,101</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(15,355,828)</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8"/>
              </w:rPr>
              <w:t>2,605,586</w:t>
            </w:r>
          </w:p>
        </w:tc>
        <w:tc>
          <w:tcPr>
            <w:tcW w:w="1080" w:type="dxa"/>
            <w:vAlign w:val="bottom"/>
            <w:gridSpan w:val="3"/>
            <w:shd w:val="clear" w:color="auto" w:fill="CCFFCC"/>
          </w:tcPr>
          <w:p>
            <w:pPr>
              <w:jc w:val="right"/>
              <w:ind w:right="40"/>
              <w:spacing w:after="0"/>
              <w:rPr>
                <w:sz w:val="20"/>
                <w:szCs w:val="20"/>
                <w:color w:val="auto"/>
              </w:rPr>
            </w:pPr>
            <w:r>
              <w:rPr>
                <w:rFonts w:ascii="Arial" w:cs="Arial" w:eastAsia="Arial" w:hAnsi="Arial"/>
                <w:sz w:val="16"/>
                <w:szCs w:val="16"/>
                <w:color w:val="auto"/>
              </w:rPr>
              <w:t>(1,311,212)</w:t>
            </w:r>
          </w:p>
        </w:tc>
        <w:tc>
          <w:tcPr>
            <w:tcW w:w="114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894,647</w:t>
            </w:r>
          </w:p>
        </w:tc>
      </w:tr>
      <w:tr>
        <w:trPr>
          <w:trHeight w:val="20"/>
        </w:trPr>
        <w:tc>
          <w:tcPr>
            <w:tcW w:w="29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6"/>
                <w:szCs w:val="16"/>
                <w:color w:val="auto"/>
              </w:rPr>
              <w:t>Fair Value at December 31, 2013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4"/>
              </w:rPr>
              <w:t>266,830,427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2"/>
              </w:rPr>
              <w:t>$ 79,452,220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11,006,398</w:t>
            </w:r>
          </w:p>
        </w:tc>
        <w:tc>
          <w:tcPr>
            <w:tcW w:w="1080" w:type="dxa"/>
            <w:vAlign w:val="bottom"/>
            <w:gridSpan w:val="3"/>
          </w:tcPr>
          <w:p>
            <w:pPr>
              <w:jc w:val="right"/>
              <w:ind w:right="100"/>
              <w:spacing w:after="0"/>
              <w:rPr>
                <w:sz w:val="20"/>
                <w:szCs w:val="20"/>
                <w:color w:val="auto"/>
              </w:rPr>
            </w:pPr>
            <w:r>
              <w:rPr>
                <w:rFonts w:ascii="Arial" w:cs="Arial" w:eastAsia="Arial" w:hAnsi="Arial"/>
                <w:sz w:val="16"/>
                <w:szCs w:val="16"/>
                <w:color w:val="auto"/>
              </w:rPr>
              <w:t>$ 76,148,000</w:t>
            </w:r>
          </w:p>
        </w:tc>
        <w:tc>
          <w:tcPr>
            <w:tcW w:w="1140" w:type="dxa"/>
            <w:vAlign w:val="bottom"/>
            <w:gridSpan w:val="3"/>
          </w:tcPr>
          <w:p>
            <w:pPr>
              <w:jc w:val="right"/>
              <w:ind w:right="80"/>
              <w:spacing w:after="0"/>
              <w:rPr>
                <w:sz w:val="20"/>
                <w:szCs w:val="20"/>
                <w:color w:val="auto"/>
              </w:rPr>
            </w:pPr>
            <w:r>
              <w:rPr>
                <w:rFonts w:ascii="Arial" w:cs="Arial" w:eastAsia="Arial" w:hAnsi="Arial"/>
                <w:sz w:val="16"/>
                <w:szCs w:val="16"/>
                <w:color w:val="auto"/>
              </w:rPr>
              <w:t>$ 433,437,045</w:t>
            </w:r>
          </w:p>
        </w:tc>
      </w:tr>
      <w:tr>
        <w:trPr>
          <w:trHeight w:val="21"/>
        </w:trPr>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-1988820</wp:posOffset>
            </wp:positionV>
            <wp:extent cx="521398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21398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74" w:lineRule="exact"/>
        <w:rPr>
          <w:sz w:val="20"/>
          <w:szCs w:val="20"/>
          <w:color w:val="auto"/>
        </w:rPr>
      </w:pPr>
    </w:p>
    <w:p>
      <w:pPr>
        <w:ind w:left="60" w:right="659" w:firstLine="270"/>
        <w:spacing w:after="0" w:line="279" w:lineRule="auto"/>
        <w:rPr>
          <w:sz w:val="20"/>
          <w:szCs w:val="20"/>
          <w:color w:val="auto"/>
        </w:rPr>
      </w:pPr>
      <w:r>
        <w:rPr>
          <w:rFonts w:ascii="Arial" w:cs="Arial" w:eastAsia="Arial" w:hAnsi="Arial"/>
          <w:sz w:val="17"/>
          <w:szCs w:val="17"/>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200" w:lineRule="exact"/>
        <w:rPr>
          <w:sz w:val="20"/>
          <w:szCs w:val="20"/>
          <w:color w:val="auto"/>
        </w:rPr>
      </w:pPr>
    </w:p>
    <w:p>
      <w:pPr>
        <w:spacing w:after="0" w:line="3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December 31, 2013 and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1796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2400" w:type="dxa"/>
            <w:vAlign w:val="bottom"/>
            <w:gridSpan w:val="4"/>
          </w:tcPr>
          <w:p>
            <w:pPr>
              <w:ind w:left="20"/>
              <w:spacing w:after="0"/>
              <w:rPr>
                <w:sz w:val="20"/>
                <w:szCs w:val="20"/>
                <w:color w:val="auto"/>
              </w:rPr>
            </w:pPr>
            <w:r>
              <w:rPr>
                <w:rFonts w:ascii="Arial" w:cs="Arial" w:eastAsia="Arial" w:hAnsi="Arial"/>
                <w:sz w:val="14"/>
                <w:szCs w:val="14"/>
                <w:b w:val="1"/>
                <w:bCs w:val="1"/>
                <w:color w:val="auto"/>
              </w:rPr>
              <w:t>Security Type</w:t>
            </w:r>
          </w:p>
        </w:tc>
        <w:tc>
          <w:tcPr>
            <w:tcW w:w="100" w:type="dxa"/>
            <w:vAlign w:val="bottom"/>
          </w:tcPr>
          <w:p>
            <w:pPr>
              <w:spacing w:after="0"/>
              <w:rPr>
                <w:sz w:val="17"/>
                <w:szCs w:val="17"/>
                <w:color w:val="auto"/>
              </w:rPr>
            </w:pP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3"/>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640" w:type="dxa"/>
            <w:vAlign w:val="bottom"/>
            <w:gridSpan w:val="3"/>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r>
      <w:tr>
        <w:trPr>
          <w:trHeight w:val="210"/>
        </w:trPr>
        <w:tc>
          <w:tcPr>
            <w:tcW w:w="23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Time Deposits</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1,942,834</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1,942,834</w:t>
            </w:r>
          </w:p>
        </w:tc>
        <w:tc>
          <w:tcPr>
            <w:tcW w:w="100" w:type="dxa"/>
            <w:vAlign w:val="bottom"/>
          </w:tcPr>
          <w:p>
            <w:pPr>
              <w:spacing w:after="0"/>
              <w:rPr>
                <w:sz w:val="18"/>
                <w:szCs w:val="18"/>
                <w:color w:val="auto"/>
              </w:rPr>
            </w:pPr>
          </w:p>
        </w:tc>
        <w:tc>
          <w:tcPr>
            <w:tcW w:w="5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57"/>
        </w:trPr>
        <w:tc>
          <w:tcPr>
            <w:tcW w:w="2400" w:type="dxa"/>
            <w:vAlign w:val="bottom"/>
            <w:gridSpan w:val="4"/>
            <w:shd w:val="clear" w:color="auto" w:fill="CCFFCC"/>
          </w:tcPr>
          <w:p>
            <w:pPr>
              <w:ind w:left="20"/>
              <w:spacing w:after="0" w:line="256" w:lineRule="exact"/>
              <w:rPr>
                <w:sz w:val="20"/>
                <w:szCs w:val="20"/>
                <w:color w:val="auto"/>
              </w:rPr>
            </w:pPr>
            <w:r>
              <w:rPr>
                <w:rFonts w:ascii="Arial" w:cs="Arial" w:eastAsia="Arial" w:hAnsi="Arial"/>
                <w:sz w:val="18"/>
                <w:szCs w:val="18"/>
                <w:color w:val="auto"/>
              </w:rPr>
              <w:t>Money Market Account</w:t>
            </w:r>
            <w:r>
              <w:rPr>
                <w:rFonts w:ascii="Arial" w:cs="Arial" w:eastAsia="Arial" w:hAnsi="Arial"/>
                <w:sz w:val="29"/>
                <w:szCs w:val="29"/>
                <w:color w:val="auto"/>
                <w:vertAlign w:val="superscript"/>
              </w:rPr>
              <w:t>(2)</w:t>
            </w:r>
          </w:p>
        </w:tc>
        <w:tc>
          <w:tcPr>
            <w:tcW w:w="10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7,112,949</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7,112,949</w:t>
            </w:r>
          </w:p>
        </w:tc>
        <w:tc>
          <w:tcPr>
            <w:tcW w:w="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30,543,824</w:t>
            </w:r>
          </w:p>
        </w:tc>
        <w:tc>
          <w:tcPr>
            <w:tcW w:w="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30,543,824</w:t>
            </w:r>
          </w:p>
        </w:tc>
        <w:tc>
          <w:tcPr>
            <w:tcW w:w="6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10</w:t>
            </w:r>
          </w:p>
        </w:tc>
      </w:tr>
      <w:tr>
        <w:trPr>
          <w:trHeight w:val="216"/>
        </w:trPr>
        <w:tc>
          <w:tcPr>
            <w:tcW w:w="2400" w:type="dxa"/>
            <w:vAlign w:val="bottom"/>
            <w:gridSpan w:val="4"/>
          </w:tcPr>
          <w:p>
            <w:pPr>
              <w:ind w:left="20"/>
              <w:spacing w:after="0"/>
              <w:rPr>
                <w:sz w:val="20"/>
                <w:szCs w:val="20"/>
                <w:color w:val="auto"/>
              </w:rPr>
            </w:pPr>
            <w:r>
              <w:rPr>
                <w:rFonts w:ascii="Arial" w:cs="Arial" w:eastAsia="Arial" w:hAnsi="Arial"/>
                <w:sz w:val="18"/>
                <w:szCs w:val="18"/>
                <w:color w:val="auto"/>
              </w:rPr>
              <w:t>Senior Secured Loan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175,021,272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168,188,453</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67,874,565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60,258,885</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r>
      <w:tr>
        <w:trPr>
          <w:trHeight w:val="216"/>
        </w:trPr>
        <w:tc>
          <w:tcPr>
            <w:tcW w:w="24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Junior Secured Loan</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50,831,407</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48,443,384</w:t>
            </w:r>
          </w:p>
        </w:tc>
        <w:tc>
          <w:tcPr>
            <w:tcW w:w="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49,646,273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33,486,956</w:t>
            </w:r>
          </w:p>
        </w:tc>
        <w:tc>
          <w:tcPr>
            <w:tcW w:w="6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r>
      <w:tr>
        <w:trPr>
          <w:trHeight w:val="216"/>
        </w:trPr>
        <w:tc>
          <w:tcPr>
            <w:tcW w:w="2400" w:type="dxa"/>
            <w:vAlign w:val="bottom"/>
            <w:gridSpan w:val="4"/>
          </w:tcPr>
          <w:p>
            <w:pPr>
              <w:ind w:left="20"/>
              <w:spacing w:after="0"/>
              <w:rPr>
                <w:sz w:val="20"/>
                <w:szCs w:val="20"/>
                <w:color w:val="auto"/>
              </w:rPr>
            </w:pPr>
            <w:r>
              <w:rPr>
                <w:rFonts w:ascii="Arial" w:cs="Arial" w:eastAsia="Arial" w:hAnsi="Arial"/>
                <w:sz w:val="18"/>
                <w:szCs w:val="18"/>
                <w:color w:val="auto"/>
              </w:rPr>
              <w:t>Senior Unsecured Loan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23,000,000</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First Lien Bond</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2,948,332</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2,546,400</w:t>
            </w:r>
          </w:p>
        </w:tc>
        <w:tc>
          <w:tcPr>
            <w:tcW w:w="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2,928,762</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3,000,000</w:t>
            </w:r>
          </w:p>
        </w:tc>
        <w:tc>
          <w:tcPr>
            <w:tcW w:w="6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00" w:type="dxa"/>
            <w:vAlign w:val="bottom"/>
            <w:gridSpan w:val="4"/>
          </w:tcPr>
          <w:p>
            <w:pPr>
              <w:ind w:left="20"/>
              <w:spacing w:after="0"/>
              <w:rPr>
                <w:sz w:val="20"/>
                <w:szCs w:val="20"/>
                <w:color w:val="auto"/>
              </w:rPr>
            </w:pPr>
            <w:r>
              <w:rPr>
                <w:rFonts w:ascii="Arial" w:cs="Arial" w:eastAsia="Arial" w:hAnsi="Arial"/>
                <w:sz w:val="18"/>
                <w:szCs w:val="18"/>
                <w:color w:val="auto"/>
              </w:rPr>
              <w:t>Senior Subordinated Bond</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1,037,707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1,051,540</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2,729,088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2,735,881</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4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Senior Unsecured Bond</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10,855,804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11,381,100</w:t>
            </w:r>
          </w:p>
        </w:tc>
        <w:tc>
          <w:tcPr>
            <w:tcW w:w="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10,798,463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11,185,000</w:t>
            </w:r>
          </w:p>
        </w:tc>
        <w:tc>
          <w:tcPr>
            <w:tcW w:w="6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2400" w:type="dxa"/>
            <w:vAlign w:val="bottom"/>
            <w:gridSpan w:val="4"/>
          </w:tcPr>
          <w:p>
            <w:pPr>
              <w:ind w:left="20"/>
              <w:spacing w:after="0"/>
              <w:rPr>
                <w:sz w:val="20"/>
                <w:szCs w:val="20"/>
                <w:color w:val="auto"/>
              </w:rPr>
            </w:pPr>
            <w:r>
              <w:rPr>
                <w:rFonts w:ascii="Arial" w:cs="Arial" w:eastAsia="Arial" w:hAnsi="Arial"/>
                <w:sz w:val="18"/>
                <w:szCs w:val="18"/>
                <w:color w:val="auto"/>
              </w:rPr>
              <w:t>Senior Secured Bond</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1,519,072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1,619,550</w:t>
            </w: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CLO Fund Securities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9"/>
              </w:rPr>
              <w:t>101,696,950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79,452,220</w:t>
            </w:r>
          </w:p>
        </w:tc>
        <w:tc>
          <w:tcPr>
            <w:tcW w:w="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90,146,410</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83,257,507</w:t>
            </w:r>
          </w:p>
        </w:tc>
        <w:tc>
          <w:tcPr>
            <w:tcW w:w="6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2400" w:type="dxa"/>
            <w:vAlign w:val="bottom"/>
            <w:gridSpan w:val="4"/>
          </w:tcPr>
          <w:p>
            <w:pPr>
              <w:ind w:left="2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18,755,684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11,006,398</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18,375,588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8,020,716</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24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Preferred</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10,000,000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10,600,000</w:t>
            </w:r>
          </w:p>
        </w:tc>
        <w:tc>
          <w:tcPr>
            <w:tcW w:w="6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371,160</w:t>
            </w:r>
          </w:p>
        </w:tc>
        <w:tc>
          <w:tcPr>
            <w:tcW w:w="10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gridSpan w:val="4"/>
          </w:tcPr>
          <w:p>
            <w:pPr>
              <w:ind w:left="20"/>
              <w:spacing w:after="0"/>
              <w:rPr>
                <w:sz w:val="20"/>
                <w:szCs w:val="20"/>
                <w:color w:val="auto"/>
              </w:rPr>
            </w:pPr>
            <w:r>
              <w:rPr>
                <w:rFonts w:ascii="Arial" w:cs="Arial" w:eastAsia="Arial" w:hAnsi="Arial"/>
                <w:sz w:val="18"/>
                <w:szCs w:val="18"/>
                <w:color w:val="auto"/>
              </w:rPr>
              <w:t>Asset Manager Affiliates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83,378,741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76,148,000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83,161,529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77,242,000</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4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486,157,918</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440,549,994</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7"/>
              </w:rPr>
              <w:t>358,547,336</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7"/>
              </w:rPr>
              <w:t>312,044,763</w:t>
            </w:r>
          </w:p>
        </w:tc>
        <w:tc>
          <w:tcPr>
            <w:tcW w:w="6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1340" w:type="dxa"/>
            <w:vAlign w:val="bottom"/>
            <w:tcBorders>
              <w:top w:val="single" w:sz="8" w:color="CCFFCC"/>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15176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-213995</wp:posOffset>
            </wp:positionV>
            <wp:extent cx="946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2167255</wp:posOffset>
            </wp:positionH>
            <wp:positionV relativeFrom="paragraph">
              <wp:posOffset>-187960</wp:posOffset>
            </wp:positionV>
            <wp:extent cx="946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-213995</wp:posOffset>
            </wp:positionV>
            <wp:extent cx="946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-187960</wp:posOffset>
            </wp:positionV>
            <wp:extent cx="946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-213995</wp:posOffset>
            </wp:positionV>
            <wp:extent cx="1803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3213735</wp:posOffset>
            </wp:positionH>
            <wp:positionV relativeFrom="paragraph">
              <wp:posOffset>-187960</wp:posOffset>
            </wp:positionV>
            <wp:extent cx="1803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-213995</wp:posOffset>
            </wp:positionV>
            <wp:extent cx="946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-187960</wp:posOffset>
            </wp:positionV>
            <wp:extent cx="946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4773930</wp:posOffset>
            </wp:positionH>
            <wp:positionV relativeFrom="paragraph">
              <wp:posOffset>-213995</wp:posOffset>
            </wp:positionV>
            <wp:extent cx="102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4773930</wp:posOffset>
            </wp:positionH>
            <wp:positionV relativeFrom="paragraph">
              <wp:posOffset>-187960</wp:posOffset>
            </wp:positionV>
            <wp:extent cx="1028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-213995</wp:posOffset>
            </wp:positionV>
            <wp:extent cx="1289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-187960</wp:posOffset>
            </wp:positionV>
            <wp:extent cx="1289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117"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At December 31, 2013 and December 31, 2012, our investments in income producing loans and debt securities, excluding CLO Fund securities, had a weighted average interest rate of approximately 7.3% and 7.5%, respectively.</w:t>
      </w:r>
    </w:p>
    <w:p>
      <w:pPr>
        <w:spacing w:after="0" w:line="62" w:lineRule="exact"/>
        <w:rPr>
          <w:sz w:val="20"/>
          <w:szCs w:val="20"/>
          <w:color w:val="auto"/>
        </w:rPr>
      </w:pPr>
    </w:p>
    <w:p>
      <w:pPr>
        <w:ind w:left="60" w:right="679" w:firstLine="270"/>
        <w:spacing w:after="0" w:line="312" w:lineRule="auto"/>
        <w:rPr>
          <w:sz w:val="20"/>
          <w:szCs w:val="20"/>
          <w:color w:val="auto"/>
        </w:rPr>
      </w:pPr>
      <w:r>
        <w:rPr>
          <w:rFonts w:ascii="Arial" w:cs="Arial" w:eastAsia="Arial" w:hAnsi="Arial"/>
          <w:sz w:val="16"/>
          <w:szCs w:val="16"/>
          <w:color w:val="auto"/>
        </w:rPr>
        <w:t>The investment portfolio (excluding the Company’s investment in Asset Manager Affiliates and CLO Funds) at December 31, 2013 was spread across 25 different industries and 84 different entities with an average balance per entity of approximately $3.6 million. As of December 31, 2013, all but four of our portfolio companies were current on their debt service obligations.</w:t>
      </w:r>
    </w:p>
    <w:p>
      <w:pPr>
        <w:spacing w:after="0" w:line="39"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public companies. The investments in our Debt Securities Portfolio are all or predominantly below investment grade, and therefore have speculative characteristics with respect to the issuer’s capacity to pay interest and repay principal.</w:t>
      </w:r>
    </w:p>
    <w:p>
      <w:pPr>
        <w:spacing w:after="0" w:line="79" w:lineRule="exact"/>
        <w:rPr>
          <w:sz w:val="20"/>
          <w:szCs w:val="20"/>
          <w:color w:val="auto"/>
        </w:rPr>
      </w:pPr>
    </w:p>
    <w:p>
      <w:pPr>
        <w:ind w:left="60" w:right="719" w:firstLine="270"/>
        <w:spacing w:after="0" w:line="279" w:lineRule="auto"/>
        <w:rPr>
          <w:sz w:val="20"/>
          <w:szCs w:val="20"/>
          <w:color w:val="auto"/>
        </w:rPr>
      </w:pPr>
      <w:r>
        <w:rPr>
          <w:rFonts w:ascii="Arial" w:cs="Arial" w:eastAsia="Arial" w:hAnsi="Arial"/>
          <w:sz w:val="17"/>
          <w:szCs w:val="17"/>
          <w:color w:val="auto"/>
        </w:rPr>
        <w:t>At December 31, 2013, our ten largest portfolio companies represented approximately 42% of the total fair value of our investments. Our largest investment, the Asset Manager Affiliates, which are our wholly-owned portfolio companies, represented 17% of the total fair value of our investments. Excluding the Asset Manager Affiliates and CLO Fund Securities, our ten largest portfolio companies represent approximately 18% of the total fair value of our investments.</w:t>
      </w:r>
    </w:p>
    <w:p>
      <w:pPr>
        <w:spacing w:after="0" w:line="200" w:lineRule="exact"/>
        <w:rPr>
          <w:sz w:val="20"/>
          <w:szCs w:val="20"/>
          <w:color w:val="auto"/>
        </w:rPr>
      </w:pPr>
    </w:p>
    <w:p>
      <w:pPr>
        <w:spacing w:after="0" w:line="3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December 31, 2013 and</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-68580</wp:posOffset>
            </wp:positionV>
            <wp:extent cx="52057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spacing w:after="0" w:line="201" w:lineRule="exact"/>
              <w:rPr>
                <w:sz w:val="20"/>
                <w:szCs w:val="20"/>
                <w:color w:val="auto"/>
              </w:rPr>
            </w:pPr>
            <w:r>
              <w:rPr>
                <w:rFonts w:ascii="Arial" w:cs="Arial" w:eastAsia="Arial" w:hAnsi="Arial"/>
                <w:sz w:val="14"/>
                <w:szCs w:val="14"/>
                <w:b w:val="1"/>
                <w:bCs w:val="1"/>
                <w:color w:val="auto"/>
              </w:rPr>
              <w:t>December 31, 2012</w:t>
            </w:r>
            <w:r>
              <w:rPr>
                <w:rFonts w:ascii="Arial" w:cs="Arial" w:eastAsia="Arial" w:hAnsi="Arial"/>
                <w:sz w:val="23"/>
                <w:szCs w:val="23"/>
                <w:b w:val="1"/>
                <w:bCs w:val="1"/>
                <w:color w:val="auto"/>
                <w:vertAlign w:val="superscript"/>
              </w:rPr>
              <w:t>(2)</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96"/>
        </w:trPr>
        <w:tc>
          <w:tcPr>
            <w:tcW w:w="3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00" w:type="dxa"/>
            <w:vAlign w:val="bottom"/>
          </w:tcPr>
          <w:p>
            <w:pPr>
              <w:spacing w:after="0"/>
              <w:rPr>
                <w:sz w:val="17"/>
                <w:szCs w:val="17"/>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4"/>
                <w:szCs w:val="14"/>
                <w:b w:val="1"/>
                <w:bCs w:val="1"/>
                <w:color w:val="auto"/>
              </w:rPr>
              <w:t>Fair Value</w:t>
            </w:r>
          </w:p>
        </w:tc>
        <w:tc>
          <w:tcPr>
            <w:tcW w:w="540" w:type="dxa"/>
            <w:vAlign w:val="bottom"/>
            <w:gridSpan w:val="3"/>
          </w:tcPr>
          <w:p>
            <w:pPr>
              <w:jc w:val="right"/>
              <w:ind w:right="8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59"/>
              <w:spacing w:after="0"/>
              <w:rPr>
                <w:sz w:val="20"/>
                <w:szCs w:val="20"/>
                <w:color w:val="auto"/>
              </w:rPr>
            </w:pPr>
            <w:r>
              <w:rPr>
                <w:rFonts w:ascii="Arial" w:cs="Arial" w:eastAsia="Arial" w:hAnsi="Arial"/>
                <w:sz w:val="14"/>
                <w:szCs w:val="14"/>
                <w:b w:val="1"/>
                <w:bCs w:val="1"/>
                <w:color w:val="auto"/>
              </w:rPr>
              <w:t>Fair Value</w:t>
            </w:r>
          </w:p>
        </w:tc>
        <w:tc>
          <w:tcPr>
            <w:tcW w:w="580" w:type="dxa"/>
            <w:vAlign w:val="bottom"/>
            <w:gridSpan w:val="3"/>
          </w:tcPr>
          <w:p>
            <w:pPr>
              <w:jc w:val="right"/>
              <w:ind w:right="10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r>
      <w:tr>
        <w:trPr>
          <w:trHeight w:val="196"/>
        </w:trPr>
        <w:tc>
          <w:tcPr>
            <w:tcW w:w="30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Aerospace and Defense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9,244,538</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8,100,895</w:t>
            </w:r>
          </w:p>
        </w:tc>
        <w:tc>
          <w:tcPr>
            <w:tcW w:w="80" w:type="dxa"/>
            <w:vAlign w:val="bottom"/>
          </w:tcPr>
          <w:p>
            <w:pPr>
              <w:spacing w:after="0"/>
              <w:rPr>
                <w:sz w:val="17"/>
                <w:szCs w:val="17"/>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5,278,896</w:t>
            </w: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3,874,742</w:t>
            </w:r>
          </w:p>
        </w:tc>
        <w:tc>
          <w:tcPr>
            <w:tcW w:w="80" w:type="dxa"/>
            <w:vAlign w:val="bottom"/>
          </w:tcPr>
          <w:p>
            <w:pPr>
              <w:spacing w:after="0"/>
              <w:rPr>
                <w:sz w:val="17"/>
                <w:szCs w:val="17"/>
                <w:color w:val="auto"/>
              </w:rPr>
            </w:pPr>
          </w:p>
        </w:tc>
        <w:tc>
          <w:tcPr>
            <w:tcW w:w="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Asset Management Company</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97"/>
              </w:rPr>
              <w:t>83,378,741</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76,148,000</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83,161,529</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77,242,000</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25</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Automotive</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97"/>
              </w:rPr>
              <w:t>15,248,090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15,306,403</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4,945,696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5,011,609</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2</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w w:val="98"/>
              </w:rPr>
              <w:t>Banking, Finance, Insurance &amp; Real Estate</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4,190,265</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4,299,050</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14,569,139</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12,146,826</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4</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Beverage, Food and Tobacco</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97"/>
              </w:rPr>
              <w:t>33,758,684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34,026,889</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22,685,119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22,929,556</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7</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Capital Equipment</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97"/>
              </w:rPr>
              <w:t>11,450,641</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11,792,925</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11,408,091</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11,581,245</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4</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Chemicals, Plastics and Rubber</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2,921,597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2,906,601</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2,954,774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2,950,577</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CLO Fund Securities</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7"/>
              </w:rPr>
              <w:t>101,696,950</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79,452,220</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7"/>
              </w:rPr>
              <w:t>90,146,410</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83,257,507</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27</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Construction &amp; Building</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97"/>
              </w:rPr>
              <w:t>18,224,720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190,244</w:t>
            </w:r>
          </w:p>
        </w:tc>
        <w:tc>
          <w:tcPr>
            <w:tcW w:w="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18,535,511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455,524</w:t>
            </w:r>
          </w:p>
        </w:tc>
        <w:tc>
          <w:tcPr>
            <w:tcW w:w="8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Consumer goods: Durable</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7,713,071</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9,751,622</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3,611,556</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4,333,473</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Consumer goods: Non-durable</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97"/>
              </w:rPr>
              <w:t>18,864,695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18,266,939</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12,208,911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11,257,247</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4</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Containers, Packaging and Glass</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4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1,949,236</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1,971,898</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Energy: Oil &amp; Gas</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97"/>
              </w:rPr>
              <w:t>11,734,558</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12,930,563</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11,692,913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11,692,000</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4</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Environmental Industries</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6,937,663</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6,965,896</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5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Finance</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97"/>
              </w:rPr>
              <w:t>26,669,356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26,712,914</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Healthcare &amp; Pharmaceuticals</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97"/>
              </w:rPr>
              <w:t>14,352,172</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14,430,726</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2,877,729</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2,865,000</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Healthcare, Education and Childcare</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97"/>
              </w:rPr>
              <w:t>18,340,534</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18,445,673</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High Tech Industries</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97"/>
              </w:rPr>
              <w:t>17,989,624</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17,989,034</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6,137,592</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6,252,380</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2</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Hotel, Gaming &amp; Leisure</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3,825,126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3,466,520</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2,491,007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2,053,481</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Media: Advertising, Printing &amp; Publishing</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97"/>
              </w:rPr>
              <w:t>12,797,615</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13,035,590</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4,633,622</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4,942,454</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2</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Media: Broadcasting &amp; Subscription</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9,853,341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9,915,921</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1,978,846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1,990,930</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Metals &amp; Mining</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228,563</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FFCC"/>
          </w:tcPr>
          <w:p>
            <w:pPr>
              <w:spacing w:after="0"/>
              <w:rPr>
                <w:sz w:val="17"/>
                <w:szCs w:val="17"/>
                <w:color w:val="auto"/>
              </w:rPr>
            </w:pPr>
          </w:p>
        </w:tc>
        <w:tc>
          <w:tcPr>
            <w:tcW w:w="4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773,718</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264,864</w:t>
            </w:r>
          </w:p>
        </w:tc>
        <w:tc>
          <w:tcPr>
            <w:tcW w:w="80" w:type="dxa"/>
            <w:vAlign w:val="bottom"/>
            <w:shd w:val="clear" w:color="auto" w:fill="CCFFCC"/>
          </w:tcPr>
          <w:p>
            <w:pPr>
              <w:spacing w:after="0"/>
              <w:rPr>
                <w:sz w:val="17"/>
                <w:szCs w:val="17"/>
                <w:color w:val="auto"/>
              </w:rPr>
            </w:pPr>
          </w:p>
        </w:tc>
        <w:tc>
          <w:tcPr>
            <w:tcW w:w="5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Retail</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3,364,579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3,325,032</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5,781,672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5,772,767</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2</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Services: Business</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2,984,555</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2,999,790</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5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Services: Consumer</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4,065,671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3,001,899</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13,104,093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1,753,521</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Telecommunications</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97"/>
              </w:rPr>
              <w:t>17,251,743</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17,337,835</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2,952,654</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2,783,195</w:t>
            </w:r>
          </w:p>
        </w:tc>
        <w:tc>
          <w:tcPr>
            <w:tcW w:w="580" w:type="dxa"/>
            <w:vAlign w:val="bottom"/>
            <w:gridSpan w:val="3"/>
            <w:shd w:val="clear" w:color="auto" w:fill="CCFFCC"/>
          </w:tcPr>
          <w:p>
            <w:pPr>
              <w:jc w:val="right"/>
              <w:ind w:right="180"/>
              <w:spacing w:after="0"/>
              <w:rPr>
                <w:sz w:val="20"/>
                <w:szCs w:val="20"/>
                <w:color w:val="auto"/>
              </w:rPr>
            </w:pPr>
            <w:r>
              <w:rPr>
                <w:rFonts w:ascii="Arial" w:cs="Arial" w:eastAsia="Arial" w:hAnsi="Arial"/>
                <w:sz w:val="16"/>
                <w:szCs w:val="16"/>
                <w:color w:val="auto"/>
              </w:rPr>
              <w:t>1</w:t>
            </w:r>
          </w:p>
        </w:tc>
      </w:tr>
      <w:tr>
        <w:trPr>
          <w:trHeight w:val="243"/>
        </w:trPr>
        <w:tc>
          <w:tcPr>
            <w:tcW w:w="3080" w:type="dxa"/>
            <w:vAlign w:val="bottom"/>
            <w:gridSpan w:val="3"/>
          </w:tcPr>
          <w:p>
            <w:pPr>
              <w:ind w:left="20"/>
              <w:spacing w:after="0" w:line="242" w:lineRule="exact"/>
              <w:rPr>
                <w:sz w:val="20"/>
                <w:szCs w:val="20"/>
                <w:color w:val="auto"/>
              </w:rPr>
            </w:pPr>
            <w:r>
              <w:rPr>
                <w:rFonts w:ascii="Arial" w:cs="Arial" w:eastAsia="Arial" w:hAnsi="Arial"/>
                <w:sz w:val="16"/>
                <w:szCs w:val="16"/>
                <w:color w:val="auto"/>
                <w:w w:val="93"/>
              </w:rPr>
              <w:t>Time Deposit and Money Market Accounts</w:t>
            </w:r>
            <w:r>
              <w:rPr>
                <w:rFonts w:ascii="Arial" w:cs="Arial" w:eastAsia="Arial" w:hAnsi="Arial"/>
                <w:sz w:val="27"/>
                <w:szCs w:val="27"/>
                <w:color w:val="auto"/>
                <w:w w:val="93"/>
                <w:vertAlign w:val="superscript"/>
              </w:rPr>
              <w:t>(3)</w:t>
            </w:r>
          </w:p>
        </w:tc>
        <w:tc>
          <w:tcPr>
            <w:tcW w:w="10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7,112,949</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7,112,949</w:t>
            </w:r>
          </w:p>
        </w:tc>
        <w:tc>
          <w:tcPr>
            <w:tcW w:w="540" w:type="dxa"/>
            <w:vAlign w:val="bottom"/>
            <w:gridSpan w:val="3"/>
          </w:tcPr>
          <w:p>
            <w:pPr>
              <w:jc w:val="right"/>
              <w:ind w:right="1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32,486,658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32,486,658</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10</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Transportation: Cargo</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97"/>
              </w:rPr>
              <w:t>16,030,051</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9"/>
              </w:rPr>
              <w:t>16,643,254</w:t>
            </w:r>
          </w:p>
        </w:tc>
        <w:tc>
          <w:tcPr>
            <w:tcW w:w="540" w:type="dxa"/>
            <w:vAlign w:val="bottom"/>
            <w:gridSpan w:val="3"/>
            <w:shd w:val="clear" w:color="auto" w:fill="CCFFCC"/>
          </w:tcPr>
          <w:p>
            <w:pPr>
              <w:jc w:val="right"/>
              <w:ind w:right="16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5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Transportation: Consumer</w:t>
            </w:r>
          </w:p>
        </w:tc>
        <w:tc>
          <w:tcPr>
            <w:tcW w:w="10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2,012,685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2,005,353</w:t>
            </w:r>
          </w:p>
        </w:tc>
        <w:tc>
          <w:tcPr>
            <w:tcW w:w="58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r>
      <w:tr>
        <w:trPr>
          <w:trHeight w:val="203"/>
        </w:trPr>
        <w:tc>
          <w:tcPr>
            <w:tcW w:w="3080" w:type="dxa"/>
            <w:vAlign w:val="bottom"/>
            <w:tcBorders>
              <w:right w:val="single" w:sz="8" w:color="CCFFCC"/>
            </w:tcBorders>
            <w:gridSpan w:val="3"/>
            <w:shd w:val="clear" w:color="auto" w:fill="CCFFCC"/>
          </w:tcPr>
          <w:p>
            <w:pPr>
              <w:ind w:left="20"/>
              <w:spacing w:after="0"/>
              <w:rPr>
                <w:sz w:val="20"/>
                <w:szCs w:val="20"/>
                <w:color w:val="auto"/>
              </w:rPr>
            </w:pPr>
            <w:r>
              <w:rPr>
                <w:rFonts w:ascii="Arial" w:cs="Arial" w:eastAsia="Arial" w:hAnsi="Arial"/>
                <w:sz w:val="16"/>
                <w:szCs w:val="16"/>
                <w:color w:val="auto"/>
              </w:rPr>
              <w:t>Utilities: Electric</w:t>
            </w:r>
          </w:p>
        </w:tc>
        <w:tc>
          <w:tcPr>
            <w:tcW w:w="10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5,927,826</w:t>
            </w: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5,993,610</w:t>
            </w:r>
          </w:p>
        </w:tc>
        <w:tc>
          <w:tcPr>
            <w:tcW w:w="80" w:type="dxa"/>
            <w:vAlign w:val="bottom"/>
            <w:shd w:val="clear" w:color="auto" w:fill="CCFFCC"/>
          </w:tcPr>
          <w:p>
            <w:pPr>
              <w:spacing w:after="0"/>
              <w:rPr>
                <w:sz w:val="17"/>
                <w:szCs w:val="17"/>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169,280</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169,956</w:t>
            </w:r>
          </w:p>
        </w:tc>
        <w:tc>
          <w:tcPr>
            <w:tcW w:w="80" w:type="dxa"/>
            <w:vAlign w:val="bottom"/>
            <w:shd w:val="clear" w:color="auto" w:fill="CCFFCC"/>
          </w:tcPr>
          <w:p>
            <w:pPr>
              <w:spacing w:after="0"/>
              <w:rPr>
                <w:sz w:val="17"/>
                <w:szCs w:val="17"/>
                <w:color w:val="auto"/>
              </w:rPr>
            </w:pPr>
          </w:p>
        </w:tc>
        <w:tc>
          <w:tcPr>
            <w:tcW w:w="5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08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6"/>
        </w:trPr>
        <w:tc>
          <w:tcPr>
            <w:tcW w:w="3080" w:type="dxa"/>
            <w:vAlign w:val="bottom"/>
            <w:gridSpan w:val="3"/>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w w:val="87"/>
              </w:rPr>
              <w:t>486,157,918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89"/>
              </w:rPr>
              <w:t>440,549,994</w:t>
            </w:r>
          </w:p>
        </w:tc>
        <w:tc>
          <w:tcPr>
            <w:tcW w:w="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1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87"/>
              </w:rPr>
              <w:t>358,547,337</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89"/>
              </w:rPr>
              <w:t>312,044,763</w:t>
            </w: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100%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as a percentage of total portfolio at fair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prior year amounts have been reclassified to conform to the current year presentation.</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21" w:lineRule="exact"/>
        <w:rPr>
          <w:sz w:val="20"/>
          <w:szCs w:val="20"/>
          <w:color w:val="auto"/>
        </w:rPr>
      </w:pPr>
    </w:p>
    <w:p>
      <w:pPr>
        <w:ind w:left="60" w:right="539" w:firstLine="270"/>
        <w:spacing w:after="0" w:line="259" w:lineRule="auto"/>
        <w:rPr>
          <w:sz w:val="20"/>
          <w:szCs w:val="20"/>
          <w:color w:val="auto"/>
        </w:rPr>
      </w:pPr>
      <w:r>
        <w:rPr>
          <w:rFonts w:ascii="Arial" w:cs="Arial" w:eastAsia="Arial" w:hAnsi="Arial"/>
          <w:sz w:val="18"/>
          <w:szCs w:val="18"/>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December 31, 2013, we had approximately $79 million invested in CLO Fund Securities, including those issued by funds managed by our Asset Manager Affiliates.</w:t>
      </w:r>
    </w:p>
    <w:p>
      <w:pPr>
        <w:spacing w:after="0" w:line="79" w:lineRule="exact"/>
        <w:rPr>
          <w:sz w:val="20"/>
          <w:szCs w:val="20"/>
          <w:color w:val="auto"/>
        </w:rPr>
      </w:pPr>
    </w:p>
    <w:p>
      <w:pPr>
        <w:ind w:left="60" w:right="679" w:firstLine="270"/>
        <w:spacing w:after="0" w:line="264" w:lineRule="auto"/>
        <w:rPr>
          <w:sz w:val="20"/>
          <w:szCs w:val="20"/>
          <w:color w:val="auto"/>
        </w:rPr>
      </w:pPr>
      <w:r>
        <w:rPr>
          <w:rFonts w:ascii="Arial" w:cs="Arial" w:eastAsia="Arial" w:hAnsi="Arial"/>
          <w:sz w:val="18"/>
          <w:szCs w:val="18"/>
          <w:color w:val="auto"/>
        </w:rPr>
        <w:t>The CLO Funds managed by our Asset Manager Affiliates invest primarily in broadly syndicated non-investment grade loans, high-yield bonds and other credit instruments of corporate issuers. The underlying assets in each of the CLO Fund Securities in which we have an investment are generally diversified secured or unsecured corporate debt.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December 31, 2013 and December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gridSpan w:val="2"/>
            <w:vMerge w:val="restart"/>
          </w:tcPr>
          <w:p>
            <w:pPr>
              <w:jc w:val="right"/>
              <w:ind w:right="19"/>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December 31, 2013</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2280" w:type="dxa"/>
            <w:vAlign w:val="bottom"/>
            <w:gridSpan w:val="3"/>
          </w:tcPr>
          <w:p>
            <w:pPr>
              <w:ind w:left="20"/>
              <w:spacing w:after="0"/>
              <w:rPr>
                <w:sz w:val="20"/>
                <w:szCs w:val="20"/>
                <w:color w:val="auto"/>
              </w:rPr>
            </w:pPr>
            <w:r>
              <w:rPr>
                <w:rFonts w:ascii="Arial" w:cs="Arial" w:eastAsia="Arial" w:hAnsi="Arial"/>
                <w:sz w:val="14"/>
                <w:szCs w:val="14"/>
                <w:b w:val="1"/>
                <w:bCs w:val="1"/>
                <w:color w:val="auto"/>
              </w:rPr>
              <w:t>CLO Fund Securities</w:t>
            </w:r>
          </w:p>
        </w:tc>
        <w:tc>
          <w:tcPr>
            <w:tcW w:w="40" w:type="dxa"/>
            <w:vAlign w:val="bottom"/>
          </w:tcPr>
          <w:p>
            <w:pPr>
              <w:spacing w:after="0"/>
              <w:rPr>
                <w:sz w:val="17"/>
                <w:szCs w:val="17"/>
                <w:color w:val="auto"/>
              </w:rPr>
            </w:pPr>
          </w:p>
        </w:tc>
        <w:tc>
          <w:tcPr>
            <w:tcW w:w="1640" w:type="dxa"/>
            <w:vAlign w:val="bottom"/>
          </w:tcPr>
          <w:p>
            <w:pPr>
              <w:ind w:left="480"/>
              <w:spacing w:after="0"/>
              <w:rPr>
                <w:sz w:val="20"/>
                <w:szCs w:val="20"/>
                <w:color w:val="auto"/>
              </w:rPr>
            </w:pPr>
            <w:r>
              <w:rPr>
                <w:rFonts w:ascii="Arial" w:cs="Arial" w:eastAsia="Arial" w:hAnsi="Arial"/>
                <w:sz w:val="14"/>
                <w:szCs w:val="14"/>
                <w:b w:val="1"/>
                <w:bCs w:val="1"/>
                <w:color w:val="auto"/>
              </w:rPr>
              <w:t>Investment</w:t>
            </w:r>
          </w:p>
        </w:tc>
        <w:tc>
          <w:tcPr>
            <w:tcW w:w="5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6"/>
        </w:trPr>
        <w:tc>
          <w:tcPr>
            <w:tcW w:w="22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Grant Grove CLO, Ltd.</w:t>
            </w:r>
          </w:p>
        </w:tc>
        <w:tc>
          <w:tcPr>
            <w:tcW w:w="40" w:type="dxa"/>
            <w:vAlign w:val="bottom"/>
          </w:tcPr>
          <w:p>
            <w:pPr>
              <w:spacing w:after="0"/>
              <w:rPr>
                <w:sz w:val="16"/>
                <w:szCs w:val="16"/>
                <w:color w:val="auto"/>
              </w:rPr>
            </w:pPr>
          </w:p>
        </w:tc>
        <w:tc>
          <w:tcPr>
            <w:tcW w:w="16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Subordinated</w:t>
            </w:r>
          </w:p>
        </w:tc>
        <w:tc>
          <w:tcPr>
            <w:tcW w:w="40" w:type="dxa"/>
            <w:vAlign w:val="bottom"/>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4,715,553</w:t>
            </w:r>
          </w:p>
        </w:tc>
        <w:tc>
          <w:tcPr>
            <w:tcW w:w="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8"/>
              </w:rPr>
              <w:t>1,052,164</w:t>
            </w:r>
          </w:p>
        </w:tc>
        <w:tc>
          <w:tcPr>
            <w:tcW w:w="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8"/>
              </w:rPr>
              <w:t>4,925,009</w:t>
            </w:r>
          </w:p>
        </w:tc>
        <w:tc>
          <w:tcPr>
            <w:tcW w:w="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3,124,924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Securities</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280" w:type="dxa"/>
            <w:vAlign w:val="bottom"/>
            <w:gridSpan w:val="3"/>
            <w:shd w:val="clear" w:color="auto" w:fill="CCFFCC"/>
          </w:tcPr>
          <w:p>
            <w:pPr>
              <w:ind w:left="20"/>
              <w:spacing w:after="0" w:line="246" w:lineRule="exact"/>
              <w:rPr>
                <w:sz w:val="20"/>
                <w:szCs w:val="20"/>
                <w:color w:val="auto"/>
              </w:rPr>
            </w:pPr>
            <w:r>
              <w:rPr>
                <w:rFonts w:ascii="Arial" w:cs="Arial" w:eastAsia="Arial" w:hAnsi="Arial"/>
                <w:sz w:val="16"/>
                <w:szCs w:val="16"/>
                <w:color w:val="auto"/>
              </w:rPr>
              <w:t>Katonah III, Ltd.</w:t>
            </w:r>
            <w:r>
              <w:rPr>
                <w:rFonts w:ascii="Arial" w:cs="Arial" w:eastAsia="Arial" w:hAnsi="Arial"/>
                <w:sz w:val="27"/>
                <w:szCs w:val="27"/>
                <w:color w:val="auto"/>
                <w:vertAlign w:val="superscript"/>
              </w:rPr>
              <w:t>(3)</w:t>
            </w:r>
          </w:p>
        </w:tc>
        <w:tc>
          <w:tcPr>
            <w:tcW w:w="40" w:type="dxa"/>
            <w:vAlign w:val="bottom"/>
            <w:shd w:val="clear" w:color="auto" w:fill="CCFFCC"/>
          </w:tcPr>
          <w:p>
            <w:pPr>
              <w:spacing w:after="0"/>
              <w:rPr>
                <w:sz w:val="21"/>
                <w:szCs w:val="21"/>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Preferred Shares</w:t>
            </w:r>
          </w:p>
        </w:tc>
        <w:tc>
          <w:tcPr>
            <w:tcW w:w="540" w:type="dxa"/>
            <w:vAlign w:val="bottom"/>
            <w:gridSpan w:val="2"/>
            <w:shd w:val="clear" w:color="auto" w:fill="CCFFCC"/>
          </w:tcPr>
          <w:p>
            <w:pPr>
              <w:jc w:val="right"/>
              <w:ind w:right="79"/>
              <w:spacing w:after="0"/>
              <w:rPr>
                <w:sz w:val="20"/>
                <w:szCs w:val="20"/>
                <w:color w:val="auto"/>
              </w:rPr>
            </w:pPr>
            <w:r>
              <w:rPr>
                <w:rFonts w:ascii="Arial" w:cs="Arial" w:eastAsia="Arial" w:hAnsi="Arial"/>
                <w:sz w:val="16"/>
                <w:szCs w:val="16"/>
                <w:color w:val="auto"/>
              </w:rPr>
              <w:t>23.1</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1,618,611</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325,000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2,242,014</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Katonah V, Ltd.</w:t>
            </w:r>
            <w:r>
              <w:rPr>
                <w:rFonts w:ascii="Arial" w:cs="Arial" w:eastAsia="Arial" w:hAnsi="Arial"/>
                <w:sz w:val="27"/>
                <w:szCs w:val="27"/>
                <w:color w:val="auto"/>
                <w:vertAlign w:val="superscript"/>
              </w:rPr>
              <w:t>(3)</w:t>
            </w:r>
          </w:p>
        </w:tc>
        <w:tc>
          <w:tcPr>
            <w:tcW w:w="40" w:type="dxa"/>
            <w:vAlign w:val="bottom"/>
          </w:tcPr>
          <w:p>
            <w:pPr>
              <w:spacing w:after="0"/>
              <w:rPr>
                <w:sz w:val="21"/>
                <w:szCs w:val="21"/>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Preferred Shares</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26.7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3,320,000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3,320,000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33"/>
        </w:trPr>
        <w:tc>
          <w:tcPr>
            <w:tcW w:w="2280" w:type="dxa"/>
            <w:vAlign w:val="bottom"/>
            <w:gridSpan w:val="3"/>
            <w:shd w:val="clear" w:color="auto" w:fill="CCFFCC"/>
          </w:tcPr>
          <w:p>
            <w:pPr>
              <w:ind w:left="20"/>
              <w:spacing w:after="0" w:line="233" w:lineRule="exact"/>
              <w:rPr>
                <w:sz w:val="20"/>
                <w:szCs w:val="20"/>
                <w:color w:val="auto"/>
              </w:rPr>
            </w:pPr>
            <w:r>
              <w:rPr>
                <w:rFonts w:ascii="Arial" w:cs="Arial" w:eastAsia="Arial" w:hAnsi="Arial"/>
                <w:sz w:val="16"/>
                <w:szCs w:val="16"/>
                <w:color w:val="auto"/>
              </w:rPr>
              <w:t>Katonah VII CLO Ltd.</w:t>
            </w:r>
            <w:r>
              <w:rPr>
                <w:rFonts w:ascii="Arial" w:cs="Arial" w:eastAsia="Arial" w:hAnsi="Arial"/>
                <w:sz w:val="27"/>
                <w:szCs w:val="27"/>
                <w:color w:val="auto"/>
                <w:vertAlign w:val="superscript"/>
              </w:rPr>
              <w:t>(2)</w:t>
            </w:r>
          </w:p>
        </w:tc>
        <w:tc>
          <w:tcPr>
            <w:tcW w:w="40" w:type="dxa"/>
            <w:vAlign w:val="bottom"/>
            <w:shd w:val="clear" w:color="auto" w:fill="CCFFCC"/>
          </w:tcPr>
          <w:p>
            <w:pPr>
              <w:spacing w:after="0"/>
              <w:rPr>
                <w:sz w:val="20"/>
                <w:szCs w:val="20"/>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Subordinated</w:t>
            </w:r>
          </w:p>
        </w:tc>
        <w:tc>
          <w:tcPr>
            <w:tcW w:w="540" w:type="dxa"/>
            <w:vAlign w:val="bottom"/>
            <w:gridSpan w:val="2"/>
            <w:shd w:val="clear" w:color="auto" w:fill="CCFFCC"/>
          </w:tcPr>
          <w:p>
            <w:pPr>
              <w:jc w:val="right"/>
              <w:ind w:right="79"/>
              <w:spacing w:after="0"/>
              <w:rPr>
                <w:sz w:val="20"/>
                <w:szCs w:val="20"/>
                <w:color w:val="auto"/>
              </w:rPr>
            </w:pPr>
            <w:r>
              <w:rPr>
                <w:rFonts w:ascii="Arial" w:cs="Arial" w:eastAsia="Arial" w:hAnsi="Arial"/>
                <w:sz w:val="16"/>
                <w:szCs w:val="16"/>
                <w:color w:val="auto"/>
              </w:rPr>
              <w:t>16.4</w:t>
            </w:r>
          </w:p>
        </w:tc>
        <w:tc>
          <w:tcPr>
            <w:tcW w:w="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4,499,793</w:t>
            </w: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1,478,978</w:t>
            </w:r>
          </w:p>
        </w:tc>
        <w:tc>
          <w:tcPr>
            <w:tcW w:w="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4,574,393</w:t>
            </w:r>
          </w:p>
        </w:tc>
        <w:tc>
          <w:tcPr>
            <w:tcW w:w="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2,120,168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Securities</w:t>
            </w:r>
          </w:p>
        </w:tc>
        <w:tc>
          <w:tcPr>
            <w:tcW w:w="4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ind w:left="20"/>
              <w:spacing w:after="0" w:line="233" w:lineRule="exact"/>
              <w:rPr>
                <w:sz w:val="20"/>
                <w:szCs w:val="20"/>
                <w:color w:val="auto"/>
              </w:rPr>
            </w:pPr>
            <w:r>
              <w:rPr>
                <w:rFonts w:ascii="Arial" w:cs="Arial" w:eastAsia="Arial" w:hAnsi="Arial"/>
                <w:sz w:val="16"/>
                <w:szCs w:val="16"/>
                <w:color w:val="auto"/>
              </w:rPr>
              <w:t>Katonah VIII CLO Ltd.</w:t>
            </w:r>
            <w:r>
              <w:rPr>
                <w:rFonts w:ascii="Arial" w:cs="Arial" w:eastAsia="Arial" w:hAnsi="Arial"/>
                <w:sz w:val="27"/>
                <w:szCs w:val="27"/>
                <w:color w:val="auto"/>
                <w:vertAlign w:val="superscript"/>
              </w:rPr>
              <w:t>(2)</w:t>
            </w:r>
          </w:p>
        </w:tc>
        <w:tc>
          <w:tcPr>
            <w:tcW w:w="40" w:type="dxa"/>
            <w:vAlign w:val="bottom"/>
          </w:tcPr>
          <w:p>
            <w:pPr>
              <w:spacing w:after="0"/>
              <w:rPr>
                <w:sz w:val="20"/>
                <w:szCs w:val="20"/>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Subordinated</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10.3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3,390,005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1,230,731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3,450,705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2,171,998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Securities</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280" w:type="dxa"/>
            <w:vAlign w:val="bottom"/>
            <w:gridSpan w:val="3"/>
            <w:shd w:val="clear" w:color="auto" w:fill="CCFFCC"/>
          </w:tcPr>
          <w:p>
            <w:pPr>
              <w:ind w:left="20"/>
              <w:spacing w:after="0" w:line="246" w:lineRule="exact"/>
              <w:rPr>
                <w:sz w:val="20"/>
                <w:szCs w:val="20"/>
                <w:color w:val="auto"/>
              </w:rPr>
            </w:pPr>
            <w:r>
              <w:rPr>
                <w:rFonts w:ascii="Arial" w:cs="Arial" w:eastAsia="Arial" w:hAnsi="Arial"/>
                <w:sz w:val="16"/>
                <w:szCs w:val="16"/>
                <w:color w:val="auto"/>
              </w:rPr>
              <w:t>Katonah IX CLO Ltd.</w:t>
            </w:r>
            <w:r>
              <w:rPr>
                <w:rFonts w:ascii="Arial" w:cs="Arial" w:eastAsia="Arial" w:hAnsi="Arial"/>
                <w:sz w:val="27"/>
                <w:szCs w:val="27"/>
                <w:color w:val="auto"/>
                <w:vertAlign w:val="superscript"/>
              </w:rPr>
              <w:t>(2)</w:t>
            </w:r>
          </w:p>
        </w:tc>
        <w:tc>
          <w:tcPr>
            <w:tcW w:w="40" w:type="dxa"/>
            <w:vAlign w:val="bottom"/>
            <w:shd w:val="clear" w:color="auto" w:fill="CCFFCC"/>
          </w:tcPr>
          <w:p>
            <w:pPr>
              <w:spacing w:after="0"/>
              <w:rPr>
                <w:sz w:val="21"/>
                <w:szCs w:val="21"/>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Preferred Shares</w:t>
            </w:r>
          </w:p>
        </w:tc>
        <w:tc>
          <w:tcPr>
            <w:tcW w:w="540" w:type="dxa"/>
            <w:vAlign w:val="bottom"/>
            <w:gridSpan w:val="2"/>
            <w:shd w:val="clear" w:color="auto" w:fill="CCFFCC"/>
          </w:tcPr>
          <w:p>
            <w:pPr>
              <w:jc w:val="right"/>
              <w:ind w:right="79"/>
              <w:spacing w:after="0"/>
              <w:rPr>
                <w:sz w:val="20"/>
                <w:szCs w:val="20"/>
                <w:color w:val="auto"/>
              </w:rPr>
            </w:pPr>
            <w:r>
              <w:rPr>
                <w:rFonts w:ascii="Arial" w:cs="Arial" w:eastAsia="Arial" w:hAnsi="Arial"/>
                <w:sz w:val="16"/>
                <w:szCs w:val="16"/>
                <w:color w:val="auto"/>
              </w:rPr>
              <w:t>6.9</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2,023,287</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829,739</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2,082,987</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1,488,895</w:t>
            </w:r>
          </w:p>
        </w:tc>
        <w:tc>
          <w:tcPr>
            <w:tcW w:w="0" w:type="dxa"/>
            <w:vAlign w:val="bottom"/>
          </w:tcPr>
          <w:p>
            <w:pPr>
              <w:spacing w:after="0"/>
              <w:rPr>
                <w:sz w:val="1"/>
                <w:szCs w:val="1"/>
                <w:color w:val="auto"/>
              </w:rPr>
            </w:pPr>
          </w:p>
        </w:tc>
      </w:tr>
      <w:tr>
        <w:trPr>
          <w:trHeight w:val="233"/>
        </w:trPr>
        <w:tc>
          <w:tcPr>
            <w:tcW w:w="2280" w:type="dxa"/>
            <w:vAlign w:val="bottom"/>
            <w:gridSpan w:val="3"/>
          </w:tcPr>
          <w:p>
            <w:pPr>
              <w:ind w:left="20"/>
              <w:spacing w:after="0" w:line="233" w:lineRule="exact"/>
              <w:rPr>
                <w:sz w:val="20"/>
                <w:szCs w:val="20"/>
                <w:color w:val="auto"/>
              </w:rPr>
            </w:pPr>
            <w:r>
              <w:rPr>
                <w:rFonts w:ascii="Arial" w:cs="Arial" w:eastAsia="Arial" w:hAnsi="Arial"/>
                <w:sz w:val="16"/>
                <w:szCs w:val="16"/>
                <w:color w:val="auto"/>
              </w:rPr>
              <w:t>Katonah X CLO Ltd.</w:t>
            </w:r>
            <w:r>
              <w:rPr>
                <w:rFonts w:ascii="Arial" w:cs="Arial" w:eastAsia="Arial" w:hAnsi="Arial"/>
                <w:sz w:val="27"/>
                <w:szCs w:val="27"/>
                <w:color w:val="auto"/>
                <w:vertAlign w:val="superscript"/>
              </w:rPr>
              <w:t>(2)</w:t>
            </w:r>
          </w:p>
        </w:tc>
        <w:tc>
          <w:tcPr>
            <w:tcW w:w="40" w:type="dxa"/>
            <w:vAlign w:val="bottom"/>
          </w:tcPr>
          <w:p>
            <w:pPr>
              <w:spacing w:after="0"/>
              <w:rPr>
                <w:sz w:val="20"/>
                <w:szCs w:val="20"/>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Subordinated</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33.3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11,770,993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5,932,163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11,934,600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9,455,511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Securities</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280" w:type="dxa"/>
            <w:vAlign w:val="bottom"/>
            <w:gridSpan w:val="3"/>
            <w:shd w:val="clear" w:color="auto" w:fill="CCFFCC"/>
          </w:tcPr>
          <w:p>
            <w:pPr>
              <w:ind w:left="20"/>
              <w:spacing w:after="0" w:line="246" w:lineRule="exact"/>
              <w:rPr>
                <w:sz w:val="20"/>
                <w:szCs w:val="20"/>
                <w:color w:val="auto"/>
              </w:rPr>
            </w:pPr>
            <w:r>
              <w:rPr>
                <w:rFonts w:ascii="Arial" w:cs="Arial" w:eastAsia="Arial" w:hAnsi="Arial"/>
                <w:sz w:val="16"/>
                <w:szCs w:val="16"/>
                <w:color w:val="auto"/>
              </w:rPr>
              <w:t>Katonah 2007-I CLO Ltd.</w:t>
            </w:r>
            <w:r>
              <w:rPr>
                <w:rFonts w:ascii="Arial" w:cs="Arial" w:eastAsia="Arial" w:hAnsi="Arial"/>
                <w:sz w:val="27"/>
                <w:szCs w:val="27"/>
                <w:color w:val="auto"/>
                <w:vertAlign w:val="superscript"/>
              </w:rPr>
              <w:t>(2)</w:t>
            </w:r>
          </w:p>
        </w:tc>
        <w:tc>
          <w:tcPr>
            <w:tcW w:w="40" w:type="dxa"/>
            <w:vAlign w:val="bottom"/>
            <w:shd w:val="clear" w:color="auto" w:fill="CCFFCC"/>
          </w:tcPr>
          <w:p>
            <w:pPr>
              <w:spacing w:after="0"/>
              <w:rPr>
                <w:sz w:val="21"/>
                <w:szCs w:val="21"/>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Preferred Shares</w:t>
            </w:r>
          </w:p>
        </w:tc>
        <w:tc>
          <w:tcPr>
            <w:tcW w:w="540" w:type="dxa"/>
            <w:vAlign w:val="bottom"/>
            <w:gridSpan w:val="2"/>
            <w:shd w:val="clear" w:color="auto" w:fill="CCFFCC"/>
          </w:tcPr>
          <w:p>
            <w:pPr>
              <w:jc w:val="right"/>
              <w:ind w:right="79"/>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9"/>
              </w:rPr>
              <w:t>31,064,973</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27,758,379</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31,189,147</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9"/>
              </w:rPr>
              <w:t>30,091,886</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Katonah 2007-I CLO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Class B-2L Notes</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1,300,937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9,740,000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1,252,190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9,140,000</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6"/>
                <w:szCs w:val="16"/>
                <w:color w:val="auto"/>
              </w:rPr>
              <w:t>Trimaran CLO IV, Ltd.</w:t>
            </w:r>
            <w:r>
              <w:rPr>
                <w:rFonts w:ascii="Arial" w:cs="Arial" w:eastAsia="Arial" w:hAnsi="Arial"/>
                <w:sz w:val="27"/>
                <w:szCs w:val="27"/>
                <w:color w:val="auto"/>
                <w:vertAlign w:val="superscript"/>
              </w:rPr>
              <w:t>(2)</w:t>
            </w:r>
          </w:p>
        </w:tc>
        <w:tc>
          <w:tcPr>
            <w:tcW w:w="40" w:type="dxa"/>
            <w:vAlign w:val="bottom"/>
            <w:shd w:val="clear" w:color="auto" w:fill="CCFFCC"/>
          </w:tcPr>
          <w:p>
            <w:pPr>
              <w:spacing w:after="0"/>
              <w:rPr>
                <w:sz w:val="21"/>
                <w:szCs w:val="21"/>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Preferred Shares</w:t>
            </w:r>
          </w:p>
        </w:tc>
        <w:tc>
          <w:tcPr>
            <w:tcW w:w="540" w:type="dxa"/>
            <w:vAlign w:val="bottom"/>
            <w:gridSpan w:val="2"/>
            <w:shd w:val="clear" w:color="auto" w:fill="CCFFCC"/>
          </w:tcPr>
          <w:p>
            <w:pPr>
              <w:jc w:val="right"/>
              <w:ind w:right="79"/>
              <w:spacing w:after="0"/>
              <w:rPr>
                <w:sz w:val="20"/>
                <w:szCs w:val="20"/>
                <w:color w:val="auto"/>
              </w:rPr>
            </w:pPr>
            <w:r>
              <w:rPr>
                <w:rFonts w:ascii="Arial" w:cs="Arial" w:eastAsia="Arial" w:hAnsi="Arial"/>
                <w:sz w:val="16"/>
                <w:szCs w:val="16"/>
                <w:color w:val="auto"/>
              </w:rPr>
              <w:t>19.0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3,542,300</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2,519,210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3,616,600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3,575,571</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Trimaran CLO V,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Subordinate Notes</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2,721,500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1,844,276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2,757,100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2,930,004</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6"/>
                <w:szCs w:val="16"/>
                <w:color w:val="auto"/>
              </w:rPr>
              <w:t>Trimaran CLO VI, Ltd.</w:t>
            </w:r>
            <w:r>
              <w:rPr>
                <w:rFonts w:ascii="Arial" w:cs="Arial" w:eastAsia="Arial" w:hAnsi="Arial"/>
                <w:sz w:val="27"/>
                <w:szCs w:val="27"/>
                <w:color w:val="auto"/>
                <w:vertAlign w:val="superscript"/>
              </w:rPr>
              <w:t>(2)</w:t>
            </w:r>
          </w:p>
        </w:tc>
        <w:tc>
          <w:tcPr>
            <w:tcW w:w="40" w:type="dxa"/>
            <w:vAlign w:val="bottom"/>
            <w:shd w:val="clear" w:color="auto" w:fill="CCFFCC"/>
          </w:tcPr>
          <w:p>
            <w:pPr>
              <w:spacing w:after="0"/>
              <w:rPr>
                <w:sz w:val="21"/>
                <w:szCs w:val="21"/>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Income Notes</w:t>
            </w:r>
          </w:p>
        </w:tc>
        <w:tc>
          <w:tcPr>
            <w:tcW w:w="540" w:type="dxa"/>
            <w:vAlign w:val="bottom"/>
            <w:gridSpan w:val="2"/>
            <w:shd w:val="clear" w:color="auto" w:fill="CCFFCC"/>
          </w:tcPr>
          <w:p>
            <w:pPr>
              <w:jc w:val="right"/>
              <w:ind w:right="79"/>
              <w:spacing w:after="0"/>
              <w:rPr>
                <w:sz w:val="20"/>
                <w:szCs w:val="20"/>
                <w:color w:val="auto"/>
              </w:rPr>
            </w:pPr>
            <w:r>
              <w:rPr>
                <w:rFonts w:ascii="Arial" w:cs="Arial" w:eastAsia="Arial" w:hAnsi="Arial"/>
                <w:sz w:val="16"/>
                <w:szCs w:val="16"/>
                <w:color w:val="auto"/>
              </w:rPr>
              <w:t>16.2</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2,784,200</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1,981,948</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2,894,700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2,936,626</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Trimaran CLO VII,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Income Notes</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10.5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3,133,900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2,513,261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3,146,900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3,357,924</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6"/>
                <w:szCs w:val="16"/>
                <w:color w:val="auto"/>
              </w:rPr>
              <w:t>Catamaran CLO 2012-1 Ltd.</w:t>
            </w:r>
            <w:r>
              <w:rPr>
                <w:rFonts w:ascii="Arial" w:cs="Arial" w:eastAsia="Arial" w:hAnsi="Arial"/>
                <w:sz w:val="27"/>
                <w:szCs w:val="27"/>
                <w:color w:val="auto"/>
                <w:vertAlign w:val="superscript"/>
              </w:rPr>
              <w:t>(2)</w:t>
            </w:r>
          </w:p>
        </w:tc>
        <w:tc>
          <w:tcPr>
            <w:tcW w:w="40" w:type="dxa"/>
            <w:vAlign w:val="bottom"/>
            <w:shd w:val="clear" w:color="auto" w:fill="CCFFCC"/>
          </w:tcPr>
          <w:p>
            <w:pPr>
              <w:spacing w:after="0"/>
              <w:rPr>
                <w:sz w:val="21"/>
                <w:szCs w:val="21"/>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Subordinated Notes</w:t>
            </w:r>
          </w:p>
        </w:tc>
        <w:tc>
          <w:tcPr>
            <w:tcW w:w="540" w:type="dxa"/>
            <w:vAlign w:val="bottom"/>
            <w:gridSpan w:val="2"/>
            <w:shd w:val="clear" w:color="auto" w:fill="CCFFCC"/>
          </w:tcPr>
          <w:p>
            <w:pPr>
              <w:jc w:val="right"/>
              <w:ind w:right="79"/>
              <w:spacing w:after="0"/>
              <w:rPr>
                <w:sz w:val="20"/>
                <w:szCs w:val="20"/>
                <w:color w:val="auto"/>
              </w:rPr>
            </w:pPr>
            <w:r>
              <w:rPr>
                <w:rFonts w:ascii="Arial" w:cs="Arial" w:eastAsia="Arial" w:hAnsi="Arial"/>
                <w:sz w:val="16"/>
                <w:szCs w:val="16"/>
                <w:color w:val="auto"/>
              </w:rPr>
              <w:t>24.9</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8,943,900</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6,846,520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8,982,400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8,493,000</w:t>
            </w:r>
          </w:p>
        </w:tc>
        <w:tc>
          <w:tcPr>
            <w:tcW w:w="0" w:type="dxa"/>
            <w:vAlign w:val="bottom"/>
          </w:tcPr>
          <w:p>
            <w:pPr>
              <w:spacing w:after="0"/>
              <w:rPr>
                <w:sz w:val="1"/>
                <w:szCs w:val="1"/>
                <w:color w:val="auto"/>
              </w:rPr>
            </w:pPr>
          </w:p>
        </w:tc>
      </w:tr>
      <w:tr>
        <w:trPr>
          <w:trHeight w:val="243"/>
        </w:trPr>
        <w:tc>
          <w:tcPr>
            <w:tcW w:w="228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Catamaran CLO 2012-1 Ltd.</w:t>
            </w:r>
            <w:r>
              <w:rPr>
                <w:rFonts w:ascii="Arial" w:cs="Arial" w:eastAsia="Arial" w:hAnsi="Arial"/>
                <w:sz w:val="27"/>
                <w:szCs w:val="27"/>
                <w:color w:val="auto"/>
                <w:vertAlign w:val="superscript"/>
              </w:rPr>
              <w:t>(2)</w:t>
            </w:r>
          </w:p>
        </w:tc>
        <w:tc>
          <w:tcPr>
            <w:tcW w:w="40" w:type="dxa"/>
            <w:vAlign w:val="bottom"/>
          </w:tcPr>
          <w:p>
            <w:pPr>
              <w:spacing w:after="0"/>
              <w:rPr>
                <w:sz w:val="21"/>
                <w:szCs w:val="21"/>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Class F Notes</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42.9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3,843,398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4,200,001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3,777,665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3,770,000</w:t>
            </w:r>
          </w:p>
        </w:tc>
        <w:tc>
          <w:tcPr>
            <w:tcW w:w="0" w:type="dxa"/>
            <w:vAlign w:val="bottom"/>
          </w:tcPr>
          <w:p>
            <w:pPr>
              <w:spacing w:after="0"/>
              <w:rPr>
                <w:sz w:val="1"/>
                <w:szCs w:val="1"/>
                <w:color w:val="auto"/>
              </w:rPr>
            </w:pPr>
          </w:p>
        </w:tc>
      </w:tr>
      <w:tr>
        <w:trPr>
          <w:trHeight w:val="243"/>
        </w:trPr>
        <w:tc>
          <w:tcPr>
            <w:tcW w:w="228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6"/>
                <w:szCs w:val="16"/>
                <w:color w:val="auto"/>
              </w:rPr>
              <w:t>Catamaran CLO 2013-1 Ltd.</w:t>
            </w:r>
            <w:r>
              <w:rPr>
                <w:rFonts w:ascii="Arial" w:cs="Arial" w:eastAsia="Arial" w:hAnsi="Arial"/>
                <w:sz w:val="27"/>
                <w:szCs w:val="27"/>
                <w:color w:val="auto"/>
                <w:vertAlign w:val="superscript"/>
              </w:rPr>
              <w:t>(2)</w:t>
            </w:r>
          </w:p>
        </w:tc>
        <w:tc>
          <w:tcPr>
            <w:tcW w:w="40" w:type="dxa"/>
            <w:vAlign w:val="bottom"/>
            <w:shd w:val="clear" w:color="auto" w:fill="CCFFCC"/>
          </w:tcPr>
          <w:p>
            <w:pPr>
              <w:spacing w:after="0"/>
              <w:rPr>
                <w:sz w:val="21"/>
                <w:szCs w:val="21"/>
                <w:color w:val="auto"/>
              </w:rPr>
            </w:pPr>
          </w:p>
        </w:tc>
        <w:tc>
          <w:tcPr>
            <w:tcW w:w="1640" w:type="dxa"/>
            <w:vAlign w:val="bottom"/>
            <w:shd w:val="clear" w:color="auto" w:fill="CCFFCC"/>
          </w:tcPr>
          <w:p>
            <w:pPr>
              <w:ind w:left="80"/>
              <w:spacing w:after="0"/>
              <w:rPr>
                <w:sz w:val="20"/>
                <w:szCs w:val="20"/>
                <w:color w:val="auto"/>
              </w:rPr>
            </w:pPr>
            <w:r>
              <w:rPr>
                <w:rFonts w:ascii="Arial" w:cs="Arial" w:eastAsia="Arial" w:hAnsi="Arial"/>
                <w:sz w:val="16"/>
                <w:szCs w:val="16"/>
                <w:color w:val="auto"/>
              </w:rPr>
              <w:t>Subordinated Notes</w:t>
            </w:r>
          </w:p>
        </w:tc>
        <w:tc>
          <w:tcPr>
            <w:tcW w:w="540" w:type="dxa"/>
            <w:vAlign w:val="bottom"/>
            <w:gridSpan w:val="2"/>
            <w:shd w:val="clear" w:color="auto" w:fill="CCFFCC"/>
          </w:tcPr>
          <w:p>
            <w:pPr>
              <w:jc w:val="right"/>
              <w:ind w:right="79"/>
              <w:spacing w:after="0"/>
              <w:rPr>
                <w:sz w:val="20"/>
                <w:szCs w:val="20"/>
                <w:color w:val="auto"/>
              </w:rPr>
            </w:pPr>
            <w:r>
              <w:rPr>
                <w:rFonts w:ascii="Arial" w:cs="Arial" w:eastAsia="Arial" w:hAnsi="Arial"/>
                <w:sz w:val="16"/>
                <w:szCs w:val="16"/>
                <w:color w:val="auto"/>
              </w:rPr>
              <w:t>23.5</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9,960,400</w:t>
            </w: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8"/>
              </w:rPr>
              <w:t>8,225,100</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280" w:type="dxa"/>
            <w:vAlign w:val="bottom"/>
            <w:gridSpan w:val="3"/>
          </w:tcPr>
          <w:p>
            <w:pPr>
              <w:ind w:left="20"/>
              <w:spacing w:after="0"/>
              <w:rPr>
                <w:sz w:val="20"/>
                <w:szCs w:val="20"/>
                <w:color w:val="auto"/>
              </w:rPr>
            </w:pPr>
            <w:r>
              <w:rPr>
                <w:rFonts w:ascii="Arial" w:cs="Arial" w:eastAsia="Arial" w:hAnsi="Arial"/>
                <w:sz w:val="16"/>
                <w:szCs w:val="16"/>
                <w:color w:val="auto"/>
              </w:rPr>
              <w:t>Dryden 30 Senior Loan Fund</w:t>
            </w:r>
          </w:p>
        </w:tc>
        <w:tc>
          <w:tcPr>
            <w:tcW w:w="4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6"/>
                <w:szCs w:val="16"/>
                <w:color w:val="auto"/>
              </w:rPr>
              <w:t>Subordinated Notes</w:t>
            </w:r>
          </w:p>
        </w:tc>
        <w:tc>
          <w:tcPr>
            <w:tcW w:w="540" w:type="dxa"/>
            <w:vAlign w:val="bottom"/>
            <w:gridSpan w:val="2"/>
          </w:tcPr>
          <w:p>
            <w:pPr>
              <w:jc w:val="right"/>
              <w:ind w:right="79"/>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3,063,200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2,973,750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Total</w:t>
            </w:r>
          </w:p>
        </w:tc>
        <w:tc>
          <w:tcPr>
            <w:tcW w:w="40" w:type="dxa"/>
            <w:vAlign w:val="bottom"/>
            <w:shd w:val="clear" w:color="auto" w:fill="CCFFCC"/>
          </w:tcPr>
          <w:p>
            <w:pPr>
              <w:spacing w:after="0"/>
              <w:rPr>
                <w:sz w:val="20"/>
                <w:szCs w:val="20"/>
                <w:color w:val="auto"/>
              </w:rPr>
            </w:pPr>
          </w:p>
        </w:tc>
        <w:tc>
          <w:tcPr>
            <w:tcW w:w="1640" w:type="dxa"/>
            <w:vAlign w:val="bottom"/>
            <w:shd w:val="clear" w:color="auto" w:fill="CCFFCC"/>
          </w:tcPr>
          <w:p>
            <w:pPr>
              <w:spacing w:after="0"/>
              <w:rPr>
                <w:sz w:val="20"/>
                <w:szCs w:val="20"/>
                <w:color w:val="auto"/>
              </w:rPr>
            </w:pPr>
          </w:p>
        </w:tc>
        <w:tc>
          <w:tcPr>
            <w:tcW w:w="600" w:type="dxa"/>
            <w:vAlign w:val="bottom"/>
            <w:gridSpan w:val="3"/>
            <w:shd w:val="clear" w:color="auto" w:fill="CCFFCC"/>
          </w:tcPr>
          <w:p>
            <w:pPr>
              <w:spacing w:after="0"/>
              <w:rPr>
                <w:sz w:val="20"/>
                <w:szCs w:val="20"/>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101,696,950</w:t>
            </w:r>
          </w:p>
        </w:tc>
        <w:tc>
          <w:tcPr>
            <w:tcW w:w="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6"/>
                <w:szCs w:val="16"/>
                <w:u w:val="single" w:color="auto"/>
                <w:color w:val="auto"/>
                <w:w w:val="89"/>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79,452,220</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7"/>
              </w:rPr>
              <w:t>90,146,410</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89"/>
              </w:rPr>
              <w:t>83,257,507</w:t>
            </w:r>
          </w:p>
        </w:tc>
        <w:tc>
          <w:tcPr>
            <w:tcW w:w="0" w:type="dxa"/>
            <w:vAlign w:val="bottom"/>
          </w:tcPr>
          <w:p>
            <w:pPr>
              <w:spacing w:after="0"/>
              <w:rPr>
                <w:sz w:val="1"/>
                <w:szCs w:val="1"/>
                <w:color w:val="auto"/>
              </w:rPr>
            </w:pP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128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64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50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percentage of class held.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affiliate CLO Fund managed by Asset Manager Affiliates.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December 31, 2013, this CLO Fund Security was not providing a dividend distribution.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Manager Affiliates</w:t>
      </w:r>
    </w:p>
    <w:p>
      <w:pPr>
        <w:spacing w:after="0" w:line="121" w:lineRule="exact"/>
        <w:rPr>
          <w:sz w:val="20"/>
          <w:szCs w:val="20"/>
          <w:color w:val="auto"/>
        </w:rPr>
      </w:pPr>
    </w:p>
    <w:p>
      <w:pPr>
        <w:ind w:left="60" w:right="579" w:firstLine="270"/>
        <w:spacing w:after="0" w:line="257"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December 31, 2013, our Asset Manager Affiliates had approximately $3.2 billion of par value of assets under management on which they earn management fees, and were valued at approximately $76 million.</w:t>
      </w:r>
    </w:p>
    <w:p>
      <w:pPr>
        <w:spacing w:after="0" w:line="80" w:lineRule="exact"/>
        <w:rPr>
          <w:sz w:val="20"/>
          <w:szCs w:val="20"/>
          <w:color w:val="auto"/>
        </w:rPr>
      </w:pPr>
    </w:p>
    <w:p>
      <w:pPr>
        <w:ind w:left="60" w:right="679" w:firstLine="270"/>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our Asset Manager Affiliates are currently receiving incentive fees from four funds.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dividends,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200" w:lineRule="exact"/>
        <w:rPr>
          <w:sz w:val="20"/>
          <w:szCs w:val="20"/>
          <w:color w:val="auto"/>
        </w:rPr>
      </w:pPr>
    </w:p>
    <w:p>
      <w:pPr>
        <w:spacing w:after="0" w:line="33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459" w:firstLine="270"/>
        <w:spacing w:after="0" w:line="434" w:lineRule="auto"/>
        <w:rPr>
          <w:sz w:val="20"/>
          <w:szCs w:val="20"/>
          <w:color w:val="auto"/>
        </w:rPr>
      </w:pPr>
      <w:r>
        <w:rPr>
          <w:rFonts w:ascii="Arial" w:cs="Arial" w:eastAsia="Arial" w:hAnsi="Arial"/>
          <w:sz w:val="18"/>
          <w:szCs w:val="18"/>
          <w:color w:val="auto"/>
        </w:rPr>
        <w:t xml:space="preserve">Set forth below is a discussion of our results of operations for the years ended December 31, 2013, 2012, and 2011. </w:t>
      </w:r>
      <w:r>
        <w:rPr>
          <w:rFonts w:ascii="Arial" w:cs="Arial" w:eastAsia="Arial" w:hAnsi="Arial"/>
          <w:sz w:val="18"/>
          <w:szCs w:val="18"/>
          <w:b w:val="1"/>
          <w:bCs w:val="1"/>
          <w:i w:val="1"/>
          <w:iCs w:val="1"/>
          <w:color w:val="auto"/>
        </w:rPr>
        <w:t>Revenue</w:t>
      </w:r>
    </w:p>
    <w:p>
      <w:pPr>
        <w:spacing w:after="0" w:line="75"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62" w:lineRule="exact"/>
        <w:rPr>
          <w:sz w:val="20"/>
          <w:szCs w:val="20"/>
          <w:color w:val="auto"/>
        </w:rPr>
      </w:pPr>
    </w:p>
    <w:p>
      <w:pPr>
        <w:ind w:left="40" w:right="639" w:firstLine="270"/>
        <w:spacing w:after="0" w:line="302" w:lineRule="auto"/>
        <w:rPr>
          <w:sz w:val="20"/>
          <w:szCs w:val="20"/>
          <w:color w:val="auto"/>
        </w:rPr>
      </w:pPr>
      <w:r>
        <w:rPr>
          <w:rFonts w:ascii="Arial" w:cs="Arial" w:eastAsia="Arial" w:hAnsi="Arial"/>
          <w:sz w:val="16"/>
          <w:szCs w:val="16"/>
          <w:i w:val="1"/>
          <w:iCs w:val="1"/>
          <w:color w:val="auto"/>
        </w:rPr>
        <w:t>Interest from Investments in Debt Securities</w:t>
      </w:r>
      <w:r>
        <w:rPr>
          <w:rFonts w:ascii="Arial" w:cs="Arial" w:eastAsia="Arial" w:hAnsi="Arial"/>
          <w:sz w:val="16"/>
          <w:szCs w:val="16"/>
          <w:color w:val="auto"/>
        </w:rPr>
        <w:t>. We generate interest income from our investments in debt securities that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senior and 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46"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6"/>
          <w:szCs w:val="16"/>
          <w:i w:val="1"/>
          <w:iCs w:val="1"/>
          <w:color w:val="auto"/>
        </w:rPr>
        <w:t>Dividends from Investments in CLO Fund Securities</w:t>
      </w:r>
      <w:r>
        <w:rPr>
          <w:rFonts w:ascii="Arial" w:cs="Arial" w:eastAsia="Arial" w:hAnsi="Arial"/>
          <w:sz w:val="16"/>
          <w:szCs w:val="16"/>
          <w:color w:val="auto"/>
        </w:rPr>
        <w:t>. We generate dividend income from our investments in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(typically preferred shares or subordinated securities) of CLO Funds managed by our Asset Manager Affiliates and selective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w:t>
      </w:r>
    </w:p>
    <w:p>
      <w:pPr>
        <w:spacing w:after="0" w:line="61"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the Katonah 2007-I CLO or Class F notes of the Catamaran 2012-1, interest is earned at a fixed spread relative to the LIBOR index.</w:t>
      </w:r>
    </w:p>
    <w:p>
      <w:pPr>
        <w:spacing w:after="0" w:line="62"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i w:val="1"/>
          <w:iCs w:val="1"/>
          <w:color w:val="auto"/>
        </w:rPr>
        <w:t>Dividends from the Asset Manager Affiliates</w:t>
      </w:r>
      <w:r>
        <w:rPr>
          <w:rFonts w:ascii="Arial" w:cs="Arial" w:eastAsia="Arial" w:hAnsi="Arial"/>
          <w:sz w:val="17"/>
          <w:szCs w:val="17"/>
          <w:color w:val="auto"/>
        </w:rPr>
        <w:t>. We generate dividend income from our investment in our Asset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which are wholly-owned and managed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CLO Funds. Our Asset Manager Affiliates generate annual operating income equal to the amount by which their fee income exceeds their operating expenses. 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w:t>
      </w:r>
    </w:p>
    <w:p>
      <w:pPr>
        <w:spacing w:after="0" w:line="80" w:lineRule="exact"/>
        <w:rPr>
          <w:sz w:val="20"/>
          <w:szCs w:val="20"/>
          <w:color w:val="auto"/>
        </w:rPr>
      </w:pPr>
    </w:p>
    <w:p>
      <w:pPr>
        <w:ind w:left="40" w:right="1019" w:firstLine="270"/>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or liquidation of debt and investment securities.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During the three months ended March 31, 2011, we received a $2 million cash settlement to settle litigation previously initiated by us against the lenders related to our secured credit facility which we fully repaid on January 31, 2011. Upon receipt, this settlement was recognized as other income during the three months ended March 31, 2011.</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40" w:right="679" w:firstLine="270"/>
        <w:spacing w:after="0" w:line="293" w:lineRule="auto"/>
        <w:rPr>
          <w:sz w:val="20"/>
          <w:szCs w:val="20"/>
          <w:color w:val="auto"/>
        </w:rPr>
      </w:pPr>
      <w:r>
        <w:rPr>
          <w:rFonts w:ascii="Arial" w:cs="Arial" w:eastAsia="Arial" w:hAnsi="Arial"/>
          <w:sz w:val="16"/>
          <w:szCs w:val="16"/>
          <w:color w:val="auto"/>
        </w:rPr>
        <w:t>Investment income for the years ended December 31, 2013, 2012, and 2011 was approximately $48 million, $39 million, and $28 million, respectively. Of this amount, approximately $14 million, $13 million and $9 million, respectively, was attributable to interest income on our debt securities portfolio. Increases in interest income from 2011 to 2012 and 2012 to 2013 were due to higher average invested assets stemming primarily from capital raising activities. Investments in debt securities increased by approximately $156 million during 2013, primarily due to the investment of the proceeds from the issuance of the KCAP Senior Funding I, LLC Notes ($105 million) and from the issuance of common stock of the Company of approximately $50 million.</w:t>
      </w:r>
    </w:p>
    <w:p>
      <w:pPr>
        <w:spacing w:after="0" w:line="57"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color w:val="auto"/>
        </w:rPr>
        <w:t>The weighted average yield on the performing investments debt securities portfolio was 7.3%, and 7.5%, as of December 31, 2013 and 2012, respectively.</w:t>
      </w:r>
    </w:p>
    <w:p>
      <w:pPr>
        <w:spacing w:after="0" w:line="62"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63"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For the years ended December 31, 2013, 2012, and 2011, approximately $21 million, $21 million and $14 million, respectively, of dividend income was attributable to investments in CLO fund securities. Dividends from CLO Fund Securities are dependent on the performance of the underlying assets in each CLO Fund; interest payments, principal amortization and prepayments of the underlying loans in each CLO Fund are primary factors which determine the level of income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CLO Fund Securities owned decreased by approximately $4 million during the year, the result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investments in new CLO Fund Securities of approximately $11 million, offset by a reduction in the fair value of this portfolio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 million. When a distribution is made to us as an investor in the CLO Fund Securities, the remaining fair value of the CLO Fund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Security will decline. During 2013, the Company received $21 million in cash distributions from the portfolio of CLO Fund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Securities, compared with $21 million and $14 million received in 2012 and 2011, respectively.</w:t>
      </w:r>
    </w:p>
    <w:p>
      <w:pPr>
        <w:spacing w:after="0" w:line="103"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Distributions from our Asset Manager Affiliates are recorded as “Dividends from Asset Manager Affiliates” in our Statement of Operations. For the years ended December 31, 2013, 2012, and 2011, we recognized dividend income of $12.8 million, $4.7 million and $1.9 million, respectively, from the Asset Manager Affiliates. The increase in Dividends from Asset Manager Affiliates is due to the full integration of Trimaran, and the incentive fees our Asset Manager Affiliates have earned on four managed CLO Funds.</w:t>
      </w:r>
    </w:p>
    <w:p>
      <w:pPr>
        <w:spacing w:after="0" w:line="80"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The Asset Manager Affiliates are expected to pay future dividends to the Company based upon their operating cash flow, which generally will be dependent upon the maintenance and growth in their assets under management. The change in fair value of our investment in our Asset Manager Affiliates was approximately $1 million, essentially unchanged from December 31, 2012, while during 2013 the Company recognized $12.8 million of dividend income on its investment in its Asset Manager Affiliates.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spacing w:after="0" w:line="257" w:lineRule="auto"/>
        <w:rPr>
          <w:sz w:val="20"/>
          <w:szCs w:val="20"/>
          <w:color w:val="auto"/>
        </w:rPr>
      </w:pPr>
      <w:r>
        <w:rPr>
          <w:rFonts w:ascii="Arial" w:cs="Arial" w:eastAsia="Arial" w:hAnsi="Arial"/>
          <w:sz w:val="18"/>
          <w:szCs w:val="18"/>
          <w:color w:val="auto"/>
        </w:rPr>
        <w:t>On the other hand, mandates to manage new CLO Fund portfolios will generally result in an increase in the fair value of our investment in our Asset Manager Affiliates. During each of 2013 and 2012, our Asset Manager Affiliates added an additional CLO Fund portfolio with initial assets under management of approximately $450 million and $400 million, respectively. The aggregate of par value assets under management by our Asset Manager Affiliates was $3.2 billion and $3.6 billion as of December 31, 2013 and 2012, respectively.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40" w:right="539" w:firstLine="270"/>
        <w:spacing w:after="0" w:line="276" w:lineRule="auto"/>
        <w:rPr>
          <w:sz w:val="20"/>
          <w:szCs w:val="20"/>
          <w:color w:val="auto"/>
        </w:rPr>
      </w:pPr>
      <w:r>
        <w:rPr>
          <w:rFonts w:ascii="Arial" w:cs="Arial" w:eastAsia="Arial" w:hAnsi="Arial"/>
          <w:sz w:val="17"/>
          <w:szCs w:val="17"/>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 Interest expense is dependent on the average outstanding principal balance of our borrowings and the applicable interest rate for the period.</w:t>
      </w:r>
    </w:p>
    <w:p>
      <w:pPr>
        <w:spacing w:after="0" w:line="64"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i w:val="1"/>
          <w:iCs w:val="1"/>
          <w:color w:val="auto"/>
        </w:rPr>
        <w:t>Interest and Amortization of Debt Issuance Costs</w:t>
      </w:r>
      <w:r>
        <w:rPr>
          <w:rFonts w:ascii="Arial" w:cs="Arial" w:eastAsia="Arial" w:hAnsi="Arial"/>
          <w:sz w:val="16"/>
          <w:szCs w:val="16"/>
          <w:color w:val="auto"/>
        </w:rPr>
        <w:t>. Interest expense is dependent on the average outstanding balance on our</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and the base index rate for the period. Debt issuance costs represent fees and other direct costs incurred in connection with the Company’s borrowings. These amounts are capitalized and amortized ratably over the contractual term of the borrowing.</w:t>
      </w:r>
    </w:p>
    <w:p>
      <w:pPr>
        <w:spacing w:after="0" w:line="39" w:lineRule="exact"/>
        <w:rPr>
          <w:sz w:val="20"/>
          <w:szCs w:val="20"/>
          <w:color w:val="auto"/>
        </w:rPr>
      </w:pPr>
    </w:p>
    <w:p>
      <w:pPr>
        <w:ind w:left="40" w:right="599" w:firstLine="270"/>
        <w:spacing w:after="0" w:line="273"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stock-based compensation, employee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and employer related payroll costs. The largest components of total compensation costs are base salaries and bonuses; generally, base salaries are expensed as incurred and annual bonus expenses are estimated and accrued. Our compensation arrangements with our employees contain a significant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70" w:lineRule="exact"/>
        <w:rPr>
          <w:sz w:val="20"/>
          <w:szCs w:val="20"/>
          <w:color w:val="auto"/>
        </w:rPr>
      </w:pPr>
    </w:p>
    <w:p>
      <w:pPr>
        <w:ind w:left="40" w:right="519" w:firstLine="270"/>
        <w:spacing w:after="0" w:line="342" w:lineRule="auto"/>
        <w:rPr>
          <w:sz w:val="20"/>
          <w:szCs w:val="20"/>
          <w:color w:val="auto"/>
        </w:rPr>
      </w:pPr>
      <w:r>
        <w:rPr>
          <w:rFonts w:ascii="Arial" w:cs="Arial" w:eastAsia="Arial" w:hAnsi="Arial"/>
          <w:sz w:val="16"/>
          <w:szCs w:val="16"/>
          <w:i w:val="1"/>
          <w:iCs w:val="1"/>
          <w:color w:val="auto"/>
        </w:rPr>
        <w:t>Professional Fees and General and Administrative Expenses</w:t>
      </w:r>
      <w:r>
        <w:rPr>
          <w:rFonts w:ascii="Arial" w:cs="Arial" w:eastAsia="Arial" w:hAnsi="Arial"/>
          <w:sz w:val="16"/>
          <w:szCs w:val="16"/>
          <w:color w:val="auto"/>
        </w:rPr>
        <w:t>. The balance of our expenses includes professional fees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legal, accounting, valuation and other professional services), occupancy costs and general administrative and other costs.</w:t>
      </w:r>
    </w:p>
    <w:p>
      <w:pPr>
        <w:spacing w:after="0" w:line="16"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Total expenses for the years ended December 31, 2013, 2012, and 2011 were approximately $19 million, $14 million, and $12 million, respectively. Interest expense and amortization on debt issuance costs for the period was approximately $10 million, $7 million, and $5 million, respectively, on average debt outstanding of $151 million, $81 million, and $54 million, respectively.</w:t>
      </w:r>
    </w:p>
    <w:p>
      <w:pPr>
        <w:spacing w:after="0" w:line="39" w:lineRule="exact"/>
        <w:rPr>
          <w:sz w:val="20"/>
          <w:szCs w:val="20"/>
          <w:color w:val="auto"/>
        </w:rPr>
      </w:pPr>
    </w:p>
    <w:p>
      <w:pPr>
        <w:ind w:left="40" w:right="519" w:firstLine="270"/>
        <w:spacing w:after="0" w:line="289" w:lineRule="auto"/>
        <w:rPr>
          <w:sz w:val="20"/>
          <w:szCs w:val="20"/>
          <w:color w:val="auto"/>
        </w:rPr>
      </w:pPr>
      <w:r>
        <w:rPr>
          <w:rFonts w:ascii="Arial" w:cs="Arial" w:eastAsia="Arial" w:hAnsi="Arial"/>
          <w:sz w:val="16"/>
          <w:szCs w:val="16"/>
          <w:color w:val="auto"/>
        </w:rPr>
        <w:t>For the years ended December 31, 2013, 2012 and 2011, approximately $4.6 million, $3.2 million, and $3.9 million, respectively, of expenses were attributable to employee compensation, including salaries, bonuses, employee benefits, payroll taxes and stock-based compensation expense. The reduction in compensation expense from 2011 to 2012 relates primarily to a reversal of accrued long-term equity based compensation expense in 2012 after the departure of a former employee, while the increase from 2012 to 2013 relates primarily to the addition of headcount and the full-year effect of our acquisition of Trimaran. For the years ended December 31, 2013, 2012, and 2011, respectively, professional fees and insurance expenses totaled approximately $2.7 million, $3.0 million and $2.5 million. Administrative costs, which include occupancy expense, technology and other office expenses, totaled approximately $1.8, $1.3 and $1.0 million for the years ended December 31, 2013, 2012 and 2011, respectively. The increase in these costs can be attributed to increased technology and other office and administrative expenses.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17" w:lineRule="exact"/>
        <w:rPr>
          <w:sz w:val="20"/>
          <w:szCs w:val="20"/>
          <w:color w:val="auto"/>
        </w:rPr>
      </w:pPr>
    </w:p>
    <w:p>
      <w:pPr>
        <w:ind w:left="40" w:right="619" w:firstLine="270"/>
        <w:spacing w:after="0" w:line="297" w:lineRule="auto"/>
        <w:rPr>
          <w:sz w:val="20"/>
          <w:szCs w:val="20"/>
          <w:color w:val="auto"/>
        </w:rPr>
      </w:pPr>
      <w:r>
        <w:rPr>
          <w:rFonts w:ascii="Arial" w:cs="Arial" w:eastAsia="Arial" w:hAnsi="Arial"/>
          <w:sz w:val="16"/>
          <w:szCs w:val="16"/>
          <w:color w:val="auto"/>
        </w:rPr>
        <w:t>Net investment income and net realized gains (losses) represents the net change in stockholders’ equity before net unrealized appreciation or depreciation on investments. For the year ended December 31, 2013, net investment income and net realized losses was approximately $17 million, or $0.53 per share. Net investment income represents the income earned on our investments less operating and interest expense before net realized gains or losses and unrealized appreciation or depreciation on investments. For the year ended December 31, 2013, net investment income was approximately $29 million, or $0.90 per share.</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1439" w:firstLine="270"/>
        <w:spacing w:after="0" w:line="277" w:lineRule="auto"/>
        <w:rPr>
          <w:sz w:val="20"/>
          <w:szCs w:val="20"/>
          <w:color w:val="auto"/>
        </w:rPr>
      </w:pPr>
      <w:r>
        <w:rPr>
          <w:rFonts w:ascii="Arial" w:cs="Arial" w:eastAsia="Arial" w:hAnsi="Arial"/>
          <w:sz w:val="18"/>
          <w:szCs w:val="18"/>
          <w:color w:val="auto"/>
        </w:rPr>
        <w:t>Generally, we seek to fund our dividends from net investment income. For the year ended December 31, 2013, total distributions were $35 million, or $1.06 per share.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Unrealized Appreciation (Depreciation) on Investments</w:t>
      </w:r>
    </w:p>
    <w:p>
      <w:pPr>
        <w:spacing w:after="0" w:line="121"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During the year ended December 31, 2013, the unrealized gain on net total investment portfolio was approximately $895,000 on the total investment portfolio. Included in this amount is a reclassification of an unrealized loss to a realized loss in the amount of $10 million related to a debt security that was discharged in bankruptcy. This reclassification results in an increase in unrealized appreciation (i.e. gain) and a corresponding increase in realized loss. (Note: Net Asset Value did not change as a result of this reclassification). Also included in the net unrealized loss in 2013 are unrealized losses on CLO Fund Securities of approximately $15 million. During the year ended December 31, 2012, our total investments had net unrealized appreciation of approximately $5 million, including net unrealized gains of approximately $11 million on CLO Fund Securities, offset by net unrealized losses on Debt securities of approximately $4 million and net unrealized losses on Asset Manager Affiliates of $2 million. During the year ended December 31, 2011, our total investments had net unrealized appreciation of $10 million, including approximately $16 million of unrealized gains on debt securities, offset by net unrealized losses of approximately $3 million and $2 million, primarily related to CLO Fund Securities and equity securities, respectively.</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net increase in stockholders’ equity resulting from operations for the year ended December 31, 2013 was approximately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$17 million, or $0.53 per share. The net increase in stockholders’ equity resulting from operations for the year ended December 31,</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2012 was approximately $26 million, or $1.00 per share, and the net increase in stockholders’ equity resulting from operations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year ended December 31, 2011 was approximately $8 million, or $0.33 per share.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dividends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and December 31, 2012 the fair value of investments and cash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250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Investments at Fair Value</w:t>
            </w:r>
          </w:p>
        </w:tc>
      </w:tr>
      <w:tr>
        <w:trPr>
          <w:trHeight w:val="196"/>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Security Type</w:t>
            </w:r>
          </w:p>
        </w:tc>
        <w:tc>
          <w:tcPr>
            <w:tcW w:w="12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December 31, 2013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December 31, 2012</w:t>
            </w:r>
          </w:p>
        </w:tc>
      </w:tr>
      <w:tr>
        <w:trPr>
          <w:trHeight w:val="210"/>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3,433,675</w:t>
            </w: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738,756</w:t>
            </w:r>
          </w:p>
        </w:tc>
      </w:tr>
      <w:tr>
        <w:trPr>
          <w:trHeight w:val="216"/>
        </w:trPr>
        <w:tc>
          <w:tcPr>
            <w:tcW w:w="4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1,942,834</w:t>
            </w:r>
          </w:p>
        </w:tc>
      </w:tr>
      <w:tr>
        <w:trPr>
          <w:trHeight w:val="257"/>
        </w:trPr>
        <w:tc>
          <w:tcPr>
            <w:tcW w:w="47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Money Market Accounts</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7,112,949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30,543,824</w:t>
            </w:r>
          </w:p>
        </w:tc>
      </w:tr>
      <w:tr>
        <w:trPr>
          <w:trHeight w:val="216"/>
        </w:trPr>
        <w:tc>
          <w:tcPr>
            <w:tcW w:w="4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Senior Secured Loan</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168,188,453</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60,258,885</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Junior Secured Loan</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48,443,384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33,486,956</w:t>
            </w:r>
          </w:p>
        </w:tc>
      </w:tr>
      <w:tr>
        <w:trPr>
          <w:trHeight w:val="216"/>
        </w:trPr>
        <w:tc>
          <w:tcPr>
            <w:tcW w:w="4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Senior Unsecured Loan</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First Lien Bond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2,546,400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r>
      <w:tr>
        <w:trPr>
          <w:trHeight w:val="216"/>
        </w:trPr>
        <w:tc>
          <w:tcPr>
            <w:tcW w:w="4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Senior Subordinated Bond</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1,051,540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2,735,881</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Senior Unsecured Bond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11,381,100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11,185,000</w:t>
            </w:r>
          </w:p>
        </w:tc>
      </w:tr>
      <w:tr>
        <w:trPr>
          <w:trHeight w:val="216"/>
        </w:trPr>
        <w:tc>
          <w:tcPr>
            <w:tcW w:w="4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Senior Secured Bond</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1,619,550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CLO Fund Securities</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79,452,220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83,257,507</w:t>
            </w:r>
          </w:p>
        </w:tc>
      </w:tr>
      <w:tr>
        <w:trPr>
          <w:trHeight w:val="216"/>
        </w:trPr>
        <w:tc>
          <w:tcPr>
            <w:tcW w:w="4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11,006,398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8,020,716</w:t>
            </w:r>
          </w:p>
        </w:tc>
      </w:tr>
      <w:tr>
        <w:trPr>
          <w:trHeight w:val="216"/>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Preferred</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10,600,000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371,160</w:t>
            </w:r>
          </w:p>
        </w:tc>
      </w:tr>
      <w:tr>
        <w:trPr>
          <w:trHeight w:val="216"/>
        </w:trPr>
        <w:tc>
          <w:tcPr>
            <w:tcW w:w="47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Asset Manager Affiliates</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76,148,000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77,242,000</w:t>
            </w:r>
          </w:p>
        </w:tc>
      </w:tr>
      <w:tr>
        <w:trPr>
          <w:trHeight w:val="20"/>
        </w:trPr>
        <w:tc>
          <w:tcPr>
            <w:tcW w:w="45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443,983,669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312,783,519</w:t>
            </w:r>
          </w:p>
        </w:tc>
      </w:tr>
      <w:tr>
        <w:trPr>
          <w:trHeight w:val="21"/>
        </w:trPr>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Includes restricted cash held under employee benefit plans.</w:t>
      </w:r>
    </w:p>
    <w:p>
      <w:pPr>
        <w:spacing w:after="0" w:line="117" w:lineRule="exact"/>
        <w:rPr>
          <w:sz w:val="20"/>
          <w:szCs w:val="20"/>
          <w:color w:val="auto"/>
        </w:rPr>
      </w:pPr>
    </w:p>
    <w:p>
      <w:pPr>
        <w:ind w:left="60" w:right="679" w:firstLine="270"/>
        <w:spacing w:after="0" w:line="254" w:lineRule="auto"/>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December 31, 2013, we had approximately $195 million of outstanding borrowings and our asset coverage ratio of total assets to total borrowings was 226%, compliant with the minimum asset coverage level of 200% generally required for a BDC by the 1940 Act. We may also borrow amounts of up to 5% of the value of our total assets for temporary purposes. The weighted average daily debt balance for the years ended December 31, 2013 and 2012 was approximately $151 million and $81 million, respectively.</w:t>
      </w:r>
    </w:p>
    <w:p>
      <w:pPr>
        <w:spacing w:after="0" w:line="84"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57" w:lineRule="exact"/>
        <w:rPr>
          <w:sz w:val="20"/>
          <w:szCs w:val="20"/>
          <w:color w:val="auto"/>
        </w:rPr>
      </w:pPr>
    </w:p>
    <w:p>
      <w:pPr>
        <w:ind w:left="60" w:right="659" w:firstLine="270"/>
        <w:spacing w:after="0" w:line="257" w:lineRule="auto"/>
        <w:rPr>
          <w:sz w:val="20"/>
          <w:szCs w:val="20"/>
          <w:color w:val="auto"/>
        </w:rPr>
      </w:pPr>
      <w:r>
        <w:rPr>
          <w:rFonts w:ascii="Arial" w:cs="Arial" w:eastAsia="Arial" w:hAnsi="Arial"/>
          <w:sz w:val="18"/>
          <w:szCs w:val="18"/>
          <w:color w:val="auto"/>
        </w:rPr>
        <w:t>The Convertible Notes are convertible into shares of the Company’s common stock. As of December 31, 2013, the conversion rate was 127.4733 shares of common stock per $1,000 principal amount of Convertible Notes, which is equivalent to a conversion price of approximately $7.84 per share of common stock. The conversion rate is subject to adjustment upon certain events. Upon conversion, the Company would issue the full amount of common stock or cash, at its option, and retire the full amount of debt outstanding.</w:t>
      </w:r>
    </w:p>
    <w:p>
      <w:pPr>
        <w:spacing w:after="0" w:line="80"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On April 4, 2013, approximately $9 million of the Company’s 8.75% Convertible Notes were converted at a price per share of $8.159 into 1,102,093 shares of KCAP common stock. On September 4, 2013, the Company purchased $2 million face value of its own Convertible Notes at a price of $114.50, plus accrued interest. KCAP subsequently surrendered these notes to the note trustee for cancellation effective September 13, 2013. Due to the cash conversion option embedded in the Convertible Notes, the Company applied the guidance in ASC 470-40-20, Debt with Conversion and Other Options, and realized a loss on the extinguishment of this debt. For the year ended December 31, 2013 total realized losses on extinguishment of</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308" w:lineRule="auto"/>
        <w:rPr>
          <w:sz w:val="20"/>
          <w:szCs w:val="20"/>
          <w:color w:val="auto"/>
        </w:rPr>
      </w:pPr>
      <w:r>
        <w:rPr>
          <w:rFonts w:ascii="Arial" w:cs="Arial" w:eastAsia="Arial" w:hAnsi="Arial"/>
          <w:sz w:val="17"/>
          <w:szCs w:val="17"/>
          <w:color w:val="auto"/>
        </w:rPr>
        <w:t>debt were approximately $537,000. The indenture governing the Convertible Notes contains certain restrictive covenants, including compliance with certain provisions of the 1940 Act and conditions governing the undertaking of new debt.</w:t>
      </w:r>
    </w:p>
    <w:p>
      <w:pPr>
        <w:spacing w:after="0" w:line="38" w:lineRule="exact"/>
        <w:rPr>
          <w:sz w:val="20"/>
          <w:szCs w:val="20"/>
          <w:color w:val="auto"/>
        </w:rPr>
      </w:pPr>
    </w:p>
    <w:p>
      <w:pPr>
        <w:ind w:left="40" w:right="539" w:firstLine="270"/>
        <w:spacing w:after="0" w:line="312" w:lineRule="auto"/>
        <w:rPr>
          <w:sz w:val="20"/>
          <w:szCs w:val="20"/>
          <w:color w:val="auto"/>
        </w:rPr>
      </w:pPr>
      <w:r>
        <w:rPr>
          <w:rFonts w:ascii="Arial" w:cs="Arial" w:eastAsia="Arial" w:hAnsi="Arial"/>
          <w:sz w:val="16"/>
          <w:szCs w:val="16"/>
          <w:color w:val="auto"/>
        </w:rPr>
        <w:t>In February 2012, the Company entered into a Note Purchase Agreement, under which it was able to obtain up to $30 million in financing (the “Facility”). The Facility was terminated on November 4, 2013 and remaining unamortized capitalized costs of approximately $203,000 related to the Facility were written-off and are included in Realized Losses on Extinguishments of Debt.</w:t>
      </w:r>
    </w:p>
    <w:p>
      <w:pPr>
        <w:spacing w:after="0" w:line="39"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the7.375% Notes Due 2019, following underwriting expenses, were approximately $39.9 million. Interest on the 7.375% Notes Due 2019is paid quarterly in arrears on March 30, June 30, September 30 and December 30, at a rate of 7.375%, commencing December 30, 2012. The 7.375% Notes Due 2019 mature on September, 30, 2019, and are senior unsecured obligations of the Company. In addition, due to the coverage tests applicable to the Company as a BDC and a covenant that the Company agreed to in connection with the issuance of the7.375% Notes Due 2019, the Company is limited in its ability to make distributions in certain circumstances. At December 31, 2013, the Company was in compliance with all of its debt covenants. The indenture governing the 7.375% Notes Due 2019 contains certain restrictive covenants, including compliance with certain provisions of the 1940 Act relating to borrowing and dividends.</w:t>
      </w:r>
    </w:p>
    <w:p>
      <w:pPr>
        <w:spacing w:after="0" w:line="74"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On June 18, 2013, KCAP Senior Funding I, LLC, or Issuer,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These junior notes eliminate in consolidation and the remaining notes with a par value of $105 million, net of $3.1 million of unamortized discount, are reflected on our consolidated balance sheet. The indenture governing the KCAP Senior Funding I Notes contains an event of default that is triggered in the event that certain coverage tests are not met.</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a more detailed discussion of this debt securitization financing transaction, including interest rates on the notes, See Note 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Borrowings to our consolidated financial statements, contained elsewhere in this financial report.</w:t>
      </w:r>
    </w:p>
    <w:p>
      <w:pPr>
        <w:spacing w:after="0" w:line="103" w:lineRule="exact"/>
        <w:rPr>
          <w:sz w:val="20"/>
          <w:szCs w:val="20"/>
          <w:color w:val="auto"/>
        </w:rPr>
      </w:pPr>
    </w:p>
    <w:p>
      <w:pPr>
        <w:ind w:left="40" w:right="519" w:firstLine="270"/>
        <w:spacing w:after="0" w:line="257"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From time to time, we may seek to retire, repurchase, or exchange debt securities in open market purchases or by other means dependent on market conditions, liquidity, contractual obligations, and other matters.</w:t>
      </w:r>
    </w:p>
    <w:p>
      <w:pPr>
        <w:spacing w:after="0" w:line="80"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If our common stock trades below our net asset value per share, we will generally not be able to issue additional common stock at the market price unless our shareholders approve such a sale and our Board of Directors makes certain determinations. A proposal, approved by our stockholders (at a special stockholder meeting held on June 21, 2013 and continued on July 19, 2013 and August 9, 2013) authorizes us to sell shares of our common stock below the then current net asset value per share of our common stock in one or more offerings for the period ending on the earlier of (i) August 9, 2013, or (ii) the date of our 2014 annual meeting of shareholders. We would need similar future approval from our shareholders to issue shares below the then current net asset value per share any time after the expiration of the current approval.</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We intend to continue to distribute quarterly dividends to our stockholders. To avoid certain excise taxes imposed on RICs, we currently intend to distribute during each calendar year an amount at least equal to the sum of:</w:t>
      </w:r>
    </w:p>
    <w:p>
      <w:pPr>
        <w:spacing w:after="0" w:line="62" w:lineRule="exact"/>
        <w:rPr>
          <w:sz w:val="20"/>
          <w:szCs w:val="20"/>
          <w:color w:val="auto"/>
        </w:rPr>
      </w:pPr>
    </w:p>
    <w:p>
      <w:pPr>
        <w:ind w:left="620" w:hanging="32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98.0% of our ordinary net taxable income for the calendar year;</w:t>
      </w:r>
    </w:p>
    <w:p>
      <w:pPr>
        <w:spacing w:after="0" w:line="117" w:lineRule="exact"/>
        <w:rPr>
          <w:rFonts w:ascii="Arial" w:cs="Arial" w:eastAsia="Arial" w:hAnsi="Arial"/>
          <w:sz w:val="18"/>
          <w:szCs w:val="18"/>
          <w:color w:val="auto"/>
        </w:rPr>
      </w:pPr>
    </w:p>
    <w:p>
      <w:pPr>
        <w:ind w:left="620" w:right="719" w:hanging="322"/>
        <w:spacing w:after="0" w:line="277"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117" w:lineRule="exact"/>
        <w:rPr>
          <w:sz w:val="20"/>
          <w:szCs w:val="20"/>
          <w:color w:val="auto"/>
        </w:rPr>
      </w:pPr>
    </w:p>
    <w:p>
      <w:pPr>
        <w:jc w:val="both"/>
        <w:ind w:left="60" w:right="739" w:firstLine="270"/>
        <w:spacing w:after="0" w:line="297" w:lineRule="auto"/>
        <w:rPr>
          <w:sz w:val="20"/>
          <w:szCs w:val="20"/>
          <w:color w:val="auto"/>
        </w:rPr>
      </w:pPr>
      <w:r>
        <w:rPr>
          <w:rFonts w:ascii="Arial" w:cs="Arial" w:eastAsia="Arial" w:hAnsi="Arial"/>
          <w:sz w:val="16"/>
          <w:szCs w:val="16"/>
          <w:color w:val="auto"/>
        </w:rPr>
        <w:t>The amount of our declared dividends, as evaluated by management and approved by our Board of Directors, is based on our evaluation of both distributable income for tax purposes and GAAP net investment income (which excludes unrealized gains and losses). Generally, we seek to fund our dividends from GAAP current earnings, primarily from net interest and dividend income generated by our investment portfolio and without a return of capital or a high reliance on realized capital gains. Distributions to our stockholders during 2013 and 2012 included $5.8 million and $1.3 million, respectively, of tax-basis return of capital.</w:t>
      </w:r>
    </w:p>
    <w:p>
      <w:pPr>
        <w:spacing w:after="0" w:line="50" w:lineRule="exact"/>
        <w:rPr>
          <w:sz w:val="20"/>
          <w:szCs w:val="20"/>
          <w:color w:val="auto"/>
        </w:rPr>
      </w:pPr>
    </w:p>
    <w:p>
      <w:pPr>
        <w:ind w:left="60" w:right="659" w:firstLine="270"/>
        <w:spacing w:after="0" w:line="262" w:lineRule="auto"/>
        <w:rPr>
          <w:sz w:val="20"/>
          <w:szCs w:val="20"/>
          <w:color w:val="auto"/>
        </w:rPr>
      </w:pPr>
      <w:r>
        <w:rPr>
          <w:rFonts w:ascii="Arial" w:cs="Arial" w:eastAsia="Arial" w:hAnsi="Arial"/>
          <w:sz w:val="18"/>
          <w:szCs w:val="18"/>
          <w:color w:val="auto"/>
        </w:rPr>
        <w:t>The following table sets forth the quarterly dividends declared by us since the most recent completed calendar year, which approximates our estimated net investment income for the specified quarter, including income distributed from the Asset Manager Affiliates received by the Company,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Dividend</w:t>
            </w:r>
          </w:p>
        </w:tc>
        <w:tc>
          <w:tcPr>
            <w:tcW w:w="160" w:type="dxa"/>
            <w:vAlign w:val="bottom"/>
          </w:tcPr>
          <w:p>
            <w:pPr>
              <w:spacing w:after="0"/>
              <w:rPr>
                <w:sz w:val="13"/>
                <w:szCs w:val="13"/>
                <w:color w:val="auto"/>
              </w:rPr>
            </w:pPr>
          </w:p>
        </w:tc>
        <w:tc>
          <w:tcPr>
            <w:tcW w:w="980" w:type="dxa"/>
            <w:vAlign w:val="bottom"/>
          </w:tcPr>
          <w:p>
            <w:pPr>
              <w:jc w:val="right"/>
              <w:ind w:right="48"/>
              <w:spacing w:after="0" w:line="151" w:lineRule="exact"/>
              <w:rPr>
                <w:sz w:val="20"/>
                <w:szCs w:val="20"/>
                <w:color w:val="auto"/>
              </w:rPr>
            </w:pPr>
            <w:r>
              <w:rPr>
                <w:rFonts w:ascii="Arial" w:cs="Arial" w:eastAsia="Arial" w:hAnsi="Arial"/>
                <w:sz w:val="14"/>
                <w:szCs w:val="14"/>
                <w:b w:val="1"/>
                <w:bCs w:val="1"/>
                <w:color w:val="auto"/>
              </w:rPr>
              <w:t>Declaration</w:t>
            </w:r>
          </w:p>
        </w:tc>
        <w:tc>
          <w:tcPr>
            <w:tcW w:w="160" w:type="dxa"/>
            <w:vAlign w:val="bottom"/>
          </w:tcPr>
          <w:p>
            <w:pPr>
              <w:spacing w:after="0"/>
              <w:rPr>
                <w:sz w:val="13"/>
                <w:szCs w:val="13"/>
                <w:color w:val="auto"/>
              </w:rPr>
            </w:pPr>
          </w:p>
        </w:tc>
        <w:tc>
          <w:tcPr>
            <w:tcW w:w="960" w:type="dxa"/>
            <w:vAlign w:val="bottom"/>
          </w:tcPr>
          <w:p>
            <w:pPr>
              <w:jc w:val="right"/>
              <w:ind w:right="8"/>
              <w:spacing w:after="0" w:line="151" w:lineRule="exact"/>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3"/>
                <w:szCs w:val="13"/>
                <w:color w:val="auto"/>
              </w:rPr>
            </w:pPr>
          </w:p>
        </w:tc>
        <w:tc>
          <w:tcPr>
            <w:tcW w:w="980" w:type="dxa"/>
            <w:vAlign w:val="bottom"/>
          </w:tcPr>
          <w:p>
            <w:pPr>
              <w:jc w:val="right"/>
              <w:ind w:right="128"/>
              <w:spacing w:after="0" w:line="151" w:lineRule="exact"/>
              <w:rPr>
                <w:sz w:val="20"/>
                <w:szCs w:val="20"/>
                <w:color w:val="auto"/>
              </w:rPr>
            </w:pPr>
            <w:r>
              <w:rPr>
                <w:rFonts w:ascii="Arial" w:cs="Arial" w:eastAsia="Arial" w:hAnsi="Arial"/>
                <w:sz w:val="14"/>
                <w:szCs w:val="14"/>
                <w:b w:val="1"/>
                <w:bCs w:val="1"/>
                <w:color w:val="auto"/>
              </w:rPr>
              <w:t>Pay Date</w:t>
            </w:r>
          </w:p>
        </w:tc>
      </w:tr>
      <w:tr>
        <w:trPr>
          <w:trHeight w:val="171"/>
        </w:trPr>
        <w:tc>
          <w:tcPr>
            <w:tcW w:w="3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210"/>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12/13/2013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12/27/2013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1/27/2014</w:t>
            </w:r>
          </w:p>
        </w:tc>
      </w:tr>
      <w:tr>
        <w:trPr>
          <w:trHeight w:val="216"/>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9/13/2013</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10/8/2013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10/29/2013</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6/17/2013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7/5/2013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7/26/2013</w:t>
            </w:r>
          </w:p>
        </w:tc>
      </w:tr>
      <w:tr>
        <w:trPr>
          <w:trHeight w:val="216"/>
        </w:trPr>
        <w:tc>
          <w:tcPr>
            <w:tcW w:w="3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3/15/2013</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4/5/2013</w:t>
            </w: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4/26/2013</w:t>
            </w: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Total declared for 2013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
        </w:trPr>
        <w:tc>
          <w:tcPr>
            <w:tcW w:w="3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12/17/2012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12/28/2012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1/28/2013</w:t>
            </w:r>
          </w:p>
        </w:tc>
      </w:tr>
      <w:tr>
        <w:trPr>
          <w:trHeight w:val="216"/>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9/17/2012</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10/10/2012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10/29/2012</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6/18/2012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7/6/2012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7/27/2012</w:t>
            </w:r>
          </w:p>
        </w:tc>
      </w:tr>
      <w:tr>
        <w:trPr>
          <w:trHeight w:val="216"/>
        </w:trPr>
        <w:tc>
          <w:tcPr>
            <w:tcW w:w="3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3/16/2012</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4/6/2012</w:t>
            </w:r>
          </w:p>
        </w:tc>
        <w:tc>
          <w:tcPr>
            <w:tcW w:w="11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4/27/2012</w:t>
            </w:r>
          </w:p>
        </w:tc>
      </w:tr>
      <w:tr>
        <w:trPr>
          <w:trHeight w:val="210"/>
        </w:trPr>
        <w:tc>
          <w:tcPr>
            <w:tcW w:w="3960" w:type="dxa"/>
            <w:vAlign w:val="bottom"/>
          </w:tcPr>
          <w:p>
            <w:pPr>
              <w:ind w:left="20"/>
              <w:spacing w:after="0"/>
              <w:rPr>
                <w:sz w:val="20"/>
                <w:szCs w:val="20"/>
                <w:color w:val="auto"/>
              </w:rPr>
            </w:pPr>
            <w:r>
              <w:rPr>
                <w:rFonts w:ascii="Arial" w:cs="Arial" w:eastAsia="Arial" w:hAnsi="Arial"/>
                <w:sz w:val="18"/>
                <w:szCs w:val="18"/>
                <w:color w:val="auto"/>
              </w:rPr>
              <w:t>Total declared for 2012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
        </w:trPr>
        <w:tc>
          <w:tcPr>
            <w:tcW w:w="3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-1045845</wp:posOffset>
            </wp:positionV>
            <wp:extent cx="5213985" cy="180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0" w:right="519" w:firstLine="270"/>
        <w:spacing w:after="0" w:line="297" w:lineRule="auto"/>
        <w:rPr>
          <w:sz w:val="20"/>
          <w:szCs w:val="20"/>
          <w:color w:val="auto"/>
        </w:rPr>
      </w:pPr>
      <w:r>
        <w:rPr>
          <w:rFonts w:ascii="Arial" w:cs="Arial" w:eastAsia="Arial" w:hAnsi="Arial"/>
          <w:sz w:val="16"/>
          <w:szCs w:val="16"/>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December 31, 2013 and December 31, 2012, we did not have any such outstanding commitments.</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contractual cash obligations and other commercial commitments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51968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60"/>
        </w:trPr>
        <w:tc>
          <w:tcPr>
            <w:tcW w:w="25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Contractual Obligations</w:t>
            </w:r>
          </w:p>
        </w:tc>
        <w:tc>
          <w:tcPr>
            <w:tcW w:w="1120" w:type="dxa"/>
            <w:vAlign w:val="bottom"/>
          </w:tcPr>
          <w:p>
            <w:pPr>
              <w:jc w:val="right"/>
              <w:ind w:right="319"/>
              <w:spacing w:after="0" w:line="160"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1 – 3 years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5"/>
              </w:rPr>
              <w:t>More than</w:t>
            </w:r>
          </w:p>
        </w:tc>
      </w:tr>
      <w:tr>
        <w:trPr>
          <w:trHeight w:val="171"/>
        </w:trPr>
        <w:tc>
          <w:tcPr>
            <w:tcW w:w="2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one year</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r>
      <w:tr>
        <w:trPr>
          <w:trHeight w:val="224"/>
        </w:trPr>
        <w:tc>
          <w:tcPr>
            <w:tcW w:w="2420" w:type="dxa"/>
            <w:vAlign w:val="bottom"/>
          </w:tcPr>
          <w:p>
            <w:pPr>
              <w:ind w:left="20"/>
              <w:spacing w:after="0"/>
              <w:rPr>
                <w:sz w:val="20"/>
                <w:szCs w:val="20"/>
                <w:color w:val="auto"/>
              </w:rPr>
            </w:pPr>
            <w:r>
              <w:rPr>
                <w:rFonts w:ascii="Arial" w:cs="Arial" w:eastAsia="Arial" w:hAnsi="Arial"/>
                <w:sz w:val="18"/>
                <w:szCs w:val="18"/>
                <w:color w:val="auto"/>
              </w:rPr>
              <w:t>Long-term debt obligations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0"/>
              </w:rPr>
              <w:t>$ 192,592,373</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$ 49,008,000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$143,584,373</w:t>
            </w:r>
          </w:p>
        </w:tc>
      </w:tr>
    </w:tbl>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financial statements, contained elsewhere herein: Significant Accounting Policies — Investments.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left="60" w:right="919"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financial statements is the valuation of investments and the related amounts of unrealized appreciation and depreciation of investments recorded.</w:t>
      </w:r>
    </w:p>
    <w:p>
      <w:pPr>
        <w:spacing w:after="0" w:line="62" w:lineRule="exact"/>
        <w:rPr>
          <w:sz w:val="20"/>
          <w:szCs w:val="20"/>
          <w:color w:val="auto"/>
        </w:rPr>
      </w:pPr>
    </w:p>
    <w:p>
      <w:pPr>
        <w:ind w:left="60" w:right="539" w:firstLine="270"/>
        <w:spacing w:after="0" w:line="272" w:lineRule="auto"/>
        <w:rPr>
          <w:sz w:val="20"/>
          <w:szCs w:val="20"/>
          <w:color w:val="auto"/>
        </w:rPr>
      </w:pPr>
      <w:r>
        <w:rPr>
          <w:rFonts w:ascii="Arial" w:cs="Arial" w:eastAsia="Arial" w:hAnsi="Arial"/>
          <w:sz w:val="17"/>
          <w:szCs w:val="17"/>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70" w:lineRule="exact"/>
        <w:rPr>
          <w:sz w:val="20"/>
          <w:szCs w:val="20"/>
          <w:color w:val="auto"/>
        </w:rPr>
      </w:pPr>
    </w:p>
    <w:p>
      <w:pPr>
        <w:ind w:left="60" w:right="819" w:firstLine="270"/>
        <w:spacing w:after="0" w:line="259" w:lineRule="auto"/>
        <w:rPr>
          <w:sz w:val="20"/>
          <w:szCs w:val="20"/>
          <w:color w:val="auto"/>
        </w:rPr>
      </w:pPr>
      <w:r>
        <w:rPr>
          <w:rFonts w:ascii="Arial" w:cs="Arial" w:eastAsia="Arial" w:hAnsi="Arial"/>
          <w:sz w:val="18"/>
          <w:szCs w:val="18"/>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79" w:lineRule="exact"/>
        <w:rPr>
          <w:sz w:val="20"/>
          <w:szCs w:val="20"/>
          <w:color w:val="auto"/>
        </w:rPr>
      </w:pPr>
    </w:p>
    <w:p>
      <w:pPr>
        <w:ind w:left="60" w:right="879" w:firstLine="270"/>
        <w:spacing w:after="0" w:line="277" w:lineRule="auto"/>
        <w:rPr>
          <w:sz w:val="20"/>
          <w:szCs w:val="20"/>
          <w:color w:val="auto"/>
        </w:rPr>
      </w:pPr>
      <w:r>
        <w:rPr>
          <w:rFonts w:ascii="Arial" w:cs="Arial" w:eastAsia="Arial" w:hAnsi="Arial"/>
          <w:sz w:val="18"/>
          <w:szCs w:val="18"/>
          <w:color w:val="auto"/>
        </w:rPr>
        <w:t>See Note 4 to the financial statements for the additional information about the level of market observability associated with investments carried at fair value.</w:t>
      </w:r>
    </w:p>
    <w:p>
      <w:pPr>
        <w:spacing w:after="0" w:line="62" w:lineRule="exact"/>
        <w:rPr>
          <w:sz w:val="20"/>
          <w:szCs w:val="20"/>
          <w:color w:val="auto"/>
        </w:rPr>
      </w:pPr>
    </w:p>
    <w:p>
      <w:pPr>
        <w:ind w:left="60" w:right="579" w:firstLine="270"/>
        <w:spacing w:after="0" w:line="268"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financial statements: “Significant Accounting Policies — Investments”).</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left="320" w:right="719" w:firstLine="270"/>
        <w:spacing w:after="0" w:line="259" w:lineRule="auto"/>
        <w:rPr>
          <w:sz w:val="20"/>
          <w:szCs w:val="20"/>
          <w:color w:val="auto"/>
        </w:rPr>
      </w:pPr>
      <w:r>
        <w:rPr>
          <w:rFonts w:ascii="Arial" w:cs="Arial" w:eastAsia="Arial" w:hAnsi="Arial"/>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9" w:lineRule="exact"/>
        <w:rPr>
          <w:sz w:val="20"/>
          <w:szCs w:val="20"/>
          <w:color w:val="auto"/>
        </w:rPr>
      </w:pPr>
    </w:p>
    <w:p>
      <w:pPr>
        <w:ind w:left="320" w:right="519" w:firstLine="270"/>
        <w:spacing w:after="0" w:line="273"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70" w:lineRule="exact"/>
        <w:rPr>
          <w:sz w:val="20"/>
          <w:szCs w:val="20"/>
          <w:color w:val="auto"/>
        </w:rPr>
      </w:pPr>
    </w:p>
    <w:p>
      <w:pPr>
        <w:ind w:left="320" w:right="619" w:firstLine="270"/>
        <w:spacing w:after="0" w:line="291"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59" w:lineRule="exact"/>
        <w:rPr>
          <w:sz w:val="20"/>
          <w:szCs w:val="20"/>
          <w:color w:val="auto"/>
        </w:rPr>
      </w:pPr>
    </w:p>
    <w:p>
      <w:pPr>
        <w:ind w:left="40" w:right="619" w:firstLine="270"/>
        <w:spacing w:after="0" w:line="269"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all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72" w:lineRule="exact"/>
        <w:rPr>
          <w:sz w:val="20"/>
          <w:szCs w:val="20"/>
          <w:color w:val="auto"/>
        </w:rPr>
      </w:pPr>
    </w:p>
    <w:p>
      <w:pPr>
        <w:ind w:left="40" w:right="799" w:firstLine="270"/>
        <w:spacing w:after="0" w:line="259" w:lineRule="auto"/>
        <w:rPr>
          <w:sz w:val="20"/>
          <w:szCs w:val="20"/>
          <w:color w:val="auto"/>
        </w:rPr>
      </w:pPr>
      <w:r>
        <w:rPr>
          <w:rFonts w:ascii="Arial" w:cs="Arial" w:eastAsia="Arial" w:hAnsi="Arial"/>
          <w:sz w:val="18"/>
          <w:szCs w:val="18"/>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79"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19"/>
        <w:spacing w:after="0" w:line="255" w:lineRule="auto"/>
        <w:rPr>
          <w:sz w:val="20"/>
          <w:szCs w:val="20"/>
          <w:color w:val="auto"/>
        </w:rPr>
      </w:pPr>
      <w:r>
        <w:rPr>
          <w:rFonts w:ascii="Arial" w:cs="Arial" w:eastAsia="Arial" w:hAnsi="Arial"/>
          <w:sz w:val="18"/>
          <w:szCs w:val="18"/>
          <w:color w:val="auto"/>
        </w:rPr>
        <w:t>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85" w:lineRule="exact"/>
        <w:rPr>
          <w:sz w:val="20"/>
          <w:szCs w:val="20"/>
          <w:color w:val="auto"/>
        </w:rPr>
      </w:pPr>
    </w:p>
    <w:p>
      <w:pPr>
        <w:ind w:left="40" w:right="559" w:firstLine="270"/>
        <w:spacing w:after="0" w:line="285" w:lineRule="auto"/>
        <w:rPr>
          <w:sz w:val="20"/>
          <w:szCs w:val="20"/>
          <w:color w:val="auto"/>
        </w:rPr>
      </w:pPr>
      <w:r>
        <w:rPr>
          <w:rFonts w:ascii="Arial" w:cs="Arial" w:eastAsia="Arial" w:hAnsi="Arial"/>
          <w:sz w:val="16"/>
          <w:szCs w:val="16"/>
          <w:color w:val="auto"/>
        </w:rPr>
        <w:t>The Company’s investments in its wholly-owned asset management companies, the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w:t>
      </w:r>
    </w:p>
    <w:p>
      <w:pPr>
        <w:spacing w:after="0" w:line="2" w:lineRule="exact"/>
        <w:rPr>
          <w:sz w:val="20"/>
          <w:szCs w:val="20"/>
          <w:color w:val="auto"/>
        </w:rPr>
      </w:pPr>
    </w:p>
    <w:p>
      <w:pPr>
        <w:ind w:left="40" w:right="1339" w:firstLine="8"/>
        <w:spacing w:after="0" w:line="261"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 (as described above). Any change in value from period to period is recognized as net change in unrealized appreciation or depreciation.</w:t>
      </w:r>
    </w:p>
    <w:p>
      <w:pPr>
        <w:spacing w:after="0" w:line="76"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7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0"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 Our Board of Directors may consider other methods of valuation to determine the fair value of investments as appropriate in conformity with GAAP.</w:t>
      </w:r>
    </w:p>
    <w:p>
      <w:pPr>
        <w:spacing w:after="0" w:line="80" w:lineRule="exact"/>
        <w:rPr>
          <w:sz w:val="20"/>
          <w:szCs w:val="20"/>
          <w:color w:val="auto"/>
        </w:rPr>
      </w:pPr>
    </w:p>
    <w:p>
      <w:pPr>
        <w:ind w:left="40" w:right="659" w:firstLine="270"/>
        <w:spacing w:after="0" w:line="302" w:lineRule="auto"/>
        <w:rPr>
          <w:sz w:val="20"/>
          <w:szCs w:val="20"/>
          <w:color w:val="auto"/>
        </w:rPr>
      </w:pPr>
      <w:r>
        <w:rPr>
          <w:rFonts w:ascii="Arial" w:cs="Arial" w:eastAsia="Arial" w:hAnsi="Arial"/>
          <w:sz w:val="16"/>
          <w:szCs w:val="16"/>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Income</w:t>
      </w:r>
    </w:p>
    <w:p>
      <w:pPr>
        <w:spacing w:after="0" w:line="121"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December 31, 2013, four issuers representing less than 1% of our total investments at fair value were on non-accrual status. As of December 31, 2012, five issuers representing less than 1% of our total investments at fair value were on non-accrual status.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 Income from CLO Fund Securities</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generate dividend income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 We make estimated interim accruals of such dividend income based on recent historical distributions and CLO Fund performance and adjust such accruals on a quarterly basis to reflect actual distributions.</w:t>
      </w:r>
    </w:p>
    <w:p>
      <w:pPr>
        <w:spacing w:after="0" w:line="67" w:lineRule="exact"/>
        <w:rPr>
          <w:sz w:val="20"/>
          <w:szCs w:val="20"/>
          <w:color w:val="auto"/>
        </w:rPr>
      </w:pPr>
    </w:p>
    <w:p>
      <w:pPr>
        <w:ind w:left="40" w:right="559" w:firstLine="270"/>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Katonah 2007-I CLO and the class F notes of Catamaran 2012-1, interest is earned at a fixed spread relative to the LIBOR index.</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 from Affiliate Asset Manager</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record dividend income from our Asset Manager Affiliates on the declaration date, which represents the ex-dividend date.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Payment-in-Kind Interest</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collected any cash.</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Fee Income</w:t>
      </w:r>
    </w:p>
    <w:p>
      <w:pPr>
        <w:spacing w:after="0" w:line="121"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 Compensation</w:t>
      </w:r>
    </w:p>
    <w:p>
      <w:pPr>
        <w:spacing w:after="0" w:line="121" w:lineRule="exact"/>
        <w:rPr>
          <w:sz w:val="20"/>
          <w:szCs w:val="20"/>
          <w:color w:val="auto"/>
        </w:rPr>
      </w:pPr>
    </w:p>
    <w:p>
      <w:pPr>
        <w:jc w:val="both"/>
        <w:ind w:left="40" w:right="739" w:firstLine="270"/>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States Federal Income Taxes</w:t>
      </w:r>
    </w:p>
    <w:p>
      <w:pPr>
        <w:spacing w:after="0" w:line="121"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40" w:right="679" w:firstLine="270"/>
        <w:spacing w:after="0" w:line="264"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out as a dividend is determined by the Board of Directors each quarter and is generally based upon the earnings estimated by management for the period and year.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Note 2 to the financial statements included in this annual report, for a description of recent accounting pronouncements.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7b.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85" w:lineRule="exact"/>
        <w:rPr>
          <w:sz w:val="20"/>
          <w:szCs w:val="20"/>
          <w:color w:val="auto"/>
        </w:rPr>
      </w:pPr>
    </w:p>
    <w:p>
      <w:pPr>
        <w:ind w:left="40" w:right="559" w:firstLine="270"/>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December 31, 2013, approximately 87.6% of the Debt Securities in our portfolio were at floating rates with a spread to an interest rate index such as LIBOR or the prime rate. We generally expect that future portfolio investments will predominately be floating rate investments. As of December 31, 2013, we had $193 million of borrowings outstanding at a current weighted average rate of 5.1%.</w:t>
      </w:r>
    </w:p>
    <w:p>
      <w:pPr>
        <w:spacing w:after="0" w:line="46"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or lowering interest rates, our current cost of debt would fluctuate correspondingly. We would expect that an increase in the base rate index for our floating rate investment assets would increase our net investment income and that a decrease in the base rate index for such assets would decrease our net investment income (in either case, such increase/decrease may be limited by interest rate floors/minimums for certain investment assets).</w:t>
      </w:r>
    </w:p>
    <w:p>
      <w:pPr>
        <w:spacing w:after="0" w:line="70" w:lineRule="exact"/>
        <w:rPr>
          <w:sz w:val="20"/>
          <w:szCs w:val="20"/>
          <w:color w:val="auto"/>
        </w:rPr>
      </w:pPr>
    </w:p>
    <w:p>
      <w:pPr>
        <w:ind w:left="40" w:right="559" w:firstLine="270"/>
        <w:spacing w:after="0" w:line="297" w:lineRule="auto"/>
        <w:rPr>
          <w:sz w:val="20"/>
          <w:szCs w:val="20"/>
          <w:color w:val="auto"/>
        </w:rPr>
      </w:pPr>
      <w:r>
        <w:rPr>
          <w:rFonts w:ascii="Arial" w:cs="Arial" w:eastAsia="Arial" w:hAnsi="Arial"/>
          <w:sz w:val="16"/>
          <w:szCs w:val="16"/>
          <w:color w:val="auto"/>
        </w:rPr>
        <w:t>We have analyzed the potential impact of changes in interest rates on interest income net of interest expense. Assuming that our balance sheet at December 31, 2013 were to remain constant and no actions were taken to alter the existing interest rate sensitivity, a hypothetical increase of a 1% change in interest rates would correspondingly increase net interest income proportionately by approximately $583,000 over a one-year period. Conversely, a hypothetical decrease of a 1% change in interest rates would correspondingly decrease net interest income proportionately by approximately $71,000 over a one-year period.</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59" w:firstLine="270"/>
        <w:spacing w:after="0" w:line="279" w:lineRule="auto"/>
        <w:rPr>
          <w:sz w:val="20"/>
          <w:szCs w:val="20"/>
          <w:color w:val="auto"/>
        </w:rPr>
      </w:pPr>
      <w:r>
        <w:rPr>
          <w:rFonts w:ascii="Arial" w:cs="Arial" w:eastAsia="Arial" w:hAnsi="Arial"/>
          <w:sz w:val="17"/>
          <w:szCs w:val="17"/>
          <w:color w:val="auto"/>
        </w:rPr>
        <w:t>Although management believes that this measure is indicative of our sensitivity to interest rate changes,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hold any derivative financial instruments for hedging purposes as of December 31, 2013.</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Valuation</w:t>
      </w:r>
    </w:p>
    <w:p>
      <w:pPr>
        <w:spacing w:after="0" w:line="121" w:lineRule="exact"/>
        <w:rPr>
          <w:sz w:val="20"/>
          <w:szCs w:val="20"/>
          <w:color w:val="auto"/>
        </w:rPr>
      </w:pPr>
    </w:p>
    <w:p>
      <w:pPr>
        <w:ind w:left="40" w:right="539" w:firstLine="270"/>
        <w:spacing w:after="0" w:line="269"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at or near the valuation date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72"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 month period. These third party valuation estimates are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Our financial statements are annexed to this Annual Report beginning on page F-</w:t>
      </w:r>
      <w:hyperlink w:anchor="page73">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b w:val="1"/>
          <w:bCs w:val="1"/>
          <w:i w:val="1"/>
          <w:iCs w:val="1"/>
          <w:color w:val="auto"/>
        </w:rPr>
        <w:t>Controls and Procedures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Company’s management is responsible for establishing and maintaining adequate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as defined in Rules 13a-15(f)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firstLine="270"/>
        <w:spacing w:after="0" w:line="277" w:lineRule="auto"/>
        <w:rPr>
          <w:sz w:val="20"/>
          <w:szCs w:val="20"/>
          <w:color w:val="auto"/>
        </w:rPr>
      </w:pPr>
      <w:r>
        <w:rPr>
          <w:rFonts w:ascii="Arial" w:cs="Arial" w:eastAsia="Arial" w:hAnsi="Arial"/>
          <w:sz w:val="18"/>
          <w:szCs w:val="18"/>
          <w:i w:val="1"/>
          <w:iCs w:val="1"/>
          <w:color w:val="auto"/>
        </w:rPr>
        <w:t>Scope of Management’s Report on Internal Control Over Financial Reporting</w:t>
      </w:r>
      <w:r>
        <w:rPr>
          <w:rFonts w:ascii="Arial" w:cs="Arial" w:eastAsia="Arial" w:hAnsi="Arial"/>
          <w:sz w:val="18"/>
          <w:szCs w:val="18"/>
          <w:color w:val="auto"/>
        </w:rPr>
        <w:t>.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includes those policies and procedures that:</w:t>
      </w:r>
    </w:p>
    <w:p>
      <w:pPr>
        <w:spacing w:after="0" w:line="62" w:lineRule="exact"/>
        <w:rPr>
          <w:sz w:val="20"/>
          <w:szCs w:val="20"/>
          <w:color w:val="auto"/>
        </w:rPr>
      </w:pPr>
    </w:p>
    <w:p>
      <w:pPr>
        <w:ind w:left="600" w:right="61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600" w:right="839" w:hanging="322"/>
        <w:spacing w:after="0" w:line="312" w:lineRule="auto"/>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the Company’s receipts and expenditures are being made only in accordance with authorizations of the Company’s management and directors; and</w:t>
      </w:r>
    </w:p>
    <w:p>
      <w:pPr>
        <w:spacing w:after="0" w:line="38" w:lineRule="exact"/>
        <w:rPr>
          <w:rFonts w:ascii="Arial" w:cs="Arial" w:eastAsia="Arial" w:hAnsi="Arial"/>
          <w:sz w:val="16"/>
          <w:szCs w:val="16"/>
          <w:color w:val="auto"/>
        </w:rPr>
      </w:pPr>
    </w:p>
    <w:p>
      <w:pPr>
        <w:ind w:left="600" w:right="579" w:hanging="322"/>
        <w:spacing w:after="0" w:line="277"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Company’s financial statements.</w:t>
      </w:r>
    </w:p>
    <w:p>
      <w:pPr>
        <w:spacing w:after="0" w:line="62"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i w:val="1"/>
          <w:iCs w:val="1"/>
          <w:color w:val="auto"/>
        </w:rPr>
        <w:t>Conclusion</w:t>
      </w:r>
      <w:r>
        <w:rPr>
          <w:rFonts w:ascii="Arial" w:cs="Arial" w:eastAsia="Arial" w:hAnsi="Arial"/>
          <w:sz w:val="18"/>
          <w:szCs w:val="18"/>
          <w:color w:val="auto"/>
        </w:rPr>
        <w:t>. Management, including the Company’s CEO and CFO, assessed the effectiveness of the Company’s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 reporting as of December 31, 2013. In making this assessment, management used the criteria set forth by the Committee of Sponsoring Organizations of the Treadway Commission (COSO) in Internal Control-Integrated Framework. Based on management’s assessment, management concluded, subject to the limitations described under “Scope of Management’s Report on Internal Control Over Financial Reporting” above, that the Company maintained effective internal control over financial reporting as of December 31, 2013.</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Attestation Report of the Independent Registered Public Accounting Firm.</w:t>
      </w:r>
    </w:p>
    <w:p>
      <w:pPr>
        <w:spacing w:after="0" w:line="117" w:lineRule="exact"/>
        <w:rPr>
          <w:sz w:val="20"/>
          <w:szCs w:val="20"/>
          <w:color w:val="auto"/>
        </w:rPr>
      </w:pPr>
    </w:p>
    <w:p>
      <w:pPr>
        <w:ind w:left="40" w:right="1039" w:firstLine="270"/>
        <w:spacing w:after="0" w:line="277" w:lineRule="auto"/>
        <w:rPr>
          <w:sz w:val="20"/>
          <w:szCs w:val="20"/>
          <w:color w:val="auto"/>
        </w:rPr>
      </w:pPr>
      <w:r>
        <w:rPr>
          <w:rFonts w:ascii="Arial" w:cs="Arial" w:eastAsia="Arial" w:hAnsi="Arial"/>
          <w:sz w:val="18"/>
          <w:szCs w:val="18"/>
          <w:color w:val="auto"/>
        </w:rPr>
        <w:t>The Company’s independent registered public accounting firm has audited and issued a report on the Company’s internal control over financial reporting, which appears in Item 15 of this report.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40" w:right="879" w:firstLine="270"/>
        <w:spacing w:after="0" w:line="342" w:lineRule="auto"/>
        <w:rPr>
          <w:sz w:val="20"/>
          <w:szCs w:val="20"/>
          <w:color w:val="auto"/>
        </w:rPr>
      </w:pPr>
      <w:r>
        <w:rPr>
          <w:rFonts w:ascii="Arial" w:cs="Arial" w:eastAsia="Arial" w:hAnsi="Arial"/>
          <w:sz w:val="16"/>
          <w:szCs w:val="16"/>
          <w:color w:val="auto"/>
        </w:rPr>
        <w:t>There have been no changes in our internal control over financing reporting that occurred during the fourth fiscal quarter of 2013 that have materially affected, or are reasonably likely to materially affect, our internal control over financial reporting.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40" w:right="679" w:firstLine="270"/>
        <w:spacing w:after="0" w:line="312" w:lineRule="auto"/>
        <w:rPr>
          <w:sz w:val="20"/>
          <w:szCs w:val="20"/>
          <w:color w:val="auto"/>
        </w:rPr>
      </w:pPr>
      <w:r>
        <w:rPr>
          <w:rFonts w:ascii="Arial" w:cs="Arial" w:eastAsia="Arial" w:hAnsi="Arial"/>
          <w:sz w:val="16"/>
          <w:szCs w:val="16"/>
          <w:color w:val="auto"/>
        </w:rPr>
        <w:t>The information required by this item will be contained in the Proxy Statement under the headings “Proposal 1: Election of Directors,” “Control Persons and Principal Stockholders” and “Corporate Governance Principles and Director Information”, to be filed with the Securities and Exchange Commission on or prior to April 30, 2014, and is incorporated herein by reference.</w:t>
      </w:r>
    </w:p>
    <w:p>
      <w:pPr>
        <w:spacing w:after="0" w:line="39" w:lineRule="exact"/>
        <w:rPr>
          <w:sz w:val="20"/>
          <w:szCs w:val="20"/>
          <w:color w:val="auto"/>
        </w:rPr>
      </w:pPr>
    </w:p>
    <w:p>
      <w:pPr>
        <w:jc w:val="both"/>
        <w:ind w:left="40" w:right="619" w:firstLine="270"/>
        <w:spacing w:after="0" w:line="286" w:lineRule="auto"/>
        <w:rPr>
          <w:sz w:val="20"/>
          <w:szCs w:val="20"/>
          <w:color w:val="auto"/>
        </w:rPr>
      </w:pPr>
      <w:r>
        <w:rPr>
          <w:rFonts w:ascii="Arial" w:cs="Arial" w:eastAsia="Arial" w:hAnsi="Arial"/>
          <w:sz w:val="17"/>
          <w:szCs w:val="17"/>
          <w:color w:val="auto"/>
        </w:rPr>
        <w:t xml:space="preserve">We have adopted a Sarbanes-Oxley Code of Ethics that applies to directors, officers and employees of the Company. This code of ethics is published on our website at </w:t>
      </w:r>
      <w:r>
        <w:rPr>
          <w:rFonts w:ascii="Arial" w:cs="Arial" w:eastAsia="Arial" w:hAnsi="Arial"/>
          <w:sz w:val="17"/>
          <w:szCs w:val="17"/>
          <w:i w:val="1"/>
          <w:iCs w:val="1"/>
          <w:color w:val="auto"/>
        </w:rPr>
        <w:t>www.kcapfinancial.com</w:t>
      </w:r>
      <w:r>
        <w:rPr>
          <w:rFonts w:ascii="Arial" w:cs="Arial" w:eastAsia="Arial" w:hAnsi="Arial"/>
          <w:sz w:val="17"/>
          <w:szCs w:val="17"/>
          <w:color w:val="auto"/>
        </w:rPr>
        <w:t>. We intend to disclose any future amendments to, or waivers from, this code of ethics within four business days of the waiver or amendment through a website posting.</w:t>
      </w:r>
    </w:p>
    <w:p>
      <w:pPr>
        <w:spacing w:after="0" w:line="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40" w:right="819" w:firstLine="270"/>
        <w:spacing w:after="0" w:line="259" w:lineRule="auto"/>
        <w:rPr>
          <w:sz w:val="20"/>
          <w:szCs w:val="20"/>
          <w:color w:val="auto"/>
        </w:rPr>
      </w:pPr>
      <w:r>
        <w:rPr>
          <w:rFonts w:ascii="Arial" w:cs="Arial" w:eastAsia="Arial" w:hAnsi="Arial"/>
          <w:sz w:val="18"/>
          <w:szCs w:val="18"/>
          <w:color w:val="auto"/>
        </w:rPr>
        <w:t>The information required by this item will be contained in the Proxy Statement under the headings “Proposal 1: Election of Directors,” “Executive Compensation,” “Compensation Committee Interlocks and Insider Participation” and “Compensation Committee Report”, to be filed with the Securities and Exchange Commission on or prior to April 30, 2014, and is incorporated herein by reference.</w:t>
      </w:r>
    </w:p>
    <w:p>
      <w:pPr>
        <w:spacing w:after="0" w:line="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40" w:right="65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headings “Executive Compensation” and “Control Persons and Principal Stockholders”, to be filed with the Securities and Exchange Commission on or prior to April 30, 2014, and is incorporated herein by reference.</w:t>
      </w:r>
    </w:p>
    <w:p>
      <w:pPr>
        <w:spacing w:after="0" w:line="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headings “Transactions with Related Persons” and “Proposal 1: Election of Directors”, to be filed with the Securities and Exchange Commission on or prior to April 30, 2014, and is incorporated herein by reference.</w:t>
      </w:r>
    </w:p>
    <w:p>
      <w:pPr>
        <w:spacing w:after="0" w:line="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information required by this item will be contained in the Proxy Statement under the heading “Proposal 2: Ratification of Independent Registered Public Accounting Firm”, to be filed with the Securities and Exchange Commission on or prior to April 30, 2014, and is incorporated herein by reference.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Documents filed as part of this report:</w:t>
      </w:r>
    </w:p>
    <w:p>
      <w:pPr>
        <w:spacing w:after="0" w:line="117" w:lineRule="exact"/>
        <w:rPr>
          <w:rFonts w:ascii="Arial" w:cs="Arial" w:eastAsia="Arial" w:hAnsi="Arial"/>
          <w:sz w:val="18"/>
          <w:szCs w:val="18"/>
          <w:i w:val="1"/>
          <w:iCs w:val="1"/>
          <w:color w:val="auto"/>
        </w:rPr>
      </w:pPr>
    </w:p>
    <w:p>
      <w:pPr>
        <w:ind w:left="540" w:right="759" w:hanging="262"/>
        <w:spacing w:after="0" w:line="277"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a list of the consolidated financial information included herein, see Index to the Consolidated Financial Statements on page F-</w:t>
      </w:r>
      <w:hyperlink w:anchor="page73">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40" w:right="799" w:hanging="262"/>
        <w:spacing w:after="0" w:line="277"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a list of the other financial statements and financial statement schedules included herein, see Index to Other Financial Statements and Financial Statement Schedules on page S-</w:t>
      </w:r>
      <w:hyperlink w:anchor="page120">
        <w:r>
          <w:rPr>
            <w:rFonts w:ascii="Arial" w:cs="Arial" w:eastAsia="Arial" w:hAnsi="Arial"/>
            <w:sz w:val="18"/>
            <w:szCs w:val="18"/>
            <w:u w:val="single" w:color="auto"/>
            <w:color w:val="0000EE"/>
          </w:rPr>
          <w:t>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For a list of other exhibits included herein, see Exhibit List on page E-1.</w:t>
      </w:r>
    </w:p>
    <w:p>
      <w:pPr>
        <w:spacing w:after="0" w:line="117" w:lineRule="exact"/>
        <w:rPr>
          <w:rFonts w:ascii="Arial" w:cs="Arial" w:eastAsia="Arial" w:hAnsi="Arial"/>
          <w:sz w:val="18"/>
          <w:szCs w:val="18"/>
          <w:color w:val="auto"/>
        </w:rPr>
      </w:pPr>
    </w:p>
    <w:p>
      <w:pPr>
        <w:ind w:left="280" w:right="579" w:hanging="272"/>
        <w:spacing w:after="0" w:line="277" w:lineRule="auto"/>
        <w:tabs>
          <w:tab w:leader="none" w:pos="28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Exhibits required by Item 601of Regulation S-K</w:t>
      </w:r>
      <w:r>
        <w:rPr>
          <w:rFonts w:ascii="Arial" w:cs="Arial" w:eastAsia="Arial" w:hAnsi="Arial"/>
          <w:sz w:val="18"/>
          <w:szCs w:val="18"/>
          <w:color w:val="auto"/>
        </w:rPr>
        <w:t>. Reference is made to the Exhibit List filed as a part of this report beginning on</w:t>
      </w:r>
      <w:r>
        <w:rPr>
          <w:rFonts w:ascii="Arial" w:cs="Arial" w:eastAsia="Arial" w:hAnsi="Arial"/>
          <w:sz w:val="18"/>
          <w:szCs w:val="18"/>
          <w:i w:val="1"/>
          <w:iCs w:val="1"/>
          <w:color w:val="auto"/>
        </w:rPr>
        <w:t xml:space="preserve"> </w:t>
      </w:r>
      <w:r>
        <w:rPr>
          <w:rFonts w:ascii="Arial" w:cs="Arial" w:eastAsia="Arial" w:hAnsi="Arial"/>
          <w:sz w:val="18"/>
          <w:szCs w:val="18"/>
          <w:color w:val="auto"/>
        </w:rPr>
        <w:t>page E-1. Each of such exhibits is incorporated by reference herein.</w:t>
      </w:r>
    </w:p>
    <w:p>
      <w:pPr>
        <w:spacing w:after="0" w:line="62" w:lineRule="exact"/>
        <w:rPr>
          <w:rFonts w:ascii="Arial" w:cs="Arial" w:eastAsia="Arial" w:hAnsi="Arial"/>
          <w:sz w:val="18"/>
          <w:szCs w:val="18"/>
          <w:color w:val="auto"/>
        </w:rPr>
      </w:pPr>
    </w:p>
    <w:p>
      <w:pPr>
        <w:ind w:left="280" w:right="539" w:hanging="269"/>
        <w:spacing w:after="0" w:line="308" w:lineRule="auto"/>
        <w:rPr>
          <w:sz w:val="20"/>
          <w:szCs w:val="20"/>
          <w:color w:val="auto"/>
        </w:rPr>
      </w:pPr>
      <w:r>
        <w:rPr>
          <w:rFonts w:ascii="Arial" w:cs="Arial" w:eastAsia="Arial" w:hAnsi="Arial"/>
          <w:sz w:val="17"/>
          <w:szCs w:val="17"/>
          <w:i w:val="1"/>
          <w:iCs w:val="1"/>
          <w:color w:val="auto"/>
        </w:rPr>
        <w:t>(c). Other financial statements and financial statement schedules</w:t>
      </w:r>
      <w:r>
        <w:rPr>
          <w:rFonts w:ascii="Arial" w:cs="Arial" w:eastAsia="Arial" w:hAnsi="Arial"/>
          <w:sz w:val="17"/>
          <w:szCs w:val="17"/>
          <w:color w:val="auto"/>
        </w:rPr>
        <w:t>. Reference is made to the Index to Other Financial Statements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 Schedules on page S-1. Each of such documents is incorporated by reference herein.</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ind w:left="6"/>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3"/>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6" w:right="659" w:firstLine="270"/>
        <w:spacing w:after="0" w:line="25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51885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5440" w:type="dxa"/>
            <w:vAlign w:val="bottom"/>
            <w:gridSpan w:val="2"/>
          </w:tcPr>
          <w:p>
            <w:pPr>
              <w:ind w:left="1200"/>
              <w:spacing w:after="0" w:line="203" w:lineRule="exact"/>
              <w:rPr>
                <w:sz w:val="20"/>
                <w:szCs w:val="20"/>
                <w:color w:val="auto"/>
              </w:rPr>
            </w:pPr>
            <w:r>
              <w:rPr>
                <w:rFonts w:ascii="Arial" w:cs="Arial" w:eastAsia="Arial" w:hAnsi="Arial"/>
                <w:sz w:val="18"/>
                <w:szCs w:val="18"/>
                <w:color w:val="auto"/>
              </w:rPr>
              <w:t>KCAP Financial, Inc.</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Date: March 12, 2014</w:t>
            </w:r>
          </w:p>
        </w:tc>
        <w:tc>
          <w:tcPr>
            <w:tcW w:w="5440" w:type="dxa"/>
            <w:vAlign w:val="bottom"/>
            <w:gridSpan w:val="2"/>
          </w:tcPr>
          <w:p>
            <w:pPr>
              <w:ind w:left="1200"/>
              <w:spacing w:after="0"/>
              <w:rPr>
                <w:sz w:val="20"/>
                <w:szCs w:val="20"/>
                <w:color w:val="auto"/>
              </w:rPr>
            </w:pPr>
            <w:r>
              <w:rPr>
                <w:rFonts w:ascii="Arial" w:cs="Arial" w:eastAsia="Arial" w:hAnsi="Arial"/>
                <w:sz w:val="18"/>
                <w:szCs w:val="18"/>
                <w:color w:val="auto"/>
              </w:rPr>
              <w:t>By  /s/ D</w:t>
            </w:r>
            <w:r>
              <w:rPr>
                <w:rFonts w:ascii="Arial" w:cs="Arial" w:eastAsia="Arial" w:hAnsi="Arial"/>
                <w:sz w:val="12"/>
                <w:szCs w:val="12"/>
                <w:color w:val="auto"/>
              </w:rPr>
              <w:t>AYL</w:t>
            </w:r>
            <w:r>
              <w:rPr>
                <w:rFonts w:ascii="Arial" w:cs="Arial" w:eastAsia="Arial" w:hAnsi="Arial"/>
                <w:sz w:val="18"/>
                <w:szCs w:val="18"/>
                <w:color w:val="auto"/>
              </w:rPr>
              <w:t xml:space="preserve"> W. P</w:t>
            </w:r>
            <w:r>
              <w:rPr>
                <w:rFonts w:ascii="Arial" w:cs="Arial" w:eastAsia="Arial" w:hAnsi="Arial"/>
                <w:sz w:val="12"/>
                <w:szCs w:val="12"/>
                <w:color w:val="auto"/>
              </w:rPr>
              <w:t>EARSON</w:t>
            </w:r>
          </w:p>
        </w:tc>
      </w:tr>
      <w:tr>
        <w:trPr>
          <w:trHeight w:val="191"/>
        </w:trPr>
        <w:tc>
          <w:tcPr>
            <w:tcW w:w="2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Dayl W. Pearson</w:t>
            </w:r>
          </w:p>
        </w:tc>
      </w:tr>
      <w:tr>
        <w:trPr>
          <w:trHeight w:val="234"/>
        </w:trPr>
        <w:tc>
          <w:tcPr>
            <w:tcW w:w="2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President and Chief Executive Officer</w:t>
            </w:r>
          </w:p>
        </w:tc>
      </w:tr>
      <w:tr>
        <w:trPr>
          <w:trHeight w:val="324"/>
        </w:trPr>
        <w:tc>
          <w:tcPr>
            <w:tcW w:w="2760" w:type="dxa"/>
            <w:vAlign w:val="bottom"/>
          </w:tcPr>
          <w:p>
            <w:pPr>
              <w:spacing w:after="0"/>
              <w:rPr>
                <w:sz w:val="24"/>
                <w:szCs w:val="24"/>
                <w:color w:val="auto"/>
              </w:rPr>
            </w:pPr>
          </w:p>
        </w:tc>
        <w:tc>
          <w:tcPr>
            <w:tcW w:w="5440" w:type="dxa"/>
            <w:vAlign w:val="bottom"/>
            <w:gridSpan w:val="2"/>
          </w:tcPr>
          <w:p>
            <w:pPr>
              <w:jc w:val="right"/>
              <w:ind w:right="2990"/>
              <w:spacing w:after="0"/>
              <w:rPr>
                <w:sz w:val="20"/>
                <w:szCs w:val="20"/>
                <w:color w:val="auto"/>
              </w:rPr>
            </w:pPr>
            <w:r>
              <w:rPr>
                <w:rFonts w:ascii="Arial" w:cs="Arial" w:eastAsia="Arial" w:hAnsi="Arial"/>
                <w:sz w:val="18"/>
                <w:szCs w:val="18"/>
                <w:b w:val="1"/>
                <w:bCs w:val="1"/>
                <w:color w:val="auto"/>
              </w:rPr>
              <w:t>* * * * *</w:t>
            </w:r>
          </w:p>
        </w:tc>
      </w:tr>
    </w:tbl>
    <w:p>
      <w:pPr>
        <w:spacing w:after="0" w:line="94" w:lineRule="exact"/>
        <w:rPr>
          <w:sz w:val="20"/>
          <w:szCs w:val="20"/>
          <w:color w:val="auto"/>
        </w:rPr>
      </w:pPr>
    </w:p>
    <w:p>
      <w:pPr>
        <w:ind w:left="46" w:right="1099" w:firstLine="270"/>
        <w:spacing w:after="0" w:line="26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52139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85"/>
          </w:cols>
          <w:pgMar w:left="374" w:top="792" w:right="1440" w:bottom="1440" w:gutter="0" w:footer="0" w:header="0"/>
        </w:sectPr>
      </w:pPr>
    </w:p>
    <w:p>
      <w:pPr>
        <w:ind w:left="726"/>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13036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AYL</w:t>
      </w:r>
      <w:r>
        <w:rPr>
          <w:rFonts w:ascii="Arial" w:cs="Arial" w:eastAsia="Arial" w:hAnsi="Arial"/>
          <w:sz w:val="18"/>
          <w:szCs w:val="18"/>
          <w:color w:val="auto"/>
        </w:rPr>
        <w:t xml:space="preserve"> W. P</w:t>
      </w:r>
      <w:r>
        <w:rPr>
          <w:rFonts w:ascii="Arial" w:cs="Arial" w:eastAsia="Arial" w:hAnsi="Arial"/>
          <w:sz w:val="12"/>
          <w:szCs w:val="12"/>
          <w:color w:val="auto"/>
        </w:rPr>
        <w:t>EARSON</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AYL</w:t>
      </w:r>
      <w:r>
        <w:rPr>
          <w:rFonts w:ascii="Arial" w:cs="Arial" w:eastAsia="Arial" w:hAnsi="Arial"/>
          <w:sz w:val="18"/>
          <w:szCs w:val="18"/>
          <w:b w:val="1"/>
          <w:bCs w:val="1"/>
          <w:color w:val="auto"/>
        </w:rPr>
        <w:t xml:space="preserve"> W. P</w:t>
      </w:r>
      <w:r>
        <w:rPr>
          <w:rFonts w:ascii="Arial" w:cs="Arial" w:eastAsia="Arial" w:hAnsi="Arial"/>
          <w:sz w:val="12"/>
          <w:szCs w:val="12"/>
          <w:b w:val="1"/>
          <w:bCs w:val="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E</w:t>
      </w:r>
      <w:r>
        <w:rPr>
          <w:rFonts w:ascii="Arial" w:cs="Arial" w:eastAsia="Arial" w:hAnsi="Arial"/>
          <w:sz w:val="12"/>
          <w:szCs w:val="12"/>
          <w:color w:val="auto"/>
        </w:rPr>
        <w:t>DWARD</w:t>
      </w:r>
      <w:r>
        <w:rPr>
          <w:rFonts w:ascii="Arial" w:cs="Arial" w:eastAsia="Arial" w:hAnsi="Arial"/>
          <w:sz w:val="18"/>
          <w:szCs w:val="18"/>
          <w:color w:val="auto"/>
        </w:rPr>
        <w:t xml:space="preserve"> U. G</w:t>
      </w:r>
      <w:r>
        <w:rPr>
          <w:rFonts w:ascii="Arial" w:cs="Arial" w:eastAsia="Arial" w:hAnsi="Arial"/>
          <w:sz w:val="12"/>
          <w:szCs w:val="12"/>
          <w:color w:val="auto"/>
        </w:rPr>
        <w:t>ILPIN</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DWARD</w:t>
      </w:r>
      <w:r>
        <w:rPr>
          <w:rFonts w:ascii="Arial" w:cs="Arial" w:eastAsia="Arial" w:hAnsi="Arial"/>
          <w:sz w:val="18"/>
          <w:szCs w:val="18"/>
          <w:b w:val="1"/>
          <w:bCs w:val="1"/>
          <w:color w:val="auto"/>
        </w:rPr>
        <w:t xml:space="preserve"> U. G</w:t>
      </w:r>
      <w:r>
        <w:rPr>
          <w:rFonts w:ascii="Arial" w:cs="Arial" w:eastAsia="Arial" w:hAnsi="Arial"/>
          <w:sz w:val="12"/>
          <w:szCs w:val="12"/>
          <w:b w:val="1"/>
          <w:bCs w:val="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C</w:t>
      </w:r>
      <w:r>
        <w:rPr>
          <w:rFonts w:ascii="Arial" w:cs="Arial" w:eastAsia="Arial" w:hAnsi="Arial"/>
          <w:sz w:val="11"/>
          <w:szCs w:val="11"/>
          <w:color w:val="auto"/>
        </w:rPr>
        <w:t>HRISTOPHER</w:t>
      </w:r>
      <w:r>
        <w:rPr>
          <w:rFonts w:ascii="Arial" w:cs="Arial" w:eastAsia="Arial" w:hAnsi="Arial"/>
          <w:sz w:val="17"/>
          <w:szCs w:val="17"/>
          <w:color w:val="auto"/>
        </w:rPr>
        <w:t xml:space="preserve"> L</w:t>
      </w:r>
      <w:r>
        <w:rPr>
          <w:rFonts w:ascii="Arial" w:cs="Arial" w:eastAsia="Arial" w:hAnsi="Arial"/>
          <w:sz w:val="11"/>
          <w:szCs w:val="11"/>
          <w:color w:val="auto"/>
        </w:rPr>
        <w:t>ACOVARA</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HRISTOPHER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ACOVARA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w:t>
      </w:r>
      <w:r>
        <w:rPr>
          <w:rFonts w:ascii="Arial" w:cs="Arial" w:eastAsia="Arial" w:hAnsi="Arial"/>
          <w:sz w:val="12"/>
          <w:szCs w:val="12"/>
          <w:color w:val="auto"/>
        </w:rPr>
        <w:t>OHN</w:t>
      </w:r>
      <w:r>
        <w:rPr>
          <w:rFonts w:ascii="Arial" w:cs="Arial" w:eastAsia="Arial" w:hAnsi="Arial"/>
          <w:sz w:val="18"/>
          <w:szCs w:val="18"/>
          <w:color w:val="auto"/>
        </w:rPr>
        <w:t xml:space="preserve"> W</w:t>
      </w:r>
      <w:r>
        <w:rPr>
          <w:rFonts w:ascii="Arial" w:cs="Arial" w:eastAsia="Arial" w:hAnsi="Arial"/>
          <w:sz w:val="12"/>
          <w:szCs w:val="12"/>
          <w:color w:val="auto"/>
        </w:rPr>
        <w:t>ARD</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OHN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C. M</w:t>
      </w:r>
      <w:r>
        <w:rPr>
          <w:rFonts w:ascii="Arial" w:cs="Arial" w:eastAsia="Arial" w:hAnsi="Arial"/>
          <w:sz w:val="12"/>
          <w:szCs w:val="12"/>
          <w:color w:val="auto"/>
        </w:rPr>
        <w:t>ICHAEL</w:t>
      </w:r>
      <w:r>
        <w:rPr>
          <w:rFonts w:ascii="Arial" w:cs="Arial" w:eastAsia="Arial" w:hAnsi="Arial"/>
          <w:sz w:val="18"/>
          <w:szCs w:val="18"/>
          <w:color w:val="auto"/>
        </w:rPr>
        <w:t xml:space="preserve"> J</w:t>
      </w:r>
      <w:r>
        <w:rPr>
          <w:rFonts w:ascii="Arial" w:cs="Arial" w:eastAsia="Arial" w:hAnsi="Arial"/>
          <w:sz w:val="12"/>
          <w:szCs w:val="12"/>
          <w:color w:val="auto"/>
        </w:rPr>
        <w:t>ACOBI</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 M</w:t>
      </w:r>
      <w:r>
        <w:rPr>
          <w:rFonts w:ascii="Arial" w:cs="Arial" w:eastAsia="Arial" w:hAnsi="Arial"/>
          <w:sz w:val="12"/>
          <w:szCs w:val="12"/>
          <w:b w:val="1"/>
          <w:bCs w:val="1"/>
          <w:color w:val="auto"/>
        </w:rPr>
        <w:t>ICHAEL</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ACOBI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A</w:t>
      </w:r>
      <w:r>
        <w:rPr>
          <w:rFonts w:ascii="Arial" w:cs="Arial" w:eastAsia="Arial" w:hAnsi="Arial"/>
          <w:sz w:val="12"/>
          <w:szCs w:val="12"/>
          <w:color w:val="auto"/>
        </w:rPr>
        <w:t>LBERT</w:t>
      </w:r>
      <w:r>
        <w:rPr>
          <w:rFonts w:ascii="Arial" w:cs="Arial" w:eastAsia="Arial" w:hAnsi="Arial"/>
          <w:sz w:val="18"/>
          <w:szCs w:val="18"/>
          <w:color w:val="auto"/>
        </w:rPr>
        <w:t xml:space="preserve"> G. P</w:t>
      </w:r>
      <w:r>
        <w:rPr>
          <w:rFonts w:ascii="Arial" w:cs="Arial" w:eastAsia="Arial" w:hAnsi="Arial"/>
          <w:sz w:val="12"/>
          <w:szCs w:val="12"/>
          <w:color w:val="auto"/>
        </w:rPr>
        <w:t>ASTINO</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LBERT</w:t>
      </w:r>
      <w:r>
        <w:rPr>
          <w:rFonts w:ascii="Arial" w:cs="Arial" w:eastAsia="Arial" w:hAnsi="Arial"/>
          <w:sz w:val="18"/>
          <w:szCs w:val="18"/>
          <w:b w:val="1"/>
          <w:bCs w:val="1"/>
          <w:color w:val="auto"/>
        </w:rPr>
        <w:t xml:space="preserve"> G. P</w:t>
      </w:r>
      <w:r>
        <w:rPr>
          <w:rFonts w:ascii="Arial" w:cs="Arial" w:eastAsia="Arial" w:hAnsi="Arial"/>
          <w:sz w:val="12"/>
          <w:szCs w:val="12"/>
          <w:b w:val="1"/>
          <w:bCs w:val="1"/>
          <w:color w:val="auto"/>
        </w:rPr>
        <w:t>ASTINO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C. T</w:t>
      </w:r>
      <w:r>
        <w:rPr>
          <w:rFonts w:ascii="Arial" w:cs="Arial" w:eastAsia="Arial" w:hAnsi="Arial"/>
          <w:sz w:val="11"/>
          <w:szCs w:val="11"/>
          <w:color w:val="auto"/>
        </w:rPr>
        <w:t>URNEY</w:t>
      </w:r>
      <w:r>
        <w:rPr>
          <w:rFonts w:ascii="Arial" w:cs="Arial" w:eastAsia="Arial" w:hAnsi="Arial"/>
          <w:sz w:val="17"/>
          <w:szCs w:val="17"/>
          <w:color w:val="auto"/>
        </w:rPr>
        <w:t xml:space="preserve"> S</w:t>
      </w:r>
      <w:r>
        <w:rPr>
          <w:rFonts w:ascii="Arial" w:cs="Arial" w:eastAsia="Arial" w:hAnsi="Arial"/>
          <w:sz w:val="11"/>
          <w:szCs w:val="11"/>
          <w:color w:val="auto"/>
        </w:rPr>
        <w:t>TEVENS</w:t>
      </w:r>
      <w:r>
        <w:rPr>
          <w:rFonts w:ascii="Arial" w:cs="Arial" w:eastAsia="Arial" w:hAnsi="Arial"/>
          <w:sz w:val="17"/>
          <w:szCs w:val="17"/>
          <w:color w:val="auto"/>
        </w:rPr>
        <w:t>, J</w:t>
      </w:r>
      <w:r>
        <w:rPr>
          <w:rFonts w:ascii="Arial" w:cs="Arial" w:eastAsia="Arial" w:hAnsi="Arial"/>
          <w:sz w:val="11"/>
          <w:szCs w:val="11"/>
          <w:color w:val="auto"/>
        </w:rPr>
        <w:t>R</w:t>
      </w:r>
      <w:r>
        <w:rPr>
          <w:rFonts w:ascii="Arial" w:cs="Arial" w:eastAsia="Arial" w:hAnsi="Arial"/>
          <w:sz w:val="17"/>
          <w:szCs w:val="17"/>
          <w:color w:val="auto"/>
        </w:rPr>
        <w:t>.</w:t>
      </w:r>
    </w:p>
    <w:p>
      <w:pPr>
        <w:spacing w:after="0" w:line="21" w:lineRule="exact"/>
        <w:rPr>
          <w:sz w:val="20"/>
          <w:szCs w:val="20"/>
          <w:color w:val="auto"/>
        </w:rPr>
      </w:pPr>
    </w:p>
    <w:p>
      <w:pPr>
        <w:ind w:left="6" w:right="120" w:hanging="6"/>
        <w:spacing w:after="0" w:line="258" w:lineRule="auto"/>
        <w:tabs>
          <w:tab w:leader="none" w:pos="22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URNEY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TEVENS</w:t>
      </w:r>
      <w:r>
        <w:rPr>
          <w:rFonts w:ascii="Arial" w:cs="Arial" w:eastAsia="Arial" w:hAnsi="Arial"/>
          <w:sz w:val="18"/>
          <w:szCs w:val="18"/>
          <w:b w:val="1"/>
          <w:bCs w:val="1"/>
          <w:color w:val="auto"/>
        </w:rPr>
        <w:t>, J</w:t>
      </w:r>
      <w:r>
        <w:rPr>
          <w:rFonts w:ascii="Arial" w:cs="Arial" w:eastAsia="Arial" w:hAnsi="Arial"/>
          <w:sz w:val="12"/>
          <w:szCs w:val="12"/>
          <w:b w:val="1"/>
          <w:bCs w:val="1"/>
          <w:color w:val="auto"/>
        </w:rPr>
        <w:t>R</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w:t>
      </w:r>
      <w:r>
        <w:rPr>
          <w:rFonts w:ascii="Arial" w:cs="Arial" w:eastAsia="Arial" w:hAnsi="Arial"/>
          <w:sz w:val="12"/>
          <w:szCs w:val="12"/>
          <w:color w:val="auto"/>
        </w:rPr>
        <w:t>AY</w:t>
      </w:r>
      <w:r>
        <w:rPr>
          <w:rFonts w:ascii="Arial" w:cs="Arial" w:eastAsia="Arial" w:hAnsi="Arial"/>
          <w:sz w:val="18"/>
          <w:szCs w:val="18"/>
          <w:color w:val="auto"/>
        </w:rPr>
        <w:t xml:space="preserve"> R. B</w:t>
      </w:r>
      <w:r>
        <w:rPr>
          <w:rFonts w:ascii="Arial" w:cs="Arial" w:eastAsia="Arial" w:hAnsi="Arial"/>
          <w:sz w:val="12"/>
          <w:szCs w:val="12"/>
          <w:color w:val="auto"/>
        </w:rPr>
        <w:t>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-281940</wp:posOffset>
            </wp:positionV>
            <wp:extent cx="1303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6"/>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R. B</w:t>
      </w:r>
      <w:r>
        <w:rPr>
          <w:rFonts w:ascii="Arial" w:cs="Arial" w:eastAsia="Arial" w:hAnsi="Arial"/>
          <w:sz w:val="12"/>
          <w:szCs w:val="12"/>
          <w:b w:val="1"/>
          <w:bCs w:val="1"/>
          <w:color w:val="auto"/>
        </w:rPr>
        <w:t>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D</w:t>
      </w:r>
      <w:r>
        <w:rPr>
          <w:rFonts w:ascii="Arial" w:cs="Arial" w:eastAsia="Arial" w:hAnsi="Arial"/>
          <w:sz w:val="12"/>
          <w:szCs w:val="12"/>
          <w:color w:val="auto"/>
        </w:rPr>
        <w:t>EAN</w:t>
      </w:r>
      <w:r>
        <w:rPr>
          <w:rFonts w:ascii="Arial" w:cs="Arial" w:eastAsia="Arial" w:hAnsi="Arial"/>
          <w:sz w:val="18"/>
          <w:szCs w:val="18"/>
          <w:color w:val="auto"/>
        </w:rPr>
        <w:t xml:space="preserve"> C. K</w:t>
      </w:r>
      <w:r>
        <w:rPr>
          <w:rFonts w:ascii="Arial" w:cs="Arial" w:eastAsia="Arial" w:hAnsi="Arial"/>
          <w:sz w:val="12"/>
          <w:szCs w:val="12"/>
          <w:color w:val="auto"/>
        </w:rPr>
        <w:t>EHLER</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EAN</w:t>
      </w:r>
      <w:r>
        <w:rPr>
          <w:rFonts w:ascii="Arial" w:cs="Arial" w:eastAsia="Arial" w:hAnsi="Arial"/>
          <w:sz w:val="18"/>
          <w:szCs w:val="18"/>
          <w:b w:val="1"/>
          <w:bCs w:val="1"/>
          <w:color w:val="auto"/>
        </w:rPr>
        <w:t xml:space="preserve"> C. K</w:t>
      </w:r>
      <w:r>
        <w:rPr>
          <w:rFonts w:ascii="Arial" w:cs="Arial" w:eastAsia="Arial" w:hAnsi="Arial"/>
          <w:sz w:val="12"/>
          <w:szCs w:val="12"/>
          <w:b w:val="1"/>
          <w:bCs w:val="1"/>
          <w:color w:val="auto"/>
        </w:rPr>
        <w:t>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3036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95"/>
        </w:trPr>
        <w:tc>
          <w:tcPr>
            <w:tcW w:w="4600" w:type="dxa"/>
            <w:vAlign w:val="bottom"/>
          </w:tcPr>
          <w:p>
            <w:pPr>
              <w:spacing w:after="0" w:line="195" w:lineRule="exact"/>
              <w:rPr>
                <w:sz w:val="20"/>
                <w:szCs w:val="20"/>
                <w:color w:val="auto"/>
              </w:rPr>
            </w:pPr>
            <w:r>
              <w:rPr>
                <w:rFonts w:ascii="Arial" w:cs="Arial" w:eastAsia="Arial" w:hAnsi="Arial"/>
                <w:sz w:val="18"/>
                <w:szCs w:val="18"/>
                <w:color w:val="auto"/>
                <w:w w:val="99"/>
              </w:rPr>
              <w:t>President and Chief Executive Officer (principal executive</w:t>
            </w:r>
          </w:p>
        </w:tc>
        <w:tc>
          <w:tcPr>
            <w:tcW w:w="160" w:type="dxa"/>
            <w:vAlign w:val="bottom"/>
          </w:tcPr>
          <w:p>
            <w:pPr>
              <w:spacing w:after="0"/>
              <w:rPr>
                <w:sz w:val="16"/>
                <w:szCs w:val="16"/>
                <w:color w:val="auto"/>
              </w:rPr>
            </w:pPr>
          </w:p>
        </w:tc>
        <w:tc>
          <w:tcPr>
            <w:tcW w:w="1240" w:type="dxa"/>
            <w:vAlign w:val="bottom"/>
          </w:tcPr>
          <w:p>
            <w:pPr>
              <w:jc w:val="center"/>
              <w:spacing w:after="0" w:line="195" w:lineRule="exact"/>
              <w:rPr>
                <w:sz w:val="20"/>
                <w:szCs w:val="20"/>
                <w:color w:val="auto"/>
              </w:rPr>
            </w:pPr>
            <w:r>
              <w:rPr>
                <w:rFonts w:ascii="Arial" w:cs="Arial" w:eastAsia="Arial" w:hAnsi="Arial"/>
                <w:sz w:val="18"/>
                <w:szCs w:val="18"/>
                <w:color w:val="auto"/>
                <w:w w:val="91"/>
              </w:rPr>
              <w:t>March 12, 2014</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officer) and Member of the Board of Directors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March 12, 2014</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March 12, 2014</w:t>
            </w:r>
          </w:p>
        </w:tc>
      </w:tr>
      <w:tr>
        <w:trPr>
          <w:trHeight w:val="446"/>
        </w:trPr>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March 12, 2014</w:t>
            </w:r>
          </w:p>
        </w:tc>
      </w:tr>
      <w:tr>
        <w:trPr>
          <w:trHeight w:val="446"/>
        </w:trPr>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March 12, 2014</w:t>
            </w:r>
          </w:p>
        </w:tc>
      </w:tr>
      <w:tr>
        <w:trPr>
          <w:trHeight w:val="446"/>
        </w:trPr>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March 12, 2014</w:t>
            </w:r>
          </w:p>
        </w:tc>
      </w:tr>
      <w:tr>
        <w:trPr>
          <w:trHeight w:val="446"/>
        </w:trPr>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March 12, 2014</w:t>
            </w:r>
          </w:p>
        </w:tc>
      </w:tr>
      <w:tr>
        <w:trPr>
          <w:trHeight w:val="446"/>
        </w:trPr>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March 12, 2014</w:t>
            </w:r>
          </w:p>
        </w:tc>
      </w:tr>
      <w:tr>
        <w:trPr>
          <w:trHeight w:val="446"/>
        </w:trPr>
        <w:tc>
          <w:tcPr>
            <w:tcW w:w="4600" w:type="dxa"/>
            <w:vAlign w:val="bottom"/>
          </w:tcPr>
          <w:p>
            <w:pPr>
              <w:spacing w:after="0"/>
              <w:rPr>
                <w:sz w:val="20"/>
                <w:szCs w:val="20"/>
                <w:color w:val="auto"/>
              </w:rPr>
            </w:pPr>
            <w:r>
              <w:rPr>
                <w:rFonts w:ascii="Arial" w:cs="Arial" w:eastAsia="Arial" w:hAnsi="Arial"/>
                <w:sz w:val="18"/>
                <w:szCs w:val="18"/>
                <w:color w:val="auto"/>
              </w:rPr>
              <w:t>Member of the Board of Directors</w:t>
            </w:r>
          </w:p>
        </w:tc>
        <w:tc>
          <w:tcPr>
            <w:tcW w:w="1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March 12, 2014</w:t>
            </w:r>
          </w:p>
        </w:tc>
      </w:tr>
    </w:tbl>
    <w:p>
      <w:pPr>
        <w:spacing w:after="0" w:line="406" w:lineRule="exact"/>
        <w:rPr>
          <w:sz w:val="20"/>
          <w:szCs w:val="20"/>
          <w:color w:val="auto"/>
        </w:rPr>
      </w:pPr>
    </w:p>
    <w:p>
      <w:pPr>
        <w:sectPr>
          <w:pgSz w:w="11900" w:h="16838" w:orient="portrait"/>
          <w:cols w:equalWidth="0" w:num="2">
            <w:col w:w="1846" w:space="360"/>
            <w:col w:w="7879"/>
          </w:cols>
          <w:pgMar w:left="374" w:top="792" w:right="1440" w:bottom="1440" w:gutter="0" w:footer="0" w:header="0"/>
          <w:type w:val="continuous"/>
        </w:sectPr>
      </w:pPr>
    </w:p>
    <w:p>
      <w:pPr>
        <w:spacing w:after="0" w:line="362" w:lineRule="exact"/>
        <w:rPr>
          <w:sz w:val="20"/>
          <w:szCs w:val="20"/>
          <w:color w:val="auto"/>
        </w:rPr>
      </w:pPr>
    </w:p>
    <w:p>
      <w:pPr>
        <w:ind w:left="4566"/>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119380</wp:posOffset>
            </wp:positionV>
            <wp:extent cx="6114415"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85"/>
          </w:cols>
          <w:pgMar w:left="374" w:top="792" w:right="1440"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7200" w:type="dxa"/>
            <w:vAlign w:val="bottom"/>
            <w:gridSpan w:val="16"/>
          </w:tcPr>
          <w:p>
            <w:pPr>
              <w:ind w:left="2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506"/>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40" w:type="dxa"/>
            <w:vAlign w:val="bottom"/>
            <w:gridSpan w:val="9"/>
          </w:tcPr>
          <w:p>
            <w:pPr>
              <w:ind w:left="840"/>
              <w:spacing w:after="0"/>
              <w:rPr>
                <w:sz w:val="20"/>
                <w:szCs w:val="20"/>
                <w:color w:val="auto"/>
              </w:rPr>
            </w:pPr>
            <w:r>
              <w:rPr>
                <w:rFonts w:ascii="Arial" w:cs="Arial" w:eastAsia="Arial" w:hAnsi="Arial"/>
                <w:sz w:val="18"/>
                <w:szCs w:val="18"/>
                <w:b w:val="1"/>
                <w:bCs w:val="1"/>
                <w:color w:val="auto"/>
              </w:rPr>
              <w:t>INDEX TO FINANCIAL STATEMENTS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90"/>
        </w:trPr>
        <w:tc>
          <w:tcPr>
            <w:tcW w:w="7200" w:type="dxa"/>
            <w:vAlign w:val="bottom"/>
            <w:gridSpan w:val="16"/>
          </w:tcPr>
          <w:p>
            <w:pPr>
              <w:ind w:left="20"/>
              <w:spacing w:after="0" w:line="190" w:lineRule="exact"/>
              <w:rPr>
                <w:rFonts w:ascii="Arial" w:cs="Arial" w:eastAsia="Arial" w:hAnsi="Arial"/>
                <w:sz w:val="18"/>
                <w:szCs w:val="18"/>
                <w:color w:val="0000EE"/>
              </w:rPr>
            </w:pPr>
            <w:hyperlink w:anchor="page74">
              <w:r>
                <w:rPr>
                  <w:rFonts w:ascii="Arial" w:cs="Arial" w:eastAsia="Arial" w:hAnsi="Arial"/>
                  <w:sz w:val="18"/>
                  <w:szCs w:val="18"/>
                  <w:color w:val="0000EE"/>
                </w:rPr>
                <w:t>Reports of Independent Registered Public Accounting Firm</w:t>
              </w:r>
            </w:hyperlink>
          </w:p>
        </w:tc>
        <w:tc>
          <w:tcPr>
            <w:tcW w:w="560" w:type="dxa"/>
            <w:vAlign w:val="bottom"/>
          </w:tcPr>
          <w:p>
            <w:pPr>
              <w:spacing w:after="0"/>
              <w:rPr>
                <w:sz w:val="16"/>
                <w:szCs w:val="16"/>
                <w:color w:val="auto"/>
              </w:rPr>
            </w:pPr>
          </w:p>
        </w:tc>
        <w:tc>
          <w:tcPr>
            <w:tcW w:w="460" w:type="dxa"/>
            <w:vAlign w:val="bottom"/>
            <w:gridSpan w:val="3"/>
          </w:tcPr>
          <w:p>
            <w:pPr>
              <w:jc w:val="right"/>
              <w:ind w:right="120"/>
              <w:spacing w:after="0" w:line="190" w:lineRule="exact"/>
              <w:rPr>
                <w:rFonts w:ascii="Arial" w:cs="Arial" w:eastAsia="Arial" w:hAnsi="Arial"/>
                <w:sz w:val="18"/>
                <w:szCs w:val="18"/>
                <w:color w:val="0000EE"/>
              </w:rPr>
            </w:pPr>
            <w:hyperlink w:anchor="page74">
              <w:r>
                <w:rPr>
                  <w:rFonts w:ascii="Arial" w:cs="Arial" w:eastAsia="Arial" w:hAnsi="Arial"/>
                  <w:sz w:val="18"/>
                  <w:szCs w:val="18"/>
                  <w:color w:val="0000EE"/>
                </w:rPr>
                <w:t>F-2</w:t>
              </w:r>
            </w:hyperlink>
          </w:p>
        </w:tc>
        <w:tc>
          <w:tcPr>
            <w:tcW w:w="21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00" w:type="dxa"/>
            <w:vAlign w:val="bottom"/>
            <w:gridSpan w:val="16"/>
            <w:shd w:val="clear" w:color="auto" w:fill="CCFFCC"/>
          </w:tcPr>
          <w:p>
            <w:pPr>
              <w:ind w:left="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Balance Sheets as of December 31, 2013 and December 31, 2012</w:t>
              </w:r>
            </w:hyperlink>
          </w:p>
        </w:tc>
        <w:tc>
          <w:tcPr>
            <w:tcW w:w="560" w:type="dxa"/>
            <w:vAlign w:val="bottom"/>
            <w:shd w:val="clear" w:color="auto" w:fill="CCFFCC"/>
          </w:tcPr>
          <w:p>
            <w:pPr>
              <w:spacing w:after="0"/>
              <w:rPr>
                <w:sz w:val="15"/>
                <w:szCs w:val="15"/>
                <w:color w:val="auto"/>
              </w:rPr>
            </w:pPr>
          </w:p>
        </w:tc>
        <w:tc>
          <w:tcPr>
            <w:tcW w:w="460" w:type="dxa"/>
            <w:vAlign w:val="bottom"/>
            <w:gridSpan w:val="3"/>
            <w:shd w:val="clear" w:color="auto" w:fill="CCFFCC"/>
          </w:tcPr>
          <w:p>
            <w:pPr>
              <w:jc w:val="right"/>
              <w:ind w:right="1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F-4</w:t>
              </w:r>
            </w:hyperlink>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9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w w:val="98"/>
              </w:rPr>
            </w:pPr>
            <w:hyperlink w:anchor="page77">
              <w:r>
                <w:rPr>
                  <w:rFonts w:ascii="Arial" w:cs="Arial" w:eastAsia="Arial" w:hAnsi="Arial"/>
                  <w:sz w:val="18"/>
                  <w:szCs w:val="18"/>
                  <w:color w:val="0000EE"/>
                  <w:w w:val="98"/>
                </w:rPr>
                <w:t>Statements of Operations for the years ended December 31, 2013, December 31, 2012 and</w:t>
              </w:r>
            </w:hyperlink>
          </w:p>
        </w:tc>
        <w:tc>
          <w:tcPr>
            <w:tcW w:w="560" w:type="dxa"/>
            <w:vAlign w:val="bottom"/>
          </w:tcPr>
          <w:p>
            <w:pPr>
              <w:spacing w:after="0"/>
              <w:rPr>
                <w:sz w:val="15"/>
                <w:szCs w:val="15"/>
                <w:color w:val="auto"/>
              </w:rPr>
            </w:pPr>
          </w:p>
        </w:tc>
        <w:tc>
          <w:tcPr>
            <w:tcW w:w="460" w:type="dxa"/>
            <w:vAlign w:val="bottom"/>
            <w:gridSpan w:val="3"/>
          </w:tcPr>
          <w:p>
            <w:pPr>
              <w:jc w:val="right"/>
              <w:ind w:right="12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F-5</w:t>
              </w:r>
            </w:hyperlink>
          </w:p>
        </w:tc>
        <w:tc>
          <w:tcPr>
            <w:tcW w:w="21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0000EE"/>
            </w:tcBorders>
            <w:gridSpan w:val="12"/>
          </w:tcPr>
          <w:p>
            <w:pPr>
              <w:ind w:left="18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December 31, 2011</w:t>
              </w:r>
            </w:hyperlink>
          </w:p>
        </w:tc>
        <w:tc>
          <w:tcPr>
            <w:tcW w:w="6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00" w:type="dxa"/>
            <w:vAlign w:val="bottom"/>
            <w:gridSpan w:val="16"/>
            <w:shd w:val="clear" w:color="auto" w:fill="CCFFCC"/>
          </w:tcPr>
          <w:p>
            <w:pPr>
              <w:ind w:left="20"/>
              <w:spacing w:after="0" w:line="17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Statements of Changes in Net Assets for the years ended December 31, 2013, December 31,</w:t>
              </w:r>
            </w:hyperlink>
          </w:p>
        </w:tc>
        <w:tc>
          <w:tcPr>
            <w:tcW w:w="560" w:type="dxa"/>
            <w:vAlign w:val="bottom"/>
            <w:shd w:val="clear" w:color="auto" w:fill="CCFFCC"/>
          </w:tcPr>
          <w:p>
            <w:pPr>
              <w:spacing w:after="0"/>
              <w:rPr>
                <w:sz w:val="15"/>
                <w:szCs w:val="15"/>
                <w:color w:val="auto"/>
              </w:rPr>
            </w:pPr>
          </w:p>
        </w:tc>
        <w:tc>
          <w:tcPr>
            <w:tcW w:w="460" w:type="dxa"/>
            <w:vAlign w:val="bottom"/>
            <w:gridSpan w:val="3"/>
            <w:shd w:val="clear" w:color="auto" w:fill="CCFFCC"/>
          </w:tcPr>
          <w:p>
            <w:pPr>
              <w:jc w:val="right"/>
              <w:ind w:right="120"/>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F-6</w:t>
              </w:r>
            </w:hyperlink>
          </w:p>
        </w:tc>
        <w:tc>
          <w:tcPr>
            <w:tcW w:w="2180" w:type="dxa"/>
            <w:vAlign w:val="bottom"/>
          </w:tcPr>
          <w:p>
            <w:pPr>
              <w:spacing w:after="0"/>
              <w:rPr>
                <w:sz w:val="15"/>
                <w:szCs w:val="15"/>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6620" w:type="dxa"/>
            <w:vAlign w:val="bottom"/>
            <w:tcBorders>
              <w:top w:val="single" w:sz="8" w:color="0000EE"/>
            </w:tcBorders>
            <w:gridSpan w:val="14"/>
            <w:shd w:val="clear" w:color="auto" w:fill="CCFFCC"/>
          </w:tcPr>
          <w:p>
            <w:pPr>
              <w:ind w:left="18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2012, and December 31, 2011</w:t>
              </w:r>
            </w:hyperlink>
          </w:p>
        </w:tc>
        <w:tc>
          <w:tcPr>
            <w:tcW w:w="560" w:type="dxa"/>
            <w:vAlign w:val="bottom"/>
            <w:tcBorders>
              <w:top w:val="single" w:sz="8" w:color="CCFFCC"/>
            </w:tcBorders>
            <w:shd w:val="clear" w:color="auto" w:fill="CCFFCC"/>
          </w:tcPr>
          <w:p>
            <w:pPr>
              <w:spacing w:after="0"/>
              <w:rPr>
                <w:sz w:val="17"/>
                <w:szCs w:val="17"/>
                <w:color w:val="auto"/>
              </w:rPr>
            </w:pPr>
          </w:p>
        </w:tc>
        <w:tc>
          <w:tcPr>
            <w:tcW w:w="56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0000EE"/>
            </w:tcBorders>
            <w:shd w:val="clear" w:color="auto" w:fill="CCFFCC"/>
          </w:tcPr>
          <w:p>
            <w:pPr>
              <w:spacing w:after="0"/>
              <w:rPr>
                <w:sz w:val="17"/>
                <w:szCs w:val="17"/>
                <w:color w:val="auto"/>
              </w:rPr>
            </w:pPr>
          </w:p>
        </w:tc>
        <w:tc>
          <w:tcPr>
            <w:tcW w:w="120" w:type="dxa"/>
            <w:vAlign w:val="bottom"/>
            <w:tcBorders>
              <w:top w:val="single" w:sz="8" w:color="CCFFCC"/>
            </w:tcBorders>
            <w:shd w:val="clear" w:color="auto" w:fill="CCFFCC"/>
          </w:tcPr>
          <w:p>
            <w:pPr>
              <w:spacing w:after="0"/>
              <w:rPr>
                <w:sz w:val="17"/>
                <w:szCs w:val="17"/>
                <w:color w:val="auto"/>
              </w:rPr>
            </w:pPr>
          </w:p>
        </w:tc>
        <w:tc>
          <w:tcPr>
            <w:tcW w:w="2180" w:type="dxa"/>
            <w:vAlign w:val="bottom"/>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9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Statements of Cash Flows for the years ended December 31, 2013, December 31, 2012, and</w:t>
              </w:r>
            </w:hyperlink>
          </w:p>
        </w:tc>
        <w:tc>
          <w:tcPr>
            <w:tcW w:w="560" w:type="dxa"/>
            <w:vAlign w:val="bottom"/>
          </w:tcPr>
          <w:p>
            <w:pPr>
              <w:spacing w:after="0"/>
              <w:rPr>
                <w:sz w:val="15"/>
                <w:szCs w:val="15"/>
                <w:color w:val="auto"/>
              </w:rPr>
            </w:pPr>
          </w:p>
        </w:tc>
        <w:tc>
          <w:tcPr>
            <w:tcW w:w="460" w:type="dxa"/>
            <w:vAlign w:val="bottom"/>
            <w:gridSpan w:val="3"/>
          </w:tcPr>
          <w:p>
            <w:pPr>
              <w:jc w:val="right"/>
              <w:ind w:right="120"/>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F-7</w:t>
              </w:r>
            </w:hyperlink>
          </w:p>
        </w:tc>
        <w:tc>
          <w:tcPr>
            <w:tcW w:w="21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0000EE"/>
            </w:tcBorders>
            <w:gridSpan w:val="13"/>
          </w:tcPr>
          <w:p>
            <w:pPr>
              <w:ind w:left="18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December 31, 2011</w:t>
              </w:r>
            </w:hyperlink>
          </w:p>
        </w:tc>
        <w:tc>
          <w:tcPr>
            <w:tcW w:w="5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00" w:type="dxa"/>
            <w:vAlign w:val="bottom"/>
            <w:gridSpan w:val="16"/>
            <w:shd w:val="clear" w:color="auto" w:fill="CCFFCC"/>
          </w:tcPr>
          <w:p>
            <w:pPr>
              <w:ind w:left="20"/>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Schedules of Investments as of December 31, 2013 and December 31, 2012</w:t>
              </w:r>
            </w:hyperlink>
          </w:p>
        </w:tc>
        <w:tc>
          <w:tcPr>
            <w:tcW w:w="560" w:type="dxa"/>
            <w:vAlign w:val="bottom"/>
            <w:shd w:val="clear" w:color="auto" w:fill="CCFFCC"/>
          </w:tcPr>
          <w:p>
            <w:pPr>
              <w:spacing w:after="0"/>
              <w:rPr>
                <w:sz w:val="15"/>
                <w:szCs w:val="15"/>
                <w:color w:val="auto"/>
              </w:rPr>
            </w:pPr>
          </w:p>
        </w:tc>
        <w:tc>
          <w:tcPr>
            <w:tcW w:w="460" w:type="dxa"/>
            <w:vAlign w:val="bottom"/>
            <w:gridSpan w:val="3"/>
            <w:shd w:val="clear" w:color="auto" w:fill="CCFFCC"/>
          </w:tcPr>
          <w:p>
            <w:pPr>
              <w:jc w:val="right"/>
              <w:ind w:right="120"/>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F-8</w:t>
              </w:r>
            </w:hyperlink>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194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54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Financial Highlights for the years ended December 31, 2013, December 31, 2012,</w:t>
              </w:r>
            </w:hyperlink>
          </w:p>
        </w:tc>
        <w:tc>
          <w:tcPr>
            <w:tcW w:w="1020" w:type="dxa"/>
            <w:vAlign w:val="bottom"/>
            <w:gridSpan w:val="4"/>
          </w:tcPr>
          <w:p>
            <w:pPr>
              <w:jc w:val="right"/>
              <w:ind w:right="120"/>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F-20</w:t>
              </w:r>
            </w:hyperlink>
          </w:p>
        </w:tc>
        <w:tc>
          <w:tcPr>
            <w:tcW w:w="21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0000EE"/>
            </w:tcBorders>
            <w:gridSpan w:val="11"/>
          </w:tcPr>
          <w:p>
            <w:pPr>
              <w:ind w:left="180"/>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December 31, 2011, December 31, 2010, and December 31, 2009</w:t>
              </w:r>
            </w:hyperlink>
          </w:p>
        </w:tc>
        <w:tc>
          <w:tcPr>
            <w:tcW w:w="12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6"/>
        </w:trPr>
        <w:tc>
          <w:tcPr>
            <w:tcW w:w="7200" w:type="dxa"/>
            <w:vAlign w:val="bottom"/>
            <w:gridSpan w:val="16"/>
            <w:shd w:val="clear" w:color="auto" w:fill="CCFFCC"/>
          </w:tcPr>
          <w:p>
            <w:pPr>
              <w:ind w:left="2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Notes to Financial Statements</w:t>
              </w:r>
            </w:hyperlink>
          </w:p>
        </w:tc>
        <w:tc>
          <w:tcPr>
            <w:tcW w:w="1020" w:type="dxa"/>
            <w:vAlign w:val="bottom"/>
            <w:gridSpan w:val="4"/>
            <w:shd w:val="clear" w:color="auto" w:fill="CCFFCC"/>
          </w:tcPr>
          <w:p>
            <w:pPr>
              <w:jc w:val="right"/>
              <w:ind w:right="12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F-21</w:t>
              </w:r>
            </w:hyperlink>
          </w:p>
        </w:tc>
        <w:tc>
          <w:tcPr>
            <w:tcW w:w="2180" w:type="dxa"/>
            <w:vAlign w:val="bottom"/>
          </w:tcPr>
          <w:p>
            <w:pPr>
              <w:spacing w:after="0"/>
              <w:rPr>
                <w:sz w:val="17"/>
                <w:szCs w:val="17"/>
                <w:color w:val="auto"/>
              </w:rPr>
            </w:pPr>
          </w:p>
        </w:tc>
      </w:tr>
      <w:tr>
        <w:trPr>
          <w:trHeight w:val="770"/>
        </w:trPr>
        <w:tc>
          <w:tcPr>
            <w:tcW w:w="2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940" w:type="dxa"/>
            <w:vAlign w:val="bottom"/>
            <w:tcBorders>
              <w:top w:val="single" w:sz="8" w:color="CCFFCC"/>
            </w:tcBorders>
          </w:tcPr>
          <w:p>
            <w:pPr>
              <w:spacing w:after="0"/>
              <w:rPr>
                <w:sz w:val="24"/>
                <w:szCs w:val="24"/>
                <w:color w:val="auto"/>
              </w:rPr>
            </w:pPr>
          </w:p>
        </w:tc>
        <w:tc>
          <w:tcPr>
            <w:tcW w:w="2900" w:type="dxa"/>
            <w:vAlign w:val="bottom"/>
            <w:tcBorders>
              <w:top w:val="single" w:sz="8" w:color="CCFFCC"/>
            </w:tcBorders>
            <w:gridSpan w:val="8"/>
          </w:tcPr>
          <w:p>
            <w:pPr>
              <w:ind w:left="240"/>
              <w:spacing w:after="0"/>
              <w:rPr>
                <w:sz w:val="20"/>
                <w:szCs w:val="20"/>
                <w:color w:val="auto"/>
              </w:rPr>
            </w:pPr>
            <w:r>
              <w:rPr>
                <w:rFonts w:ascii="Arial" w:cs="Arial" w:eastAsia="Arial" w:hAnsi="Arial"/>
                <w:sz w:val="18"/>
                <w:szCs w:val="18"/>
                <w:color w:val="auto"/>
              </w:rPr>
              <w:t>F-1</w:t>
            </w:r>
          </w:p>
        </w:tc>
        <w:tc>
          <w:tcPr>
            <w:tcW w:w="560" w:type="dxa"/>
            <w:vAlign w:val="bottom"/>
            <w:tcBorders>
              <w:top w:val="single" w:sz="8" w:color="CCFFCC"/>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-2348865</wp:posOffset>
            </wp:positionV>
            <wp:extent cx="52139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789" w:right="11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KCAP Financial, Inc.</w:t>
      </w:r>
    </w:p>
    <w:p>
      <w:pPr>
        <w:spacing w:after="0" w:line="103" w:lineRule="exact"/>
        <w:rPr>
          <w:sz w:val="20"/>
          <w:szCs w:val="20"/>
          <w:color w:val="auto"/>
        </w:rPr>
      </w:pPr>
    </w:p>
    <w:p>
      <w:pPr>
        <w:ind w:left="40" w:right="579"/>
        <w:spacing w:after="0" w:line="297" w:lineRule="auto"/>
        <w:rPr>
          <w:sz w:val="20"/>
          <w:szCs w:val="20"/>
          <w:color w:val="auto"/>
        </w:rPr>
      </w:pPr>
      <w:r>
        <w:rPr>
          <w:rFonts w:ascii="Arial" w:cs="Arial" w:eastAsia="Arial" w:hAnsi="Arial"/>
          <w:sz w:val="16"/>
          <w:szCs w:val="16"/>
          <w:color w:val="auto"/>
        </w:rPr>
        <w:t>We have audited the accompanying balance sheets, including the schedules of investments, of KCAP Financial, Inc. (a Delaware corporation) and subsidiaries (the “Company”) as of December 31, 2013 and 2012, and the related statements of operations, changes in net assets, and cash flows for each of the three years in the period ended December 31, 2013 and financial highlights for each of the five years in the period ended December 31, 2013.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40" w:right="599"/>
        <w:spacing w:after="0" w:line="293"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Our procedures included confirmation of investments owned as of December 31, 2013 and 2012. We believe that our audits provide a reasonable basis for our opinion.</w:t>
      </w:r>
    </w:p>
    <w:p>
      <w:pPr>
        <w:spacing w:after="0" w:line="57" w:lineRule="exact"/>
        <w:rPr>
          <w:sz w:val="20"/>
          <w:szCs w:val="20"/>
          <w:color w:val="auto"/>
        </w:rPr>
      </w:pPr>
    </w:p>
    <w:p>
      <w:pPr>
        <w:ind w:left="40" w:right="599"/>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KCAP Financial, Inc. and subsidiaries as of December 31, 2013 and 2012, and the results of their operations, changes in their net assets, and their cash flows for each of the three years in the period ended December 31, 2013 and the financial highlights for each of the five years in the period ended December 31, 2013 in conformity with accounting principles generally accepted in the United States of America.</w:t>
      </w:r>
    </w:p>
    <w:p>
      <w:pPr>
        <w:spacing w:after="0" w:line="80" w:lineRule="exact"/>
        <w:rPr>
          <w:sz w:val="20"/>
          <w:szCs w:val="20"/>
          <w:color w:val="auto"/>
        </w:rPr>
      </w:pPr>
    </w:p>
    <w:p>
      <w:pPr>
        <w:jc w:val="both"/>
        <w:ind w:left="40" w:right="779"/>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the Company’s internal control over financial reporting as of December 31, 2013, based on criteria established in the 1992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w:t>
      </w:r>
      <w:r>
        <w:rPr>
          <w:rFonts w:ascii="Arial" w:cs="Arial" w:eastAsia="Arial" w:hAnsi="Arial"/>
          <w:sz w:val="17"/>
          <w:szCs w:val="17"/>
          <w:i w:val="1"/>
          <w:iCs w:val="1"/>
          <w:color w:val="auto"/>
        </w:rPr>
        <w:t xml:space="preserve"> </w:t>
      </w:r>
      <w:r>
        <w:rPr>
          <w:rFonts w:ascii="Arial" w:cs="Arial" w:eastAsia="Arial" w:hAnsi="Arial"/>
          <w:sz w:val="17"/>
          <w:szCs w:val="17"/>
          <w:color w:val="auto"/>
        </w:rPr>
        <w:t>and our report dated March 12, 2014 expressed an unqualified opinion.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KCAP Financial, Inc.</w:t>
      </w:r>
    </w:p>
    <w:p>
      <w:pPr>
        <w:spacing w:after="0" w:line="103" w:lineRule="exact"/>
        <w:rPr>
          <w:sz w:val="20"/>
          <w:szCs w:val="20"/>
          <w:color w:val="auto"/>
        </w:rPr>
      </w:pPr>
    </w:p>
    <w:p>
      <w:pPr>
        <w:ind w:left="40" w:right="519"/>
        <w:spacing w:after="0" w:line="293" w:lineRule="auto"/>
        <w:rPr>
          <w:sz w:val="20"/>
          <w:szCs w:val="20"/>
          <w:color w:val="auto"/>
        </w:rPr>
      </w:pPr>
      <w:r>
        <w:rPr>
          <w:rFonts w:ascii="Arial" w:cs="Arial" w:eastAsia="Arial" w:hAnsi="Arial"/>
          <w:sz w:val="16"/>
          <w:szCs w:val="16"/>
          <w:color w:val="auto"/>
        </w:rPr>
        <w:t xml:space="preserve">We have audited the internal control over financial reporting of KCAP Financial, Inc. (a Delaware corporation) and subsidiaries (the “Company”) as of December 31, 2013, based on criteria established in the 1992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57" w:lineRule="exact"/>
        <w:rPr>
          <w:sz w:val="20"/>
          <w:szCs w:val="20"/>
          <w:color w:val="auto"/>
        </w:rPr>
      </w:pPr>
    </w:p>
    <w:p>
      <w:pPr>
        <w:ind w:left="40" w:right="539"/>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40" w:right="519"/>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left="40" w:right="59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ind w:left="40" w:right="599"/>
        <w:spacing w:after="0" w:line="308" w:lineRule="auto"/>
        <w:rPr>
          <w:sz w:val="20"/>
          <w:szCs w:val="20"/>
          <w:color w:val="auto"/>
        </w:rPr>
      </w:pPr>
      <w:r>
        <w:rPr>
          <w:rFonts w:ascii="Arial" w:cs="Arial" w:eastAsia="Arial" w:hAnsi="Arial"/>
          <w:sz w:val="17"/>
          <w:szCs w:val="17"/>
          <w:color w:val="auto"/>
        </w:rPr>
        <w:t xml:space="preserve">In our opinion, the Company maintained, in all material respects, effective internal control over financial reporting as of December 31, 2013, based on criteria established in the 1992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COSO.</w:t>
      </w:r>
    </w:p>
    <w:p>
      <w:pPr>
        <w:spacing w:after="0" w:line="38" w:lineRule="exact"/>
        <w:rPr>
          <w:sz w:val="20"/>
          <w:szCs w:val="20"/>
          <w:color w:val="auto"/>
        </w:rPr>
      </w:pPr>
    </w:p>
    <w:p>
      <w:pPr>
        <w:ind w:left="40" w:right="779"/>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financial statements of the Company as of and for the year ended December 31, 2013, and our report dated March 12, 2014 expressed an unqualified opinion on those financial statements.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As of December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As of December</w:t>
            </w: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91"/>
              <w:spacing w:after="0" w:line="149" w:lineRule="exact"/>
              <w:rPr>
                <w:sz w:val="20"/>
                <w:szCs w:val="20"/>
                <w:color w:val="auto"/>
              </w:rPr>
            </w:pPr>
            <w:r>
              <w:rPr>
                <w:rFonts w:ascii="Arial" w:cs="Arial" w:eastAsia="Arial" w:hAnsi="Arial"/>
                <w:sz w:val="14"/>
                <w:szCs w:val="14"/>
                <w:b w:val="1"/>
                <w:bCs w:val="1"/>
                <w:color w:val="auto"/>
              </w:rPr>
              <w:t>31, 2013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2"/>
                <w:szCs w:val="12"/>
                <w:color w:val="auto"/>
              </w:rPr>
            </w:pPr>
          </w:p>
        </w:tc>
      </w:tr>
      <w:tr>
        <w:trPr>
          <w:trHeight w:val="171"/>
        </w:trPr>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r>
      <w:tr>
        <w:trPr>
          <w:trHeight w:val="21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Time deposit (cost: 2013 – $0; 2012 – $1,942,834)</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1,942,834</w:t>
            </w:r>
          </w:p>
        </w:tc>
      </w:tr>
      <w:tr>
        <w:trPr>
          <w:trHeight w:val="202"/>
        </w:trPr>
        <w:tc>
          <w:tcPr>
            <w:tcW w:w="5760" w:type="dxa"/>
            <w:vAlign w:val="bottom"/>
          </w:tcPr>
          <w:p>
            <w:pPr>
              <w:ind w:left="200"/>
              <w:spacing w:after="0" w:line="201" w:lineRule="exact"/>
              <w:rPr>
                <w:sz w:val="20"/>
                <w:szCs w:val="20"/>
                <w:color w:val="auto"/>
              </w:rPr>
            </w:pPr>
            <w:r>
              <w:rPr>
                <w:rFonts w:ascii="Arial" w:cs="Arial" w:eastAsia="Arial" w:hAnsi="Arial"/>
                <w:sz w:val="18"/>
                <w:szCs w:val="18"/>
                <w:color w:val="auto"/>
              </w:rPr>
              <w:t>Money market accounts</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7,112,949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30,543,824</w:t>
            </w:r>
          </w:p>
        </w:tc>
      </w:tr>
      <w:tr>
        <w:trPr>
          <w:trHeight w:val="230"/>
        </w:trPr>
        <w:tc>
          <w:tcPr>
            <w:tcW w:w="5760" w:type="dxa"/>
            <w:vAlign w:val="bottom"/>
          </w:tcPr>
          <w:p>
            <w:pPr>
              <w:ind w:left="380"/>
              <w:spacing w:after="0"/>
              <w:rPr>
                <w:sz w:val="20"/>
                <w:szCs w:val="20"/>
                <w:color w:val="auto"/>
              </w:rPr>
            </w:pPr>
            <w:r>
              <w:rPr>
                <w:rFonts w:ascii="Arial" w:cs="Arial" w:eastAsia="Arial" w:hAnsi="Arial"/>
                <w:sz w:val="18"/>
                <w:szCs w:val="18"/>
                <w:color w:val="auto"/>
              </w:rPr>
              <w:t>(cost: 2013 – $7,112,949; 2012 – $30,543,824)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7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Debt securities</w:t>
            </w: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87"/>
              </w:rPr>
              <w:t>266,830,427</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93"/>
              </w:rPr>
              <w:t>111,037,882</w:t>
            </w:r>
          </w:p>
        </w:tc>
      </w:tr>
      <w:tr>
        <w:trPr>
          <w:trHeight w:val="230"/>
        </w:trPr>
        <w:tc>
          <w:tcPr>
            <w:tcW w:w="5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(cost: 2013 – $275,213,594; 2012 – $134,377,151)</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02"/>
        </w:trPr>
        <w:tc>
          <w:tcPr>
            <w:tcW w:w="5760" w:type="dxa"/>
            <w:vAlign w:val="bottom"/>
          </w:tcPr>
          <w:p>
            <w:pPr>
              <w:ind w:left="200"/>
              <w:spacing w:after="0" w:line="201" w:lineRule="exact"/>
              <w:rPr>
                <w:sz w:val="20"/>
                <w:szCs w:val="20"/>
                <w:color w:val="auto"/>
              </w:rPr>
            </w:pPr>
            <w:r>
              <w:rPr>
                <w:rFonts w:ascii="Arial" w:cs="Arial" w:eastAsia="Arial" w:hAnsi="Arial"/>
                <w:sz w:val="18"/>
                <w:szCs w:val="18"/>
                <w:color w:val="auto"/>
              </w:rPr>
              <w:t>CLO Fund Securities managed by affiliates</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75,100,306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79,531,583</w:t>
            </w:r>
          </w:p>
        </w:tc>
      </w:tr>
      <w:tr>
        <w:trPr>
          <w:trHeight w:val="230"/>
        </w:trPr>
        <w:tc>
          <w:tcPr>
            <w:tcW w:w="5760" w:type="dxa"/>
            <w:vAlign w:val="bottom"/>
          </w:tcPr>
          <w:p>
            <w:pPr>
              <w:ind w:left="380"/>
              <w:spacing w:after="0"/>
              <w:rPr>
                <w:sz w:val="20"/>
                <w:szCs w:val="20"/>
                <w:color w:val="auto"/>
              </w:rPr>
            </w:pPr>
            <w:r>
              <w:rPr>
                <w:rFonts w:ascii="Arial" w:cs="Arial" w:eastAsia="Arial" w:hAnsi="Arial"/>
                <w:sz w:val="18"/>
                <w:szCs w:val="18"/>
                <w:color w:val="auto"/>
              </w:rPr>
              <w:t>(cost: 2013 – $88,979,585; 2012 – $79,659,387)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7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CLO Fund Securities managed by non-affiliates</w:t>
            </w: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4,351,914</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3,725,924</w:t>
            </w:r>
          </w:p>
        </w:tc>
      </w:tr>
      <w:tr>
        <w:trPr>
          <w:trHeight w:val="230"/>
        </w:trPr>
        <w:tc>
          <w:tcPr>
            <w:tcW w:w="576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(cost: 2013 – $12,717,365; 2012 – $10,487,023)</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r>
        <w:trPr>
          <w:trHeight w:val="202"/>
        </w:trPr>
        <w:tc>
          <w:tcPr>
            <w:tcW w:w="5760" w:type="dxa"/>
            <w:vAlign w:val="bottom"/>
          </w:tcPr>
          <w:p>
            <w:pPr>
              <w:ind w:left="200"/>
              <w:spacing w:after="0" w:line="201" w:lineRule="exact"/>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11,006,398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8,020,716</w:t>
            </w:r>
          </w:p>
        </w:tc>
      </w:tr>
      <w:tr>
        <w:trPr>
          <w:trHeight w:val="230"/>
        </w:trPr>
        <w:tc>
          <w:tcPr>
            <w:tcW w:w="5760" w:type="dxa"/>
            <w:vAlign w:val="bottom"/>
          </w:tcPr>
          <w:p>
            <w:pPr>
              <w:ind w:left="380"/>
              <w:spacing w:after="0"/>
              <w:rPr>
                <w:sz w:val="20"/>
                <w:szCs w:val="20"/>
                <w:color w:val="auto"/>
              </w:rPr>
            </w:pPr>
            <w:r>
              <w:rPr>
                <w:rFonts w:ascii="Arial" w:cs="Arial" w:eastAsia="Arial" w:hAnsi="Arial"/>
                <w:sz w:val="18"/>
                <w:szCs w:val="18"/>
                <w:color w:val="auto"/>
              </w:rPr>
              <w:t>(cost: 2013 – $18,755,684; 2012 – $18,375,588)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576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Asset Manager Affiliates</w:t>
            </w: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97"/>
              </w:rPr>
              <w:t>76,148,000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77,242,000</w:t>
            </w:r>
          </w:p>
        </w:tc>
      </w:tr>
      <w:tr>
        <w:trPr>
          <w:trHeight w:val="230"/>
        </w:trPr>
        <w:tc>
          <w:tcPr>
            <w:tcW w:w="57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(cost: 2013 – $83,378,741; 2012 – $83,161,529)</w:t>
            </w: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r>
      <w:tr>
        <w:trPr>
          <w:trHeight w:val="195"/>
        </w:trPr>
        <w:tc>
          <w:tcPr>
            <w:tcW w:w="5760" w:type="dxa"/>
            <w:vAlign w:val="bottom"/>
          </w:tcPr>
          <w:p>
            <w:pPr>
              <w:ind w:left="20"/>
              <w:spacing w:after="0" w:line="195" w:lineRule="exact"/>
              <w:rPr>
                <w:sz w:val="20"/>
                <w:szCs w:val="20"/>
                <w:color w:val="auto"/>
              </w:rPr>
            </w:pPr>
            <w:r>
              <w:rPr>
                <w:rFonts w:ascii="Arial" w:cs="Arial" w:eastAsia="Arial" w:hAnsi="Arial"/>
                <w:sz w:val="18"/>
                <w:szCs w:val="18"/>
                <w:color w:val="auto"/>
              </w:rPr>
              <w:t>Total Investments at Fair Value</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w w:val="87"/>
              </w:rPr>
              <w:t>440,549,994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w w:val="93"/>
              </w:rPr>
              <w:t>312,044,763</w:t>
            </w:r>
          </w:p>
        </w:tc>
      </w:tr>
      <w:tr>
        <w:trPr>
          <w:trHeight w:val="230"/>
        </w:trPr>
        <w:tc>
          <w:tcPr>
            <w:tcW w:w="5760" w:type="dxa"/>
            <w:vAlign w:val="bottom"/>
          </w:tcPr>
          <w:p>
            <w:pPr>
              <w:ind w:left="200"/>
              <w:spacing w:after="0"/>
              <w:rPr>
                <w:sz w:val="20"/>
                <w:szCs w:val="20"/>
                <w:color w:val="auto"/>
              </w:rPr>
            </w:pPr>
            <w:r>
              <w:rPr>
                <w:rFonts w:ascii="Arial" w:cs="Arial" w:eastAsia="Arial" w:hAnsi="Arial"/>
                <w:sz w:val="18"/>
                <w:szCs w:val="18"/>
                <w:color w:val="auto"/>
              </w:rPr>
              <w:t>(cost: 2013 – $486,157,918; 2012 – $358,547,336)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3,433,675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738,756</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4,078,939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2,032,559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697,349</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3,125,259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2,210,869</w:t>
            </w: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5,951,963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3,568,736</w:t>
            </w:r>
          </w:p>
        </w:tc>
      </w:tr>
      <w:tr>
        <w:trPr>
          <w:trHeight w:val="20"/>
        </w:trPr>
        <w:tc>
          <w:tcPr>
            <w:tcW w:w="5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459,172,388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319,260,473</w:t>
            </w: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49,008,000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60,000,000</w:t>
            </w: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7.375% Notes Due 2019</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41,400,000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41,400,000</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w w:val="95"/>
              </w:rPr>
              <w:t>Notes issued by KCAP Senior Funding I, LLC (net of discount: $3,065,627)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102,184,373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Payable for open trades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3,980,000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3,897,291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2,581,432</w:t>
            </w: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8,333,031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7,403,382</w:t>
            </w:r>
          </w:p>
        </w:tc>
      </w:tr>
      <w:tr>
        <w:trPr>
          <w:trHeight w:val="20"/>
        </w:trPr>
        <w:tc>
          <w:tcPr>
            <w:tcW w:w="5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208,802,695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111,384,814</w:t>
            </w:r>
          </w:p>
        </w:tc>
      </w:tr>
      <w:tr>
        <w:trPr>
          <w:trHeight w:val="21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02"/>
        </w:trPr>
        <w:tc>
          <w:tcPr>
            <w:tcW w:w="5760" w:type="dxa"/>
            <w:vAlign w:val="bottom"/>
          </w:tcPr>
          <w:p>
            <w:pPr>
              <w:ind w:left="20"/>
              <w:spacing w:after="0" w:line="201" w:lineRule="exact"/>
              <w:rPr>
                <w:sz w:val="20"/>
                <w:szCs w:val="20"/>
                <w:color w:val="auto"/>
              </w:rPr>
            </w:pPr>
            <w:r>
              <w:rPr>
                <w:rFonts w:ascii="Arial" w:cs="Arial" w:eastAsia="Arial" w:hAnsi="Arial"/>
                <w:sz w:val="18"/>
                <w:szCs w:val="18"/>
                <w:color w:val="auto"/>
                <w:w w:val="98"/>
              </w:rPr>
              <w:t>Common stock, par value $0.01 per share, 100,000,000 common shares</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333,472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264,382</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authorized; 33,332,123 and 26,470,408 common shares issued and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60" w:type="dxa"/>
            <w:vAlign w:val="bottom"/>
          </w:tcPr>
          <w:p>
            <w:pPr>
              <w:ind w:left="200"/>
              <w:spacing w:after="0"/>
              <w:rPr>
                <w:sz w:val="20"/>
                <w:szCs w:val="20"/>
                <w:color w:val="auto"/>
              </w:rPr>
            </w:pPr>
            <w:r>
              <w:rPr>
                <w:rFonts w:ascii="Arial" w:cs="Arial" w:eastAsia="Arial" w:hAnsi="Arial"/>
                <w:sz w:val="18"/>
                <w:szCs w:val="18"/>
                <w:color w:val="auto"/>
                <w:w w:val="95"/>
              </w:rPr>
              <w:t>outstanding at December 31, 2013 and December 31, 2012, respectively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370,929,615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3"/>
              </w:rPr>
              <w:t>310,566,503</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Accumulated (excess distribution) undistributed net investment income</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(6,102,017)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103,484</w:t>
            </w:r>
          </w:p>
        </w:tc>
      </w:tr>
      <w:tr>
        <w:trPr>
          <w:trHeight w:val="216"/>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Accumulated net realized losses</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2"/>
              </w:rPr>
              <w:t>(68,662,689)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(56,035,375)</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(46,128,688)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(47,023,335)</w:t>
            </w:r>
          </w:p>
        </w:tc>
      </w:tr>
      <w:tr>
        <w:trPr>
          <w:trHeight w:val="20"/>
        </w:trPr>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250,369,693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3"/>
              </w:rPr>
              <w:t>207,875,659</w:t>
            </w:r>
          </w:p>
        </w:tc>
      </w:tr>
      <w:tr>
        <w:trPr>
          <w:trHeight w:val="20"/>
        </w:trPr>
        <w:tc>
          <w:tcPr>
            <w:tcW w:w="5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459,172,388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319,260,473</w:t>
            </w: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7.51</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7.85</w:t>
            </w:r>
          </w:p>
        </w:tc>
      </w:tr>
      <w:tr>
        <w:trPr>
          <w:trHeight w:val="20"/>
        </w:trPr>
        <w:tc>
          <w:tcPr>
            <w:tcW w:w="5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-3858260</wp:posOffset>
            </wp:positionV>
            <wp:extent cx="5213985" cy="2832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-2889250</wp:posOffset>
            </wp:positionV>
            <wp:extent cx="521398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-1748790</wp:posOffset>
            </wp:positionV>
            <wp:extent cx="521398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-351155</wp:posOffset>
            </wp:positionV>
            <wp:extent cx="5213985" cy="180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6" w:name="page77"/>
    <w:bookmarkEnd w:id="7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4"/>
                <w:szCs w:val="14"/>
                <w:b w:val="1"/>
                <w:bCs w:val="1"/>
                <w:color w:val="auto"/>
                <w:w w:val="92"/>
              </w:rPr>
              <w:t>For the Years Ended December 31,</w:t>
            </w:r>
          </w:p>
        </w:tc>
        <w:tc>
          <w:tcPr>
            <w:tcW w:w="0" w:type="dxa"/>
            <w:vAlign w:val="bottom"/>
          </w:tcPr>
          <w:p>
            <w:pPr>
              <w:spacing w:after="0"/>
              <w:rPr>
                <w:sz w:val="1"/>
                <w:szCs w:val="1"/>
                <w:color w:val="auto"/>
              </w:rPr>
            </w:pPr>
          </w:p>
        </w:tc>
      </w:tr>
      <w:tr>
        <w:trPr>
          <w:trHeight w:val="196"/>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Interest from investments in debt securities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13,967,235</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6"/>
              </w:rPr>
              <w:t>12,504,569</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9,438,493</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Interest from cash and time deposits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21,938</w:t>
            </w:r>
          </w:p>
        </w:tc>
        <w:tc>
          <w:tcPr>
            <w:tcW w:w="0" w:type="dxa"/>
            <w:vAlign w:val="bottom"/>
          </w:tcPr>
          <w:p>
            <w:pPr>
              <w:spacing w:after="0"/>
              <w:rPr>
                <w:sz w:val="1"/>
                <w:szCs w:val="1"/>
                <w:color w:val="auto"/>
              </w:rPr>
            </w:pPr>
          </w:p>
        </w:tc>
      </w:tr>
      <w:tr>
        <w:trPr>
          <w:trHeight w:val="202"/>
        </w:trPr>
        <w:tc>
          <w:tcPr>
            <w:tcW w:w="470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Dividends from investments in CLO Fund Securities</w:t>
            </w:r>
          </w:p>
        </w:tc>
        <w:tc>
          <w:tcPr>
            <w:tcW w:w="10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w w:val="95"/>
              </w:rPr>
              <w:t>19,902,348</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86"/>
              </w:rPr>
              <w:t>19,207,401</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95"/>
              </w:rPr>
              <w:t>12,413,797</w:t>
            </w:r>
          </w:p>
        </w:tc>
        <w:tc>
          <w:tcPr>
            <w:tcW w:w="0" w:type="dxa"/>
            <w:vAlign w:val="bottom"/>
          </w:tcPr>
          <w:p>
            <w:pPr>
              <w:spacing w:after="0"/>
              <w:rPr>
                <w:sz w:val="1"/>
                <w:szCs w:val="1"/>
                <w:color w:val="auto"/>
              </w:rPr>
            </w:pPr>
          </w:p>
        </w:tc>
      </w:tr>
      <w:tr>
        <w:trPr>
          <w:trHeight w:val="230"/>
        </w:trPr>
        <w:tc>
          <w:tcPr>
            <w:tcW w:w="47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managed by affiliates</w:t>
            </w:r>
          </w:p>
        </w:tc>
        <w:tc>
          <w:tcPr>
            <w:tcW w:w="10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200"/>
              <w:spacing w:after="0" w:line="201" w:lineRule="exact"/>
              <w:rPr>
                <w:sz w:val="20"/>
                <w:szCs w:val="20"/>
                <w:color w:val="auto"/>
              </w:rPr>
            </w:pPr>
            <w:r>
              <w:rPr>
                <w:rFonts w:ascii="Arial" w:cs="Arial" w:eastAsia="Arial" w:hAnsi="Arial"/>
                <w:sz w:val="18"/>
                <w:szCs w:val="18"/>
                <w:color w:val="auto"/>
              </w:rPr>
              <w:t>Dividends from investments in CLO Fund Securities</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1,320,525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7"/>
              </w:rPr>
              <w:t>1,861,263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1,949,360</w:t>
            </w: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managed by non-affiliates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Dividends from Asset Manager Affiliates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12,750,000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4,700,000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1,910,000</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Capital structuring service fees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305,376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304,882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86,057</w:t>
            </w: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0"/>
        </w:trPr>
        <w:tc>
          <w:tcPr>
            <w:tcW w:w="47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ind w:left="380"/>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48,266,140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38,583,856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27,819,645</w:t>
            </w:r>
          </w:p>
        </w:tc>
        <w:tc>
          <w:tcPr>
            <w:tcW w:w="0" w:type="dxa"/>
            <w:vAlign w:val="bottom"/>
          </w:tcPr>
          <w:p>
            <w:pPr>
              <w:spacing w:after="0"/>
              <w:rPr>
                <w:sz w:val="1"/>
                <w:szCs w:val="1"/>
                <w:color w:val="auto"/>
              </w:rPr>
            </w:pPr>
          </w:p>
        </w:tc>
      </w:tr>
      <w:tr>
        <w:trPr>
          <w:trHeight w:val="210"/>
        </w:trPr>
        <w:tc>
          <w:tcPr>
            <w:tcW w:w="4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Interest and amortization of debt issuance costs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10,116,271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6,976,018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4,588,482</w:t>
            </w: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4,630,481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3,172,814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3,907,900</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2,191,305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2,453,945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2,010,253</w:t>
            </w: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552,568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546,989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493,305</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Administrative and other</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1,819,876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1,343,677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987,381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19,310,501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6"/>
              </w:rPr>
              <w:t>14,493,443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11,987,321</w:t>
            </w:r>
          </w:p>
        </w:tc>
        <w:tc>
          <w:tcPr>
            <w:tcW w:w="0" w:type="dxa"/>
            <w:vAlign w:val="bottom"/>
          </w:tcPr>
          <w:p>
            <w:pPr>
              <w:spacing w:after="0"/>
              <w:rPr>
                <w:sz w:val="1"/>
                <w:szCs w:val="1"/>
                <w:color w:val="auto"/>
              </w:rPr>
            </w:pPr>
          </w:p>
        </w:tc>
      </w:tr>
      <w:tr>
        <w:trPr>
          <w:trHeight w:val="20"/>
        </w:trPr>
        <w:tc>
          <w:tcPr>
            <w:tcW w:w="47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28,955,639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24,090,413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15,832,324</w:t>
            </w: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w w:val="95"/>
              </w:rPr>
              <w:t>Realized And Unrealized Gains (Losses) On Investments:</w:t>
            </w: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Net realized loss from investment transactions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(12,090,503)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(3,232,975)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(18,476,608)</w:t>
            </w: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Debt securities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14,956,103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(3,701,536)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15,864,850</w:t>
            </w: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2,605,586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163,843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(1,724,319)</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CLO Fund Securities managed by affiliates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(13,751,478)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8,316,279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(4,420,194)</w:t>
            </w: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CLO Fund Securities managed by non-affiliates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(1,604,352)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2,884,983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1,058,464</w:t>
            </w:r>
          </w:p>
        </w:tc>
        <w:tc>
          <w:tcPr>
            <w:tcW w:w="0" w:type="dxa"/>
            <w:vAlign w:val="bottom"/>
          </w:tcPr>
          <w:p>
            <w:pPr>
              <w:spacing w:after="0"/>
              <w:rPr>
                <w:sz w:val="1"/>
                <w:szCs w:val="1"/>
                <w:color w:val="auto"/>
              </w:rPr>
            </w:pPr>
          </w:p>
        </w:tc>
      </w:tr>
      <w:tr>
        <w:trPr>
          <w:trHeight w:val="216"/>
        </w:trPr>
        <w:tc>
          <w:tcPr>
            <w:tcW w:w="4700" w:type="dxa"/>
            <w:vAlign w:val="bottom"/>
          </w:tcPr>
          <w:p>
            <w:pPr>
              <w:ind w:left="380"/>
              <w:spacing w:after="0"/>
              <w:rPr>
                <w:sz w:val="20"/>
                <w:szCs w:val="20"/>
                <w:color w:val="auto"/>
              </w:rPr>
            </w:pPr>
            <w:r>
              <w:rPr>
                <w:rFonts w:ascii="Arial" w:cs="Arial" w:eastAsia="Arial" w:hAnsi="Arial"/>
                <w:sz w:val="18"/>
                <w:szCs w:val="18"/>
                <w:color w:val="auto"/>
              </w:rPr>
              <w:t>Asset Manager Affiliates investments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(1,311,212)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(2,395,228)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(484,973)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Total net unrealized gain from investment transactions</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894,647</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5,268,341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10,293,828</w:t>
            </w:r>
          </w:p>
        </w:tc>
        <w:tc>
          <w:tcPr>
            <w:tcW w:w="0" w:type="dxa"/>
            <w:vAlign w:val="bottom"/>
          </w:tcPr>
          <w:p>
            <w:pPr>
              <w:spacing w:after="0"/>
              <w:rPr>
                <w:sz w:val="1"/>
                <w:szCs w:val="1"/>
                <w:color w:val="auto"/>
              </w:rPr>
            </w:pPr>
          </w:p>
        </w:tc>
      </w:tr>
      <w:tr>
        <w:trPr>
          <w:trHeight w:val="20"/>
        </w:trPr>
        <w:tc>
          <w:tcPr>
            <w:tcW w:w="47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00" w:type="dxa"/>
            <w:vAlign w:val="bottom"/>
          </w:tcPr>
          <w:p>
            <w:pPr>
              <w:ind w:left="380"/>
              <w:spacing w:after="0" w:line="195" w:lineRule="exact"/>
              <w:rPr>
                <w:sz w:val="20"/>
                <w:szCs w:val="20"/>
                <w:color w:val="auto"/>
              </w:rPr>
            </w:pPr>
            <w:r>
              <w:rPr>
                <w:rFonts w:ascii="Arial" w:cs="Arial" w:eastAsia="Arial" w:hAnsi="Arial"/>
                <w:sz w:val="18"/>
                <w:szCs w:val="18"/>
                <w:color w:val="auto"/>
                <w:w w:val="98"/>
              </w:rPr>
              <w:t>Net realized and unrealized appreciation (depreciation)</w:t>
            </w:r>
          </w:p>
        </w:tc>
        <w:tc>
          <w:tcPr>
            <w:tcW w:w="100" w:type="dxa"/>
            <w:vAlign w:val="bottom"/>
          </w:tcPr>
          <w:p>
            <w:pPr>
              <w:spacing w:after="0"/>
              <w:rPr>
                <w:sz w:val="16"/>
                <w:szCs w:val="16"/>
                <w:color w:val="auto"/>
              </w:rPr>
            </w:pPr>
          </w:p>
        </w:tc>
        <w:tc>
          <w:tcPr>
            <w:tcW w:w="98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0"/>
              </w:rPr>
              <w:t>(11,195,856)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w w:val="97"/>
              </w:rPr>
              <w:t>2,035,366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99"/>
              </w:rPr>
              <w:t>(8,182,780)</w:t>
            </w:r>
          </w:p>
        </w:tc>
        <w:tc>
          <w:tcPr>
            <w:tcW w:w="0" w:type="dxa"/>
            <w:vAlign w:val="bottom"/>
          </w:tcPr>
          <w:p>
            <w:pPr>
              <w:spacing w:after="0"/>
              <w:rPr>
                <w:sz w:val="1"/>
                <w:szCs w:val="1"/>
                <w:color w:val="auto"/>
              </w:rPr>
            </w:pPr>
          </w:p>
        </w:tc>
      </w:tr>
      <w:tr>
        <w:trPr>
          <w:trHeight w:val="230"/>
        </w:trPr>
        <w:tc>
          <w:tcPr>
            <w:tcW w:w="4700" w:type="dxa"/>
            <w:vAlign w:val="bottom"/>
          </w:tcPr>
          <w:p>
            <w:pPr>
              <w:ind w:left="560"/>
              <w:spacing w:after="0"/>
              <w:rPr>
                <w:sz w:val="20"/>
                <w:szCs w:val="20"/>
                <w:color w:val="auto"/>
              </w:rPr>
            </w:pPr>
            <w:r>
              <w:rPr>
                <w:rFonts w:ascii="Arial" w:cs="Arial" w:eastAsia="Arial" w:hAnsi="Arial"/>
                <w:sz w:val="18"/>
                <w:szCs w:val="18"/>
                <w:color w:val="auto"/>
              </w:rPr>
              <w:t>on investments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(536,811)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Net Increase In Stockholders’ Equity Resulting From</w:t>
            </w:r>
          </w:p>
        </w:tc>
        <w:tc>
          <w:tcPr>
            <w:tcW w:w="1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line="191" w:lineRule="exact"/>
              <w:rPr>
                <w:sz w:val="20"/>
                <w:szCs w:val="20"/>
                <w:color w:val="auto"/>
              </w:rPr>
            </w:pPr>
            <w:r>
              <w:rPr>
                <w:rFonts w:ascii="Arial" w:cs="Arial" w:eastAsia="Arial" w:hAnsi="Arial"/>
                <w:sz w:val="18"/>
                <w:szCs w:val="18"/>
                <w:b w:val="1"/>
                <w:bCs w:val="1"/>
                <w:color w:val="auto"/>
                <w:w w:val="95"/>
              </w:rPr>
              <w:t>17,222,972</w:t>
            </w:r>
          </w:p>
        </w:tc>
        <w:tc>
          <w:tcPr>
            <w:tcW w:w="2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w w:val="86"/>
              </w:rPr>
              <w:t>26,125,779</w:t>
            </w:r>
          </w:p>
        </w:tc>
        <w:tc>
          <w:tcPr>
            <w:tcW w:w="260" w:type="dxa"/>
            <w:vAlign w:val="bottom"/>
            <w:gridSpan w:val="2"/>
          </w:tcPr>
          <w:p>
            <w:pPr>
              <w:jc w:val="right"/>
              <w:ind w:right="20"/>
              <w:spacing w:after="0" w:line="191"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rPr>
              <w:t>7,649,544</w:t>
            </w:r>
          </w:p>
        </w:tc>
        <w:tc>
          <w:tcPr>
            <w:tcW w:w="0" w:type="dxa"/>
            <w:vAlign w:val="bottom"/>
          </w:tcPr>
          <w:p>
            <w:pPr>
              <w:spacing w:after="0"/>
              <w:rPr>
                <w:sz w:val="1"/>
                <w:szCs w:val="1"/>
                <w:color w:val="auto"/>
              </w:rPr>
            </w:pPr>
          </w:p>
        </w:tc>
      </w:tr>
      <w:tr>
        <w:trPr>
          <w:trHeight w:val="234"/>
        </w:trPr>
        <w:tc>
          <w:tcPr>
            <w:tcW w:w="470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700" w:type="dxa"/>
            <w:vAlign w:val="bottom"/>
            <w:shd w:val="clear" w:color="auto" w:fill="CCFFCC"/>
          </w:tcPr>
          <w:p>
            <w:pPr>
              <w:ind w:left="200"/>
              <w:spacing w:after="0" w:line="195" w:lineRule="exact"/>
              <w:rPr>
                <w:sz w:val="20"/>
                <w:szCs w:val="20"/>
                <w:color w:val="auto"/>
              </w:rPr>
            </w:pPr>
            <w:r>
              <w:rPr>
                <w:rFonts w:ascii="Arial" w:cs="Arial" w:eastAsia="Arial" w:hAnsi="Arial"/>
                <w:sz w:val="18"/>
                <w:szCs w:val="18"/>
                <w:color w:val="auto"/>
              </w:rPr>
              <w:t>Net Increase in Stockholders’ Equity Resulting from</w:t>
            </w:r>
          </w:p>
        </w:tc>
        <w:tc>
          <w:tcPr>
            <w:tcW w:w="10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Operations per Common Share:</w:t>
            </w:r>
          </w:p>
        </w:tc>
        <w:tc>
          <w:tcPr>
            <w:tcW w:w="10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0.53</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0.95</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0.90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0.93</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47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2"/>
        </w:trPr>
        <w:tc>
          <w:tcPr>
            <w:tcW w:w="470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4"/>
              </w:rPr>
              <w:t>Weighted Average Shares of Common Stock Outstanding –</w:t>
            </w:r>
          </w:p>
        </w:tc>
        <w:tc>
          <w:tcPr>
            <w:tcW w:w="10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w w:val="95"/>
              </w:rPr>
              <w:t>32,280,160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86"/>
              </w:rPr>
              <w:t>26,011,517</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w w:val="95"/>
              </w:rPr>
              <w:t>22,868,648</w:t>
            </w:r>
          </w:p>
        </w:tc>
        <w:tc>
          <w:tcPr>
            <w:tcW w:w="0" w:type="dxa"/>
            <w:vAlign w:val="bottom"/>
          </w:tcPr>
          <w:p>
            <w:pPr>
              <w:spacing w:after="0"/>
              <w:rPr>
                <w:sz w:val="1"/>
                <w:szCs w:val="1"/>
                <w:color w:val="auto"/>
              </w:rPr>
            </w:pPr>
          </w:p>
        </w:tc>
      </w:tr>
      <w:tr>
        <w:trPr>
          <w:trHeight w:val="230"/>
        </w:trPr>
        <w:tc>
          <w:tcPr>
            <w:tcW w:w="47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200"/>
              <w:spacing w:after="0" w:line="201" w:lineRule="exact"/>
              <w:rPr>
                <w:sz w:val="20"/>
                <w:szCs w:val="20"/>
                <w:color w:val="auto"/>
              </w:rPr>
            </w:pPr>
            <w:r>
              <w:rPr>
                <w:rFonts w:ascii="Arial" w:cs="Arial" w:eastAsia="Arial" w:hAnsi="Arial"/>
                <w:sz w:val="18"/>
                <w:szCs w:val="18"/>
                <w:color w:val="auto"/>
                <w:w w:val="94"/>
              </w:rPr>
              <w:t>Weighted Average Shares of Common Stock Outstanding –</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5"/>
              </w:rPr>
              <w:t>32,295,005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86"/>
              </w:rPr>
              <w:t>33,379,594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5"/>
              </w:rPr>
              <w:t>22,880,674</w:t>
            </w:r>
          </w:p>
        </w:tc>
        <w:tc>
          <w:tcPr>
            <w:tcW w:w="0" w:type="dxa"/>
            <w:vAlign w:val="bottom"/>
          </w:tcPr>
          <w:p>
            <w:pPr>
              <w:spacing w:after="0"/>
              <w:rPr>
                <w:sz w:val="1"/>
                <w:szCs w:val="1"/>
                <w:color w:val="auto"/>
              </w:rPr>
            </w:pPr>
          </w:p>
        </w:tc>
      </w:tr>
      <w:tr>
        <w:trPr>
          <w:trHeight w:val="230"/>
        </w:trPr>
        <w:tc>
          <w:tcPr>
            <w:tcW w:w="47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-4767580</wp:posOffset>
            </wp:positionV>
            <wp:extent cx="5213985"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-3644265</wp:posOffset>
            </wp:positionV>
            <wp:extent cx="521398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-2254885</wp:posOffset>
            </wp:positionV>
            <wp:extent cx="5213985" cy="291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-1826260</wp:posOffset>
            </wp:positionV>
            <wp:extent cx="5213985" cy="3175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31750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7" w:name="page78"/>
    <w:bookmarkEnd w:id="7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w w:val="97"/>
              </w:rPr>
              <w:t>28,955,639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24,090,413</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15,832,324</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Net realized loss from investment transactions</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2"/>
              </w:rPr>
              <w:t>(12,090,503)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(3,232,975)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(18,476,608)</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Realized losses from extinguishments of Debt</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(536,811)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Net change in unrealized gain on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5,268,341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10,293,828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17,222,972</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26,125,779</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7,649,544</w:t>
            </w:r>
          </w:p>
        </w:tc>
        <w:tc>
          <w:tcPr>
            <w:tcW w:w="0" w:type="dxa"/>
            <w:vAlign w:val="bottom"/>
          </w:tcPr>
          <w:p>
            <w:pPr>
              <w:spacing w:after="0"/>
              <w:rPr>
                <w:sz w:val="1"/>
                <w:szCs w:val="1"/>
                <w:color w:val="auto"/>
              </w:rPr>
            </w:pPr>
          </w:p>
        </w:tc>
      </w:tr>
      <w:tr>
        <w:trPr>
          <w:trHeight w:val="210"/>
        </w:trPr>
        <w:tc>
          <w:tcPr>
            <w:tcW w:w="450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Stockholder distributions: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Distributions of net investment income to common</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w w:val="92"/>
              </w:rPr>
              <w:t>(28,955,638)</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w w:val="92"/>
              </w:rPr>
              <w:t>(24,090,413)</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w w:val="92"/>
              </w:rPr>
              <w:t>(15,802,712)</w:t>
            </w:r>
          </w:p>
        </w:tc>
        <w:tc>
          <w:tcPr>
            <w:tcW w:w="0" w:type="dxa"/>
            <w:vAlign w:val="bottom"/>
          </w:tcPr>
          <w:p>
            <w:pPr>
              <w:spacing w:after="0"/>
              <w:rPr>
                <w:sz w:val="1"/>
                <w:szCs w:val="1"/>
                <w:color w:val="auto"/>
              </w:rPr>
            </w:pPr>
          </w:p>
        </w:tc>
      </w:tr>
      <w:tr>
        <w:trPr>
          <w:trHeight w:val="230"/>
        </w:trPr>
        <w:tc>
          <w:tcPr>
            <w:tcW w:w="4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00" w:type="dxa"/>
            <w:vAlign w:val="bottom"/>
          </w:tcPr>
          <w:p>
            <w:pPr>
              <w:ind w:left="20"/>
              <w:spacing w:after="0" w:line="201" w:lineRule="exact"/>
              <w:rPr>
                <w:sz w:val="20"/>
                <w:szCs w:val="20"/>
                <w:color w:val="auto"/>
              </w:rPr>
            </w:pPr>
            <w:r>
              <w:rPr>
                <w:rFonts w:ascii="Arial" w:cs="Arial" w:eastAsia="Arial" w:hAnsi="Arial"/>
                <w:sz w:val="18"/>
                <w:szCs w:val="18"/>
                <w:color w:val="auto"/>
              </w:rPr>
              <w:t>Distributions of net investment income to restricted</w:t>
            </w:r>
          </w:p>
        </w:tc>
        <w:tc>
          <w:tcPr>
            <w:tcW w:w="10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(144,305)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(25,091)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(26,373)</w:t>
            </w:r>
          </w:p>
        </w:tc>
        <w:tc>
          <w:tcPr>
            <w:tcW w:w="0" w:type="dxa"/>
            <w:vAlign w:val="bottom"/>
          </w:tcPr>
          <w:p>
            <w:pPr>
              <w:spacing w:after="0"/>
              <w:rPr>
                <w:sz w:val="1"/>
                <w:szCs w:val="1"/>
                <w:color w:val="auto"/>
              </w:rPr>
            </w:pPr>
          </w:p>
        </w:tc>
      </w:tr>
      <w:tr>
        <w:trPr>
          <w:trHeight w:val="230"/>
        </w:trPr>
        <w:tc>
          <w:tcPr>
            <w:tcW w:w="45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Return of Capital</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(6,061,196)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(693,328)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00" w:type="dxa"/>
            <w:vAlign w:val="bottom"/>
          </w:tcPr>
          <w:p>
            <w:pPr>
              <w:ind w:left="200"/>
              <w:spacing w:after="0" w:line="195" w:lineRule="exact"/>
              <w:rPr>
                <w:sz w:val="20"/>
                <w:szCs w:val="20"/>
                <w:color w:val="auto"/>
              </w:rPr>
            </w:pPr>
            <w:r>
              <w:rPr>
                <w:rFonts w:ascii="Arial" w:cs="Arial" w:eastAsia="Arial" w:hAnsi="Arial"/>
                <w:sz w:val="18"/>
                <w:szCs w:val="18"/>
                <w:color w:val="auto"/>
              </w:rPr>
              <w:t>Net decrease in net assets resulting from stockholder</w:t>
            </w:r>
          </w:p>
        </w:tc>
        <w:tc>
          <w:tcPr>
            <w:tcW w:w="100" w:type="dxa"/>
            <w:vAlign w:val="bottom"/>
          </w:tcPr>
          <w:p>
            <w:pPr>
              <w:spacing w:after="0"/>
              <w:rPr>
                <w:sz w:val="16"/>
                <w:szCs w:val="16"/>
                <w:color w:val="auto"/>
              </w:rPr>
            </w:pPr>
          </w:p>
        </w:tc>
        <w:tc>
          <w:tcPr>
            <w:tcW w:w="100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2"/>
              </w:rPr>
              <w:t>(35,161,139)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92"/>
              </w:rPr>
              <w:t>(24,808,832)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w w:val="92"/>
              </w:rPr>
              <w:t>(15,829,085)</w:t>
            </w:r>
          </w:p>
        </w:tc>
        <w:tc>
          <w:tcPr>
            <w:tcW w:w="0" w:type="dxa"/>
            <w:vAlign w:val="bottom"/>
          </w:tcPr>
          <w:p>
            <w:pPr>
              <w:spacing w:after="0"/>
              <w:rPr>
                <w:sz w:val="1"/>
                <w:szCs w:val="1"/>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distributions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Capital share transactions: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Issuance of common stock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Interest in affiliate company</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25,560,000</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Dividend reinvestment plan</w:t>
            </w:r>
          </w:p>
        </w:tc>
        <w:tc>
          <w:tcPr>
            <w:tcW w:w="100" w:type="dxa"/>
            <w:vAlign w:val="bottom"/>
          </w:tcPr>
          <w:p>
            <w:pPr>
              <w:spacing w:after="0"/>
              <w:rPr>
                <w:sz w:val="18"/>
                <w:szCs w:val="18"/>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rPr>
              <w:t>715,780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556,881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1,006,205</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Conversion of Convertible Notes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8,786,000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50,404,236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Vesting of restricted stock</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(85,082)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772,650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00" w:type="dxa"/>
            <w:vAlign w:val="bottom"/>
            <w:shd w:val="clear" w:color="auto" w:fill="CCFFCC"/>
          </w:tcPr>
          <w:p>
            <w:pPr>
              <w:ind w:left="200"/>
              <w:spacing w:after="0" w:line="195" w:lineRule="exact"/>
              <w:rPr>
                <w:sz w:val="20"/>
                <w:szCs w:val="20"/>
                <w:color w:val="auto"/>
              </w:rPr>
            </w:pPr>
            <w:r>
              <w:rPr>
                <w:rFonts w:ascii="Arial" w:cs="Arial" w:eastAsia="Arial" w:hAnsi="Arial"/>
                <w:sz w:val="18"/>
                <w:szCs w:val="18"/>
                <w:color w:val="auto"/>
                <w:w w:val="99"/>
              </w:rPr>
              <w:t>Net increase in net assets resulting from capital share</w:t>
            </w:r>
          </w:p>
        </w:tc>
        <w:tc>
          <w:tcPr>
            <w:tcW w:w="100" w:type="dxa"/>
            <w:vAlign w:val="bottom"/>
            <w:shd w:val="clear" w:color="auto" w:fill="CCFFCC"/>
          </w:tcPr>
          <w:p>
            <w:pPr>
              <w:spacing w:after="0"/>
              <w:rPr>
                <w:sz w:val="16"/>
                <w:szCs w:val="16"/>
                <w:color w:val="auto"/>
              </w:rPr>
            </w:pPr>
          </w:p>
        </w:tc>
        <w:tc>
          <w:tcPr>
            <w:tcW w:w="90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w w:val="97"/>
              </w:rPr>
              <w:t>60,432,201</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w w:val="97"/>
              </w:rPr>
              <w:t>26,032,770</w:t>
            </w: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1,779,816</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8"/>
                <w:szCs w:val="18"/>
                <w:color w:val="auto"/>
              </w:rPr>
              <w:t>transactions</w:t>
            </w: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Net assets at beginning of period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207,875,659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180,525,942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186,925,667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00" w:type="dxa"/>
            <w:vAlign w:val="bottom"/>
            <w:shd w:val="clear" w:color="auto" w:fill="CCFFCC"/>
          </w:tcPr>
          <w:p>
            <w:pPr>
              <w:ind w:left="20"/>
              <w:spacing w:after="0" w:line="195" w:lineRule="exact"/>
              <w:rPr>
                <w:sz w:val="20"/>
                <w:szCs w:val="20"/>
                <w:color w:val="auto"/>
              </w:rPr>
            </w:pPr>
            <w:r>
              <w:rPr>
                <w:rFonts w:ascii="Arial" w:cs="Arial" w:eastAsia="Arial" w:hAnsi="Arial"/>
                <w:sz w:val="18"/>
                <w:szCs w:val="18"/>
                <w:color w:val="auto"/>
              </w:rPr>
              <w:t>Net assets at end of period (including accumulated</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w w:val="87"/>
              </w:rPr>
              <w:t>250,369,693</w:t>
            </w:r>
          </w:p>
        </w:tc>
        <w:tc>
          <w:tcPr>
            <w:tcW w:w="1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w w:val="87"/>
              </w:rPr>
              <w:t>207,875,659</w:t>
            </w:r>
          </w:p>
        </w:tc>
        <w:tc>
          <w:tcPr>
            <w:tcW w:w="320" w:type="dxa"/>
            <w:vAlign w:val="bottom"/>
            <w:gridSpan w:val="2"/>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w w:val="87"/>
              </w:rPr>
              <w:t>180,525,942</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undistributed net investment income of $0, $103,484,</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5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and $821,904 in 2013, 2012, and 2011, respectively</w:t>
            </w:r>
          </w:p>
        </w:tc>
        <w:tc>
          <w:tcPr>
            <w:tcW w:w="10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Net asset value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
              <w:spacing w:after="0"/>
              <w:rPr>
                <w:sz w:val="20"/>
                <w:szCs w:val="20"/>
                <w:color w:val="auto"/>
              </w:rPr>
            </w:pPr>
            <w:r>
              <w:rPr>
                <w:rFonts w:ascii="Arial" w:cs="Arial" w:eastAsia="Arial" w:hAnsi="Arial"/>
                <w:sz w:val="18"/>
                <w:szCs w:val="18"/>
                <w:color w:val="auto"/>
              </w:rPr>
              <w:t>7.51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Common shares outstanding at end of period</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w w:val="97"/>
              </w:rPr>
              <w:t>33,332,123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26,470,408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22,992,211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-3378200</wp:posOffset>
            </wp:positionV>
            <wp:extent cx="521398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-2546350</wp:posOffset>
            </wp:positionV>
            <wp:extent cx="5213985"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-874395</wp:posOffset>
            </wp:positionV>
            <wp:extent cx="521398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-307975</wp:posOffset>
            </wp:positionV>
            <wp:extent cx="521398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8" w:name="page79"/>
    <w:bookmarkEnd w:id="7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796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96"/>
        </w:trPr>
        <w:tc>
          <w:tcPr>
            <w:tcW w:w="452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Net increase in stockholder’s equity resulting from</w:t>
            </w:r>
          </w:p>
        </w:tc>
        <w:tc>
          <w:tcPr>
            <w:tcW w:w="1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17,222,972</w:t>
            </w:r>
          </w:p>
        </w:tc>
        <w:tc>
          <w:tcPr>
            <w:tcW w:w="20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26,125,779</w:t>
            </w:r>
          </w:p>
        </w:tc>
        <w:tc>
          <w:tcPr>
            <w:tcW w:w="20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7,649,544</w:t>
            </w:r>
          </w:p>
        </w:tc>
        <w:tc>
          <w:tcPr>
            <w:tcW w:w="0" w:type="dxa"/>
            <w:vAlign w:val="bottom"/>
          </w:tcPr>
          <w:p>
            <w:pPr>
              <w:spacing w:after="0"/>
              <w:rPr>
                <w:sz w:val="1"/>
                <w:szCs w:val="1"/>
                <w:color w:val="auto"/>
              </w:rPr>
            </w:pPr>
          </w:p>
        </w:tc>
      </w:tr>
      <w:tr>
        <w:trPr>
          <w:trHeight w:val="230"/>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200"/>
              <w:spacing w:after="0" w:line="201" w:lineRule="exact"/>
              <w:rPr>
                <w:sz w:val="20"/>
                <w:szCs w:val="20"/>
                <w:color w:val="auto"/>
              </w:rPr>
            </w:pPr>
            <w:r>
              <w:rPr>
                <w:rFonts w:ascii="Arial" w:cs="Arial" w:eastAsia="Arial" w:hAnsi="Arial"/>
                <w:sz w:val="18"/>
                <w:szCs w:val="18"/>
                <w:color w:val="auto"/>
              </w:rPr>
              <w:t>Adjustments to reconcile net increase in stockholder’s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color w:val="auto"/>
              </w:rPr>
              <w:t>equity resulting from operations to net cash used in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3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Net realized losses on investment transactions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12,090,503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3,232,975</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18,476,608</w:t>
            </w:r>
          </w:p>
        </w:tc>
        <w:tc>
          <w:tcPr>
            <w:tcW w:w="0" w:type="dxa"/>
            <w:vAlign w:val="bottom"/>
          </w:tcPr>
          <w:p>
            <w:pPr>
              <w:spacing w:after="0"/>
              <w:rPr>
                <w:sz w:val="1"/>
                <w:szCs w:val="1"/>
                <w:color w:val="auto"/>
              </w:rPr>
            </w:pPr>
          </w:p>
        </w:tc>
      </w:tr>
      <w:tr>
        <w:trPr>
          <w:trHeight w:val="202"/>
        </w:trPr>
        <w:tc>
          <w:tcPr>
            <w:tcW w:w="4520" w:type="dxa"/>
            <w:vAlign w:val="bottom"/>
          </w:tcPr>
          <w:p>
            <w:pPr>
              <w:ind w:left="380"/>
              <w:spacing w:after="0" w:line="201" w:lineRule="exact"/>
              <w:rPr>
                <w:sz w:val="20"/>
                <w:szCs w:val="20"/>
                <w:color w:val="auto"/>
              </w:rPr>
            </w:pPr>
            <w:r>
              <w:rPr>
                <w:rFonts w:ascii="Arial" w:cs="Arial" w:eastAsia="Arial" w:hAnsi="Arial"/>
                <w:sz w:val="18"/>
                <w:szCs w:val="18"/>
                <w:color w:val="auto"/>
              </w:rPr>
              <w:t>Net change in unrealized appreciation on</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(894,647)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(5,268,341)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w w:val="97"/>
              </w:rPr>
              <w:t>(10,293,828)</w:t>
            </w:r>
          </w:p>
        </w:tc>
        <w:tc>
          <w:tcPr>
            <w:tcW w:w="0" w:type="dxa"/>
            <w:vAlign w:val="bottom"/>
          </w:tcPr>
          <w:p>
            <w:pPr>
              <w:spacing w:after="0"/>
              <w:rPr>
                <w:sz w:val="1"/>
                <w:szCs w:val="1"/>
                <w:color w:val="auto"/>
              </w:rPr>
            </w:pPr>
          </w:p>
        </w:tc>
      </w:tr>
      <w:tr>
        <w:trPr>
          <w:trHeight w:val="230"/>
        </w:trPr>
        <w:tc>
          <w:tcPr>
            <w:tcW w:w="4520" w:type="dxa"/>
            <w:vAlign w:val="bottom"/>
          </w:tcPr>
          <w:p>
            <w:pPr>
              <w:ind w:left="5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Net accretion of discount on debt securities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(454,995)</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(1,522,934)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(48,910)</w:t>
            </w: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color w:val="auto"/>
                <w:w w:val="93"/>
              </w:rPr>
              <w:t>Amortization of original issue discount on indebtedness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229,848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904,027</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604,809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398,505</w:t>
            </w: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536,811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Capital contribution to Asset Manager Affiliates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(217,212)</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color w:val="auto"/>
              </w:rPr>
              <w:t>Payment-in-kind interest income</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(581,355)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(469,329)</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w w:val="99"/>
              </w:rPr>
              <w:t>Amortization of stock-based compensation expense</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526,138</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(85,082)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772,650</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Purchases of investments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0"/>
              </w:rPr>
              <w:t>(247,994,543)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9"/>
              </w:rPr>
              <w:t>(148,344,654)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9"/>
              </w:rPr>
              <w:t>(115,782,536)</w:t>
            </w: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color w:val="auto"/>
              </w:rPr>
              <w:t>Increase in payable for open trades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3,980,000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w w:val="97"/>
              </w:rPr>
              <w:t>Proceeds from sales and redemptions of investments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107,025,921</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107,817,559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67,194,142</w:t>
            </w: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color w:val="auto"/>
                <w:w w:val="91"/>
              </w:rPr>
              <w:t>(Increase) Decrease in interest and dividends receivable</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(1,335,210)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(174,770)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25,219</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(Increase) in accounts receivable</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(914,434)</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(1,351,713)</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color w:val="auto"/>
              </w:rPr>
              <w:t>Decrease in time deposit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1,942,834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(Increase) Decrease in other assets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54,561</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(311,922)</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(72,137)</w:t>
            </w:r>
          </w:p>
        </w:tc>
        <w:tc>
          <w:tcPr>
            <w:tcW w:w="0" w:type="dxa"/>
            <w:vAlign w:val="bottom"/>
          </w:tcPr>
          <w:p>
            <w:pPr>
              <w:spacing w:after="0"/>
              <w:rPr>
                <w:sz w:val="1"/>
                <w:szCs w:val="1"/>
                <w:color w:val="auto"/>
              </w:rPr>
            </w:pPr>
          </w:p>
        </w:tc>
      </w:tr>
      <w:tr>
        <w:trPr>
          <w:trHeight w:val="216"/>
        </w:trPr>
        <w:tc>
          <w:tcPr>
            <w:tcW w:w="4520" w:type="dxa"/>
            <w:vAlign w:val="bottom"/>
          </w:tcPr>
          <w:p>
            <w:pPr>
              <w:ind w:left="380"/>
              <w:spacing w:after="0"/>
              <w:rPr>
                <w:sz w:val="20"/>
                <w:szCs w:val="20"/>
                <w:color w:val="auto"/>
              </w:rPr>
            </w:pPr>
            <w:r>
              <w:rPr>
                <w:rFonts w:ascii="Arial" w:cs="Arial" w:eastAsia="Arial" w:hAnsi="Arial"/>
                <w:sz w:val="18"/>
                <w:szCs w:val="18"/>
                <w:color w:val="auto"/>
              </w:rPr>
              <w:t>(Decrease) Increase in due from affiliates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02"/>
        </w:trPr>
        <w:tc>
          <w:tcPr>
            <w:tcW w:w="4520" w:type="dxa"/>
            <w:vAlign w:val="bottom"/>
            <w:shd w:val="clear" w:color="auto" w:fill="CCFFCC"/>
          </w:tcPr>
          <w:p>
            <w:pPr>
              <w:ind w:left="380"/>
              <w:spacing w:after="0" w:line="201" w:lineRule="exact"/>
              <w:rPr>
                <w:sz w:val="20"/>
                <w:szCs w:val="20"/>
                <w:color w:val="auto"/>
              </w:rPr>
            </w:pPr>
            <w:r>
              <w:rPr>
                <w:rFonts w:ascii="Arial" w:cs="Arial" w:eastAsia="Arial" w:hAnsi="Arial"/>
                <w:sz w:val="18"/>
                <w:szCs w:val="18"/>
                <w:color w:val="auto"/>
                <w:w w:val="95"/>
              </w:rPr>
              <w:t>Increase (Decrease) in accounts payable and accrued</w:t>
            </w:r>
          </w:p>
        </w:tc>
        <w:tc>
          <w:tcPr>
            <w:tcW w:w="10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1,315,858</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(946,250)</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1,189,915</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FFCC"/>
            </w:tcBorders>
            <w:shd w:val="clear" w:color="auto" w:fill="CCFFCC"/>
          </w:tcPr>
          <w:p>
            <w:pPr>
              <w:ind w:left="560"/>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(105,984,659)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(20,802,382)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(30,971,809)</w:t>
            </w:r>
          </w:p>
        </w:tc>
        <w:tc>
          <w:tcPr>
            <w:tcW w:w="0" w:type="dxa"/>
            <w:vAlign w:val="bottom"/>
          </w:tcPr>
          <w:p>
            <w:pPr>
              <w:spacing w:after="0"/>
              <w:rPr>
                <w:sz w:val="1"/>
                <w:szCs w:val="1"/>
                <w:color w:val="auto"/>
              </w:rPr>
            </w:pPr>
          </w:p>
        </w:tc>
      </w:tr>
      <w:tr>
        <w:trPr>
          <w:trHeight w:val="210"/>
        </w:trPr>
        <w:tc>
          <w:tcPr>
            <w:tcW w:w="4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50,404,236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(3,878,583)</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(1,486,476)</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(2,370,454)</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Cash distributions to stockholders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(33,515,661)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(20,927,645)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(14,554,554)</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Proceeds from issuance of debt, net of discount</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101,954,525</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30,000,000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Repurchase of Convertible Notes</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(2,206,000)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Repayment of debt</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7"/>
              </w:rPr>
              <w:t>(30,000,000)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7"/>
              </w:rPr>
              <w:t>(86,746,582)</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Issuance of Convertible Notes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Issuance of 7.375% Notes Due 2019</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41,400,000</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(Increase) Decrease in restricted cash</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(4,078,939)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67,023,170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shd w:val="clear" w:color="auto" w:fill="CCFFCC"/>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108,679,578</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18,985,879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23,351,580</w:t>
            </w:r>
          </w:p>
        </w:tc>
        <w:tc>
          <w:tcPr>
            <w:tcW w:w="0" w:type="dxa"/>
            <w:vAlign w:val="bottom"/>
          </w:tcPr>
          <w:p>
            <w:pPr>
              <w:spacing w:after="0"/>
              <w:rPr>
                <w:sz w:val="1"/>
                <w:szCs w:val="1"/>
                <w:color w:val="auto"/>
              </w:rPr>
            </w:pPr>
          </w:p>
        </w:tc>
      </w:tr>
      <w:tr>
        <w:trPr>
          <w:trHeight w:val="20"/>
        </w:trPr>
        <w:tc>
          <w:tcPr>
            <w:tcW w:w="45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2,694,919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(1,816,503)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(7,620,229)</w:t>
            </w:r>
          </w:p>
        </w:tc>
        <w:tc>
          <w:tcPr>
            <w:tcW w:w="0" w:type="dxa"/>
            <w:vAlign w:val="bottom"/>
          </w:tcPr>
          <w:p>
            <w:pPr>
              <w:spacing w:after="0"/>
              <w:rPr>
                <w:sz w:val="1"/>
                <w:szCs w:val="1"/>
                <w:color w:val="auto"/>
              </w:rPr>
            </w:pPr>
          </w:p>
        </w:tc>
      </w:tr>
      <w:tr>
        <w:trPr>
          <w:trHeight w:val="216"/>
        </w:trPr>
        <w:tc>
          <w:tcPr>
            <w:tcW w:w="4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738,756</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2,555,259</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10,175,488</w:t>
            </w:r>
          </w:p>
        </w:tc>
        <w:tc>
          <w:tcPr>
            <w:tcW w:w="0" w:type="dxa"/>
            <w:vAlign w:val="bottom"/>
          </w:tcPr>
          <w:p>
            <w:pPr>
              <w:spacing w:after="0"/>
              <w:rPr>
                <w:sz w:val="1"/>
                <w:szCs w:val="1"/>
                <w:color w:val="auto"/>
              </w:rPr>
            </w:pPr>
          </w:p>
        </w:tc>
      </w:tr>
      <w:tr>
        <w:trPr>
          <w:trHeight w:val="20"/>
        </w:trPr>
        <w:tc>
          <w:tcPr>
            <w:tcW w:w="45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3,433,675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738,756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2,555,259</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Supplemental Information:</w:t>
            </w: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8,884,945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6,374,134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2,745,968</w:t>
            </w:r>
          </w:p>
        </w:tc>
        <w:tc>
          <w:tcPr>
            <w:tcW w:w="0" w:type="dxa"/>
            <w:vAlign w:val="bottom"/>
          </w:tcPr>
          <w:p>
            <w:pPr>
              <w:spacing w:after="0"/>
              <w:rPr>
                <w:sz w:val="1"/>
                <w:szCs w:val="1"/>
                <w:color w:val="auto"/>
              </w:rPr>
            </w:pPr>
          </w:p>
        </w:tc>
      </w:tr>
      <w:tr>
        <w:trPr>
          <w:trHeight w:val="202"/>
        </w:trPr>
        <w:tc>
          <w:tcPr>
            <w:tcW w:w="452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rPr>
              <w:t>Dividends paid during the period under the dividend</w:t>
            </w:r>
          </w:p>
        </w:tc>
        <w:tc>
          <w:tcPr>
            <w:tcW w:w="1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715,768</w:t>
            </w:r>
          </w:p>
        </w:tc>
        <w:tc>
          <w:tcPr>
            <w:tcW w:w="20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557,852</w:t>
            </w:r>
          </w:p>
        </w:tc>
        <w:tc>
          <w:tcPr>
            <w:tcW w:w="20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1,007,164</w:t>
            </w:r>
          </w:p>
        </w:tc>
        <w:tc>
          <w:tcPr>
            <w:tcW w:w="0" w:type="dxa"/>
            <w:vAlign w:val="bottom"/>
          </w:tcPr>
          <w:p>
            <w:pPr>
              <w:spacing w:after="0"/>
              <w:rPr>
                <w:sz w:val="1"/>
                <w:szCs w:val="1"/>
                <w:color w:val="auto"/>
              </w:rPr>
            </w:pPr>
          </w:p>
        </w:tc>
      </w:tr>
      <w:tr>
        <w:trPr>
          <w:trHeight w:val="230"/>
        </w:trPr>
        <w:tc>
          <w:tcPr>
            <w:tcW w:w="45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reinvestment plan</w:t>
            </w: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200"/>
              <w:spacing w:after="0" w:line="201" w:lineRule="exact"/>
              <w:rPr>
                <w:sz w:val="20"/>
                <w:szCs w:val="20"/>
                <w:color w:val="auto"/>
              </w:rPr>
            </w:pPr>
            <w:r>
              <w:rPr>
                <w:rFonts w:ascii="Arial" w:cs="Arial" w:eastAsia="Arial" w:hAnsi="Arial"/>
                <w:sz w:val="18"/>
                <w:szCs w:val="18"/>
                <w:color w:val="auto"/>
                <w:w w:val="95"/>
              </w:rPr>
              <w:t>Issuance of common stock in connection with acquisition</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25,560,000</w:t>
            </w:r>
          </w:p>
        </w:tc>
        <w:tc>
          <w:tcPr>
            <w:tcW w:w="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380"/>
              <w:spacing w:after="0"/>
              <w:rPr>
                <w:sz w:val="20"/>
                <w:szCs w:val="20"/>
                <w:color w:val="auto"/>
              </w:rPr>
            </w:pPr>
            <w:r>
              <w:rPr>
                <w:rFonts w:ascii="Arial" w:cs="Arial" w:eastAsia="Arial" w:hAnsi="Arial"/>
                <w:sz w:val="18"/>
                <w:szCs w:val="18"/>
                <w:color w:val="auto"/>
              </w:rPr>
              <w:t>of Asset Manager Affiliate</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-1285875</wp:posOffset>
            </wp:positionV>
            <wp:extent cx="521398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-1002665</wp:posOffset>
            </wp:positionV>
            <wp:extent cx="5213985"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79" w:name="page80"/>
    <w:bookmarkEnd w:id="7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 of December 31, 2013</w:t>
      </w:r>
    </w:p>
    <w:p>
      <w:pPr>
        <w:sectPr>
          <w:pgSz w:w="11900" w:h="16838" w:orient="portrait"/>
          <w:cols w:equalWidth="0" w:num="1">
            <w:col w:w="10099"/>
          </w:cols>
          <w:pgMar w:left="360" w:top="792" w:right="1440" w:bottom="1440" w:gutter="0" w:footer="0" w:header="0"/>
        </w:sectPr>
      </w:pP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15093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ind w:left="20"/>
        <w:spacing w:after="0" w:line="221" w:lineRule="auto"/>
        <w:rPr>
          <w:sz w:val="20"/>
          <w:szCs w:val="20"/>
          <w:color w:val="auto"/>
        </w:rPr>
      </w:pPr>
      <w:r>
        <w:rPr>
          <w:rFonts w:ascii="Arial" w:cs="Arial" w:eastAsia="Arial" w:hAnsi="Arial"/>
          <w:sz w:val="14"/>
          <w:szCs w:val="14"/>
          <w:b w:val="1"/>
          <w:bCs w:val="1"/>
          <w:color w:val="auto"/>
        </w:rPr>
        <w:t>Portfolio Company/</w:t>
      </w:r>
    </w:p>
    <w:p>
      <w:pPr>
        <w:ind w:left="20"/>
        <w:spacing w:after="0"/>
        <w:rPr>
          <w:sz w:val="20"/>
          <w:szCs w:val="20"/>
          <w:color w:val="auto"/>
        </w:rPr>
      </w:pPr>
      <w:r>
        <w:rPr>
          <w:rFonts w:ascii="Arial" w:cs="Arial" w:eastAsia="Arial" w:hAnsi="Arial"/>
          <w:sz w:val="14"/>
          <w:szCs w:val="14"/>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15862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20"/>
        <w:spacing w:after="0" w:line="237" w:lineRule="auto"/>
        <w:rPr>
          <w:sz w:val="20"/>
          <w:szCs w:val="20"/>
          <w:color w:val="auto"/>
        </w:rPr>
      </w:pPr>
      <w:r>
        <w:rPr>
          <w:rFonts w:ascii="Arial" w:cs="Arial" w:eastAsia="Arial" w:hAnsi="Arial"/>
          <w:sz w:val="13"/>
          <w:szCs w:val="13"/>
          <w:color w:val="auto"/>
        </w:rPr>
        <w:t>Advanced Lighting Technologies, Inc.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2"/>
          <w:szCs w:val="12"/>
          <w:color w:val="auto"/>
        </w:rPr>
        <w:t>(11)</w:t>
      </w:r>
    </w:p>
    <w:p>
      <w:pPr>
        <w:spacing w:after="0" w:line="5" w:lineRule="exact"/>
        <w:rPr>
          <w:sz w:val="20"/>
          <w:szCs w:val="20"/>
          <w:color w:val="auto"/>
        </w:rPr>
      </w:pPr>
    </w:p>
    <w:p>
      <w:pPr>
        <w:ind w:left="20" w:right="500" w:firstLine="180"/>
        <w:spacing w:after="0" w:line="253" w:lineRule="auto"/>
        <w:rPr>
          <w:sz w:val="20"/>
          <w:szCs w:val="20"/>
          <w:color w:val="auto"/>
        </w:rPr>
      </w:pPr>
      <w:r>
        <w:rPr>
          <w:rFonts w:ascii="Arial" w:cs="Arial" w:eastAsia="Arial" w:hAnsi="Arial"/>
          <w:sz w:val="13"/>
          <w:szCs w:val="13"/>
          <w:i w:val="1"/>
          <w:iCs w:val="1"/>
          <w:color w:val="auto"/>
        </w:rPr>
        <w:t xml:space="preserve">Consumer goods: Non-durable </w:t>
      </w:r>
      <w:r>
        <w:rPr>
          <w:rFonts w:ascii="Arial" w:cs="Arial" w:eastAsia="Arial" w:hAnsi="Arial"/>
          <w:sz w:val="13"/>
          <w:szCs w:val="13"/>
          <w:color w:val="auto"/>
        </w:rPr>
        <w:t>Advantage Sales &amp; Marketing</w:t>
      </w:r>
    </w:p>
    <w:p>
      <w:pPr>
        <w:ind w:left="200"/>
        <w:spacing w:after="0" w:line="181" w:lineRule="auto"/>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(9)</w:t>
      </w:r>
    </w:p>
    <w:p>
      <w:pPr>
        <w:ind w:left="200"/>
        <w:spacing w:after="0" w:line="221" w:lineRule="auto"/>
        <w:rPr>
          <w:sz w:val="20"/>
          <w:szCs w:val="20"/>
          <w:color w:val="auto"/>
        </w:rPr>
      </w:pPr>
      <w:r>
        <w:rPr>
          <w:rFonts w:ascii="Arial" w:cs="Arial" w:eastAsia="Arial" w:hAnsi="Arial"/>
          <w:sz w:val="14"/>
          <w:szCs w:val="14"/>
          <w:i w:val="1"/>
          <w:iCs w:val="1"/>
          <w:color w:val="auto"/>
        </w:rPr>
        <w:t>Services: Business</w:t>
      </w:r>
    </w:p>
    <w:p>
      <w:pPr>
        <w:ind w:left="20"/>
        <w:spacing w:after="0" w:line="233" w:lineRule="auto"/>
        <w:rPr>
          <w:sz w:val="20"/>
          <w:szCs w:val="20"/>
          <w:color w:val="auto"/>
        </w:rPr>
      </w:pPr>
      <w:r>
        <w:rPr>
          <w:rFonts w:ascii="Arial" w:cs="Arial" w:eastAsia="Arial" w:hAnsi="Arial"/>
          <w:sz w:val="14"/>
          <w:szCs w:val="14"/>
          <w:color w:val="auto"/>
        </w:rPr>
        <w:t>Alaska Communications Systems</w:t>
      </w:r>
    </w:p>
    <w:p>
      <w:pPr>
        <w:ind w:left="200"/>
        <w:spacing w:after="0" w:line="180" w:lineRule="auto"/>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(9), (11)</w:t>
      </w:r>
    </w:p>
    <w:p>
      <w:pPr>
        <w:ind w:left="200"/>
        <w:spacing w:after="0" w:line="234" w:lineRule="auto"/>
        <w:rPr>
          <w:sz w:val="20"/>
          <w:szCs w:val="20"/>
          <w:color w:val="auto"/>
        </w:rPr>
      </w:pPr>
      <w:r>
        <w:rPr>
          <w:rFonts w:ascii="Arial" w:cs="Arial" w:eastAsia="Arial" w:hAnsi="Arial"/>
          <w:sz w:val="14"/>
          <w:szCs w:val="14"/>
          <w:i w:val="1"/>
          <w:iCs w:val="1"/>
          <w:color w:val="auto"/>
        </w:rPr>
        <w:t>Telecommunications</w:t>
      </w:r>
    </w:p>
    <w:p>
      <w:pPr>
        <w:ind w:left="20"/>
        <w:spacing w:after="0" w:line="180" w:lineRule="auto"/>
        <w:rPr>
          <w:sz w:val="20"/>
          <w:szCs w:val="20"/>
          <w:color w:val="auto"/>
        </w:rPr>
      </w:pPr>
      <w:r>
        <w:rPr>
          <w:rFonts w:ascii="Arial" w:cs="Arial" w:eastAsia="Arial" w:hAnsi="Arial"/>
          <w:sz w:val="13"/>
          <w:szCs w:val="13"/>
          <w:color w:val="auto"/>
        </w:rPr>
        <w:t>Apria Healthcare Group Inc.</w:t>
      </w:r>
      <w:r>
        <w:rPr>
          <w:rFonts w:ascii="Arial" w:cs="Arial" w:eastAsia="Arial" w:hAnsi="Arial"/>
          <w:sz w:val="21"/>
          <w:szCs w:val="21"/>
          <w:color w:val="auto"/>
          <w:vertAlign w:val="superscript"/>
        </w:rPr>
        <w:t>(9), (11)</w:t>
      </w:r>
    </w:p>
    <w:p>
      <w:pPr>
        <w:ind w:left="200"/>
        <w:spacing w:after="0" w:line="221" w:lineRule="auto"/>
        <w:rPr>
          <w:sz w:val="20"/>
          <w:szCs w:val="20"/>
          <w:color w:val="auto"/>
        </w:rPr>
      </w:pPr>
      <w:r>
        <w:rPr>
          <w:rFonts w:ascii="Arial" w:cs="Arial" w:eastAsia="Arial" w:hAnsi="Arial"/>
          <w:sz w:val="14"/>
          <w:szCs w:val="14"/>
          <w:i w:val="1"/>
          <w:iCs w:val="1"/>
          <w:color w:val="auto"/>
        </w:rPr>
        <w:t>Healthcare &amp; Pharmaceuticals</w:t>
      </w:r>
    </w:p>
    <w:p>
      <w:pPr>
        <w:ind w:left="20"/>
        <w:spacing w:after="0" w:line="222" w:lineRule="auto"/>
        <w:rPr>
          <w:sz w:val="20"/>
          <w:szCs w:val="20"/>
          <w:color w:val="auto"/>
        </w:rPr>
      </w:pPr>
      <w:r>
        <w:rPr>
          <w:rFonts w:ascii="Arial" w:cs="Arial" w:eastAsia="Arial" w:hAnsi="Arial"/>
          <w:sz w:val="14"/>
          <w:szCs w:val="14"/>
          <w:color w:val="auto"/>
        </w:rPr>
        <w:t>Aramark Corporation</w:t>
      </w:r>
    </w:p>
    <w:p>
      <w:pPr>
        <w:ind w:left="200"/>
        <w:spacing w:after="0" w:line="233" w:lineRule="auto"/>
        <w:rPr>
          <w:sz w:val="20"/>
          <w:szCs w:val="20"/>
          <w:color w:val="auto"/>
        </w:rPr>
      </w:pPr>
      <w:r>
        <w:rPr>
          <w:rFonts w:ascii="Arial" w:cs="Arial" w:eastAsia="Arial" w:hAnsi="Arial"/>
          <w:sz w:val="14"/>
          <w:szCs w:val="14"/>
          <w:i w:val="1"/>
          <w:iCs w:val="1"/>
          <w:color w:val="auto"/>
        </w:rPr>
        <w:t>Beverage, Food and Tobacco</w:t>
      </w:r>
    </w:p>
    <w:p>
      <w:pPr>
        <w:ind w:left="20"/>
        <w:spacing w:after="0" w:line="180" w:lineRule="auto"/>
        <w:rPr>
          <w:sz w:val="20"/>
          <w:szCs w:val="20"/>
          <w:color w:val="auto"/>
        </w:rPr>
      </w:pPr>
      <w:r>
        <w:rPr>
          <w:rFonts w:ascii="Arial" w:cs="Arial" w:eastAsia="Arial" w:hAnsi="Arial"/>
          <w:sz w:val="13"/>
          <w:szCs w:val="13"/>
          <w:color w:val="auto"/>
        </w:rPr>
        <w:t>Aramark Corporation</w:t>
      </w:r>
      <w:r>
        <w:rPr>
          <w:rFonts w:ascii="Arial" w:cs="Arial" w:eastAsia="Arial" w:hAnsi="Arial"/>
          <w:sz w:val="21"/>
          <w:szCs w:val="21"/>
          <w:color w:val="auto"/>
          <w:vertAlign w:val="superscript"/>
        </w:rPr>
        <w:t>(11)</w:t>
      </w:r>
    </w:p>
    <w:p>
      <w:pPr>
        <w:ind w:left="200"/>
        <w:spacing w:after="0" w:line="233" w:lineRule="auto"/>
        <w:rPr>
          <w:sz w:val="20"/>
          <w:szCs w:val="20"/>
          <w:color w:val="auto"/>
        </w:rPr>
      </w:pPr>
      <w:r>
        <w:rPr>
          <w:rFonts w:ascii="Arial" w:cs="Arial" w:eastAsia="Arial" w:hAnsi="Arial"/>
          <w:sz w:val="14"/>
          <w:szCs w:val="14"/>
          <w:i w:val="1"/>
          <w:iCs w:val="1"/>
          <w:color w:val="auto"/>
        </w:rPr>
        <w:t>Beverage, Food and Tobacco</w:t>
      </w:r>
    </w:p>
    <w:p>
      <w:pPr>
        <w:ind w:left="20"/>
        <w:spacing w:after="0" w:line="180" w:lineRule="auto"/>
        <w:rPr>
          <w:sz w:val="20"/>
          <w:szCs w:val="20"/>
          <w:color w:val="auto"/>
        </w:rPr>
      </w:pPr>
      <w:r>
        <w:rPr>
          <w:rFonts w:ascii="Arial" w:cs="Arial" w:eastAsia="Arial" w:hAnsi="Arial"/>
          <w:sz w:val="13"/>
          <w:szCs w:val="13"/>
          <w:color w:val="auto"/>
        </w:rPr>
        <w:t>Aramark Corporation</w:t>
      </w:r>
      <w:r>
        <w:rPr>
          <w:rFonts w:ascii="Arial" w:cs="Arial" w:eastAsia="Arial" w:hAnsi="Arial"/>
          <w:sz w:val="21"/>
          <w:szCs w:val="21"/>
          <w:color w:val="auto"/>
          <w:vertAlign w:val="superscript"/>
        </w:rPr>
        <w:t>(11)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(11)</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ARSloane Acquisition, LLC</w:t>
      </w:r>
      <w:r>
        <w:rPr>
          <w:rFonts w:ascii="Arial" w:cs="Arial" w:eastAsia="Arial" w:hAnsi="Arial"/>
          <w:sz w:val="23"/>
          <w:szCs w:val="23"/>
          <w:color w:val="auto"/>
          <w:vertAlign w:val="superscript"/>
        </w:rPr>
        <w:t>(9), (11)</w:t>
      </w:r>
    </w:p>
    <w:p>
      <w:pPr>
        <w:ind w:left="200"/>
        <w:spacing w:after="0"/>
        <w:rPr>
          <w:sz w:val="20"/>
          <w:szCs w:val="20"/>
          <w:color w:val="auto"/>
        </w:rPr>
      </w:pPr>
      <w:r>
        <w:rPr>
          <w:rFonts w:ascii="Arial" w:cs="Arial" w:eastAsia="Arial" w:hAnsi="Arial"/>
          <w:sz w:val="14"/>
          <w:szCs w:val="14"/>
          <w:i w:val="1"/>
          <w:iCs w:val="1"/>
          <w:color w:val="auto"/>
        </w:rPr>
        <w:t>Services: Business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Asurion, LLC (fka Asurion Corporation)</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(9), (11)</w:t>
      </w:r>
    </w:p>
    <w:p>
      <w:pPr>
        <w:spacing w:after="0" w:line="31" w:lineRule="exact"/>
        <w:rPr>
          <w:sz w:val="20"/>
          <w:szCs w:val="20"/>
          <w:color w:val="auto"/>
        </w:rPr>
      </w:pPr>
    </w:p>
    <w:p>
      <w:pPr>
        <w:ind w:left="200" w:right="160"/>
        <w:spacing w:after="0" w:line="236" w:lineRule="auto"/>
        <w:rPr>
          <w:sz w:val="20"/>
          <w:szCs w:val="20"/>
          <w:color w:val="auto"/>
        </w:rPr>
      </w:pPr>
      <w:r>
        <w:rPr>
          <w:rFonts w:ascii="Arial" w:cs="Arial" w:eastAsia="Arial" w:hAnsi="Arial"/>
          <w:sz w:val="14"/>
          <w:szCs w:val="14"/>
          <w:i w:val="1"/>
          <w:iCs w:val="1"/>
          <w:color w:val="auto"/>
        </w:rPr>
        <w:t>Banking, Finance, Insurance &amp; Real Estate</w:t>
      </w:r>
    </w:p>
    <w:p>
      <w:pPr>
        <w:ind w:left="20"/>
        <w:spacing w:after="0" w:line="199" w:lineRule="auto"/>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(9)</w:t>
      </w:r>
    </w:p>
    <w:p>
      <w:pPr>
        <w:ind w:left="200"/>
        <w:spacing w:after="0" w:line="233" w:lineRule="auto"/>
        <w:rPr>
          <w:sz w:val="20"/>
          <w:szCs w:val="20"/>
          <w:color w:val="auto"/>
        </w:rPr>
      </w:pPr>
      <w:r>
        <w:rPr>
          <w:rFonts w:ascii="Arial" w:cs="Arial" w:eastAsia="Arial" w:hAnsi="Arial"/>
          <w:sz w:val="14"/>
          <w:szCs w:val="14"/>
          <w:i w:val="1"/>
          <w:iCs w:val="1"/>
          <w:color w:val="auto"/>
        </w:rPr>
        <w:t>Finance</w:t>
      </w:r>
    </w:p>
    <w:p>
      <w:pPr>
        <w:ind w:left="20"/>
        <w:spacing w:after="0" w:line="188" w:lineRule="auto"/>
        <w:rPr>
          <w:sz w:val="20"/>
          <w:szCs w:val="20"/>
          <w:color w:val="auto"/>
        </w:rPr>
      </w:pPr>
      <w:r>
        <w:rPr>
          <w:rFonts w:ascii="Arial" w:cs="Arial" w:eastAsia="Arial" w:hAnsi="Arial"/>
          <w:sz w:val="13"/>
          <w:szCs w:val="13"/>
          <w:color w:val="auto"/>
        </w:rPr>
        <w:t>BarBri, Inc. (Gemini Holdings, Inc.)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2"/>
          <w:szCs w:val="12"/>
          <w:color w:val="auto"/>
        </w:rPr>
        <w:t>(11)</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Services: Consumer</w:t>
      </w:r>
    </w:p>
    <w:p>
      <w:pPr>
        <w:spacing w:after="0" w:line="7" w:lineRule="exact"/>
        <w:rPr>
          <w:sz w:val="20"/>
          <w:szCs w:val="20"/>
          <w:color w:val="auto"/>
        </w:rPr>
      </w:pPr>
    </w:p>
    <w:p>
      <w:pPr>
        <w:ind w:left="200" w:right="840" w:hanging="186"/>
        <w:spacing w:after="0" w:line="227" w:lineRule="auto"/>
        <w:tabs>
          <w:tab w:leader="none" w:pos="344"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Industries, LLC</w:t>
      </w:r>
      <w:r>
        <w:rPr>
          <w:rFonts w:ascii="Arial" w:cs="Arial" w:eastAsia="Arial" w:hAnsi="Arial"/>
          <w:sz w:val="19"/>
          <w:szCs w:val="19"/>
          <w:color w:val="auto"/>
          <w:vertAlign w:val="superscript"/>
        </w:rPr>
        <w:t>(9), (11)</w:t>
      </w:r>
      <w:r>
        <w:rPr>
          <w:rFonts w:ascii="Arial" w:cs="Arial" w:eastAsia="Arial" w:hAnsi="Arial"/>
          <w:sz w:val="12"/>
          <w:szCs w:val="12"/>
          <w:color w:val="auto"/>
        </w:rPr>
        <w:t xml:space="preserve"> </w:t>
      </w:r>
      <w:r>
        <w:rPr>
          <w:rFonts w:ascii="Arial" w:cs="Arial" w:eastAsia="Arial" w:hAnsi="Arial"/>
          <w:sz w:val="12"/>
          <w:szCs w:val="12"/>
          <w:i w:val="1"/>
          <w:iCs w:val="1"/>
          <w:color w:val="auto"/>
        </w:rPr>
        <w:t>Automotive</w:t>
      </w:r>
    </w:p>
    <w:p>
      <w:pPr>
        <w:ind w:left="20"/>
        <w:spacing w:after="0" w:line="180" w:lineRule="auto"/>
        <w:rPr>
          <w:sz w:val="20"/>
          <w:szCs w:val="20"/>
          <w:color w:val="auto"/>
        </w:rPr>
      </w:pPr>
      <w:r>
        <w:rPr>
          <w:rFonts w:ascii="Arial" w:cs="Arial" w:eastAsia="Arial" w:hAnsi="Arial"/>
          <w:sz w:val="13"/>
          <w:szCs w:val="13"/>
          <w:color w:val="auto"/>
        </w:rPr>
        <w:t>Bellisio Foods, Inc.</w:t>
      </w:r>
      <w:r>
        <w:rPr>
          <w:rFonts w:ascii="Arial" w:cs="Arial" w:eastAsia="Arial" w:hAnsi="Arial"/>
          <w:sz w:val="21"/>
          <w:szCs w:val="21"/>
          <w:color w:val="auto"/>
          <w:vertAlign w:val="superscript"/>
        </w:rPr>
        <w:t>(9), (11)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Bellisio Foods, Inc.</w:t>
      </w:r>
      <w:r>
        <w:rPr>
          <w:rFonts w:ascii="Arial" w:cs="Arial" w:eastAsia="Arial" w:hAnsi="Arial"/>
          <w:sz w:val="23"/>
          <w:szCs w:val="23"/>
          <w:color w:val="auto"/>
          <w:vertAlign w:val="superscript"/>
        </w:rPr>
        <w:t>(9), (11)</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Blue Coat Systems, Inc.</w:t>
      </w:r>
      <w:r>
        <w:rPr>
          <w:rFonts w:ascii="Arial" w:cs="Arial" w:eastAsia="Arial" w:hAnsi="Arial"/>
          <w:sz w:val="23"/>
          <w:szCs w:val="23"/>
          <w:color w:val="auto"/>
          <w:vertAlign w:val="superscript"/>
        </w:rPr>
        <w:t>(9), (11)</w:t>
      </w:r>
    </w:p>
    <w:p>
      <w:pPr>
        <w:ind w:left="200"/>
        <w:spacing w:after="0" w:line="221" w:lineRule="auto"/>
        <w:rPr>
          <w:sz w:val="20"/>
          <w:szCs w:val="20"/>
          <w:color w:val="auto"/>
        </w:rPr>
      </w:pPr>
      <w:r>
        <w:rPr>
          <w:rFonts w:ascii="Arial" w:cs="Arial" w:eastAsia="Arial" w:hAnsi="Arial"/>
          <w:sz w:val="14"/>
          <w:szCs w:val="14"/>
          <w:i w:val="1"/>
          <w:iCs w:val="1"/>
          <w:color w:val="auto"/>
        </w:rPr>
        <w:t>High Tech Industries</w:t>
      </w:r>
    </w:p>
    <w:p>
      <w:pPr>
        <w:ind w:left="20"/>
        <w:spacing w:after="0"/>
        <w:rPr>
          <w:sz w:val="20"/>
          <w:szCs w:val="20"/>
          <w:color w:val="auto"/>
        </w:rPr>
      </w:pPr>
      <w:r>
        <w:rPr>
          <w:rFonts w:ascii="Arial" w:cs="Arial" w:eastAsia="Arial" w:hAnsi="Arial"/>
          <w:sz w:val="13"/>
          <w:szCs w:val="13"/>
          <w:color w:val="auto"/>
        </w:rPr>
        <w:t>Caribe Media Inc. (fka Caribe Information</w:t>
      </w:r>
    </w:p>
    <w:p>
      <w:pPr>
        <w:spacing w:after="0" w:line="7" w:lineRule="exact"/>
        <w:rPr>
          <w:sz w:val="20"/>
          <w:szCs w:val="20"/>
          <w:color w:val="auto"/>
        </w:rPr>
      </w:pPr>
    </w:p>
    <w:p>
      <w:pPr>
        <w:ind w:left="200" w:right="480"/>
        <w:spacing w:after="0" w:line="215" w:lineRule="auto"/>
        <w:rPr>
          <w:sz w:val="20"/>
          <w:szCs w:val="20"/>
          <w:color w:val="auto"/>
        </w:rPr>
      </w:pPr>
      <w:r>
        <w:rPr>
          <w:rFonts w:ascii="Arial" w:cs="Arial" w:eastAsia="Arial" w:hAnsi="Arial"/>
          <w:sz w:val="13"/>
          <w:szCs w:val="13"/>
          <w:color w:val="auto"/>
        </w:rPr>
        <w:t>Investments Incorporated)</w:t>
      </w:r>
      <w:r>
        <w:rPr>
          <w:rFonts w:ascii="Arial" w:cs="Arial" w:eastAsia="Arial" w:hAnsi="Arial"/>
          <w:sz w:val="21"/>
          <w:szCs w:val="21"/>
          <w:color w:val="auto"/>
          <w:vertAlign w:val="superscript"/>
        </w:rPr>
        <w:t>(9)</w:t>
      </w:r>
      <w:r>
        <w:rPr>
          <w:rFonts w:ascii="Arial" w:cs="Arial" w:eastAsia="Arial" w:hAnsi="Arial"/>
          <w:sz w:val="13"/>
          <w:szCs w:val="13"/>
          <w:color w:val="auto"/>
        </w:rPr>
        <w:t xml:space="preserve"> </w:t>
      </w:r>
      <w:r>
        <w:rPr>
          <w:rFonts w:ascii="Arial" w:cs="Arial" w:eastAsia="Arial" w:hAnsi="Arial"/>
          <w:sz w:val="13"/>
          <w:szCs w:val="13"/>
          <w:i w:val="1"/>
          <w:iCs w:val="1"/>
          <w:color w:val="auto"/>
        </w:rPr>
        <w:t>Media: Advertising, Printing &amp; Publishing</w:t>
      </w:r>
    </w:p>
    <w:p>
      <w:pPr>
        <w:ind w:left="20"/>
        <w:spacing w:after="0" w:line="182" w:lineRule="auto"/>
        <w:rPr>
          <w:sz w:val="20"/>
          <w:szCs w:val="20"/>
          <w:color w:val="auto"/>
        </w:rPr>
      </w:pPr>
      <w:r>
        <w:rPr>
          <w:rFonts w:ascii="Arial" w:cs="Arial" w:eastAsia="Arial" w:hAnsi="Arial"/>
          <w:sz w:val="13"/>
          <w:szCs w:val="13"/>
          <w:color w:val="auto"/>
        </w:rPr>
        <w:t>Carolina Beverage Group LLC</w:t>
      </w:r>
      <w:r>
        <w:rPr>
          <w:rFonts w:ascii="Arial" w:cs="Arial" w:eastAsia="Arial" w:hAnsi="Arial"/>
          <w:sz w:val="21"/>
          <w:szCs w:val="21"/>
          <w:color w:val="auto"/>
          <w:vertAlign w:val="superscript"/>
        </w:rPr>
        <w:t>(9)</w:t>
      </w:r>
    </w:p>
    <w:p>
      <w:pPr>
        <w:ind w:left="200"/>
        <w:spacing w:after="0"/>
        <w:rPr>
          <w:sz w:val="20"/>
          <w:szCs w:val="20"/>
          <w:color w:val="auto"/>
        </w:rPr>
      </w:pPr>
      <w:r>
        <w:rPr>
          <w:rFonts w:ascii="Arial" w:cs="Arial" w:eastAsia="Arial" w:hAnsi="Arial"/>
          <w:sz w:val="14"/>
          <w:szCs w:val="14"/>
          <w:i w:val="1"/>
          <w:iCs w:val="1"/>
          <w:color w:val="auto"/>
        </w:rPr>
        <w:t>Beverage, Food and Tobacco</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Catalina Marketing Corporation</w:t>
      </w:r>
      <w:r>
        <w:rPr>
          <w:rFonts w:ascii="Arial" w:cs="Arial" w:eastAsia="Arial" w:hAnsi="Arial"/>
          <w:sz w:val="22"/>
          <w:szCs w:val="22"/>
          <w:color w:val="auto"/>
          <w:vertAlign w:val="superscript"/>
        </w:rPr>
        <w:t>(9), (11)</w:t>
      </w:r>
    </w:p>
    <w:p>
      <w:pPr>
        <w:ind w:left="200"/>
        <w:spacing w:after="0" w:line="221" w:lineRule="auto"/>
        <w:rPr>
          <w:sz w:val="20"/>
          <w:szCs w:val="20"/>
          <w:color w:val="auto"/>
        </w:rPr>
      </w:pPr>
      <w:r>
        <w:rPr>
          <w:rFonts w:ascii="Arial" w:cs="Arial" w:eastAsia="Arial" w:hAnsi="Arial"/>
          <w:sz w:val="14"/>
          <w:szCs w:val="14"/>
          <w:i w:val="1"/>
          <w:iCs w:val="1"/>
          <w:color w:val="auto"/>
        </w:rPr>
        <w:t>Media: Advertising, Printing &amp;</w:t>
      </w:r>
    </w:p>
    <w:p>
      <w:pPr>
        <w:ind w:left="200"/>
        <w:spacing w:after="0" w:line="221" w:lineRule="auto"/>
        <w:rPr>
          <w:sz w:val="20"/>
          <w:szCs w:val="20"/>
          <w:color w:val="auto"/>
        </w:rPr>
      </w:pPr>
      <w:r>
        <w:rPr>
          <w:rFonts w:ascii="Arial" w:cs="Arial" w:eastAsia="Arial" w:hAnsi="Arial"/>
          <w:sz w:val="14"/>
          <w:szCs w:val="14"/>
          <w:i w:val="1"/>
          <w:iCs w:val="1"/>
          <w:color w:val="auto"/>
        </w:rPr>
        <w:t>Publishing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color w:val="auto"/>
        </w:rPr>
        <w:t>Clover Technologies Group, LLC (Clover</w:t>
      </w:r>
    </w:p>
    <w:p>
      <w:pPr>
        <w:spacing w:after="0" w:line="7" w:lineRule="exact"/>
        <w:rPr>
          <w:sz w:val="20"/>
          <w:szCs w:val="20"/>
          <w:color w:val="auto"/>
        </w:rPr>
      </w:pPr>
    </w:p>
    <w:p>
      <w:pPr>
        <w:ind w:left="200" w:right="500"/>
        <w:spacing w:after="0" w:line="202" w:lineRule="auto"/>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Consumer goods: Non-durable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2360" w:type="dxa"/>
            <w:vAlign w:val="bottom"/>
          </w:tcPr>
          <w:p>
            <w:pPr>
              <w:ind w:left="84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22"/>
                <w:szCs w:val="22"/>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3"/>
                <w:szCs w:val="23"/>
                <w:b w:val="1"/>
                <w:bCs w:val="1"/>
                <w:color w:val="auto"/>
                <w:w w:val="91"/>
                <w:vertAlign w:val="superscript"/>
              </w:rPr>
              <w:t>(2)</w:t>
            </w:r>
          </w:p>
        </w:tc>
      </w:tr>
      <w:tr>
        <w:trPr>
          <w:trHeight w:val="202"/>
        </w:trPr>
        <w:tc>
          <w:tcPr>
            <w:tcW w:w="2360" w:type="dxa"/>
            <w:vAlign w:val="bottom"/>
            <w:tcBorders>
              <w:bottom w:val="single" w:sz="8" w:color="auto"/>
            </w:tcBorders>
          </w:tcPr>
          <w:p>
            <w:pPr>
              <w:ind w:left="400"/>
              <w:spacing w:after="0" w:line="20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64"/>
        </w:trPr>
        <w:tc>
          <w:tcPr>
            <w:tcW w:w="2360" w:type="dxa"/>
            <w:vAlign w:val="bottom"/>
          </w:tcPr>
          <w:p>
            <w:pPr>
              <w:ind w:left="80"/>
              <w:spacing w:after="0"/>
              <w:rPr>
                <w:sz w:val="20"/>
                <w:szCs w:val="20"/>
                <w:color w:val="auto"/>
              </w:rPr>
            </w:pPr>
            <w:r>
              <w:rPr>
                <w:rFonts w:ascii="Arial" w:cs="Arial" w:eastAsia="Arial" w:hAnsi="Arial"/>
                <w:sz w:val="14"/>
                <w:szCs w:val="14"/>
                <w:color w:val="auto"/>
              </w:rPr>
              <w:t>First Lien Bond — 10.5%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2,948,332</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2,546,400</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06/2019 – 00753CAE2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2360" w:type="dxa"/>
            <w:vAlign w:val="bottom"/>
          </w:tcPr>
          <w:p>
            <w:pPr>
              <w:ind w:left="80"/>
              <w:spacing w:after="0"/>
              <w:rPr>
                <w:sz w:val="20"/>
                <w:szCs w:val="20"/>
                <w:color w:val="auto"/>
              </w:rPr>
            </w:pPr>
            <w:r>
              <w:rPr>
                <w:rFonts w:ascii="Arial" w:cs="Arial" w:eastAsia="Arial" w:hAnsi="Arial"/>
                <w:sz w:val="14"/>
                <w:szCs w:val="14"/>
                <w:color w:val="auto"/>
              </w:rPr>
              <w:t>10.5% Cash, Due 6/19</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1,989,952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1,996,642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2,001,892</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2013 Term Loan (First Lien) 4.3%</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Cash, Due 12/17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2,358,409</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2,362,064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2,357,702</w:t>
            </w: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6.3% Cash, Due 10/16</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4"/>
        </w:trPr>
        <w:tc>
          <w:tcPr>
            <w:tcW w:w="2360" w:type="dxa"/>
            <w:vAlign w:val="bottom"/>
          </w:tcPr>
          <w:p>
            <w:pPr>
              <w:ind w:left="80"/>
              <w:spacing w:after="0"/>
              <w:rPr>
                <w:sz w:val="20"/>
                <w:szCs w:val="20"/>
                <w:color w:val="auto"/>
              </w:rPr>
            </w:pPr>
            <w:r>
              <w:rPr>
                <w:rFonts w:ascii="Arial" w:cs="Arial" w:eastAsia="Arial" w:hAnsi="Arial"/>
                <w:sz w:val="14"/>
                <w:szCs w:val="14"/>
                <w:color w:val="auto"/>
              </w:rPr>
              <w:t>Senior Secured Loan — Initial Term</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2,985,000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2,997,209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2,985,000</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Loan 6.8% Cash, Due 4/20</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w w:val="97"/>
              </w:rPr>
              <w:t>Senior Secured Loan — U.S. Term D</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856,173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856,374</w:t>
            </w: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Loan 4.0% Cash, Due 9/19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w w:val="97"/>
              </w:rPr>
              <w:t>Senior Secured Loan — LC-3 Facility</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61,707</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61,967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61,861</w:t>
            </w: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3.7% Cash, Due 7/16</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w w:val="97"/>
              </w:rPr>
              <w:t>Senior Secured Loan — U.S. Term C</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938,293</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942,256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940,639</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3.7% Cash, Due 7/16</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1,150,000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1,158,352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1,158,625</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U.S. Term D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4.0% Cash, Due 9/19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Tranche B</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997,500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987,913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997,898</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Term 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7.5% Cash, Due 10/19</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w w:val="99"/>
              </w:rPr>
              <w:t>Senior Secured Loan — Incremental</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2,000,806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1,983,168</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Tranche B-1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4.5% Cash, Due 5/19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4"/>
        </w:trPr>
        <w:tc>
          <w:tcPr>
            <w:tcW w:w="2360" w:type="dxa"/>
            <w:vAlign w:val="bottom"/>
          </w:tcPr>
          <w:p>
            <w:pPr>
              <w:ind w:left="80"/>
              <w:spacing w:after="0"/>
              <w:rPr>
                <w:sz w:val="20"/>
                <w:szCs w:val="20"/>
                <w:color w:val="auto"/>
              </w:rPr>
            </w:pPr>
            <w:r>
              <w:rPr>
                <w:rFonts w:ascii="Arial" w:cs="Arial" w:eastAsia="Arial" w:hAnsi="Arial"/>
                <w:sz w:val="14"/>
                <w:szCs w:val="14"/>
                <w:color w:val="auto"/>
                <w:w w:val="96"/>
              </w:rPr>
              <w:t>Senior Secured Loan — Term B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718,182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718,182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713,514</w:t>
            </w: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7.0% Cash, Due 6/18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2,986,055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3,000,900</w:t>
            </w: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5.3% Cash, Due 7/19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17"/>
        </w:trPr>
        <w:tc>
          <w:tcPr>
            <w:tcW w:w="2360" w:type="dxa"/>
            <w:vAlign w:val="bottom"/>
          </w:tcPr>
          <w:p>
            <w:pPr>
              <w:ind w:left="80"/>
              <w:spacing w:after="0"/>
              <w:rPr>
                <w:sz w:val="20"/>
                <w:szCs w:val="20"/>
                <w:color w:val="auto"/>
              </w:rPr>
            </w:pPr>
            <w:r>
              <w:rPr>
                <w:rFonts w:ascii="Arial" w:cs="Arial" w:eastAsia="Arial" w:hAnsi="Arial"/>
                <w:sz w:val="14"/>
                <w:szCs w:val="14"/>
                <w:color w:val="auto"/>
                <w:w w:val="96"/>
              </w:rPr>
              <w:t>Senior Secured Loan — Term Loan B</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2,887,500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2,878,820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2,888,366</w:t>
            </w: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5.5% Cash, Due 3/19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Delayed</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1,582,475</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1,575,088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1,582,316</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Draw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6.5% Cash, Due 8/19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2,191,119</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2,180,891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2,190,900</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U.S. Term B Loans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5.3% Cash, Due 8/19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New Term</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3,990,000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4,003,966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3,991,995</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Loan 4.5% Cash, Due 5/19</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Loan</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379,763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379,763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379,193</w:t>
            </w: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10.0% Cash, Due 11/14</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493"/>
        </w:trPr>
        <w:tc>
          <w:tcPr>
            <w:tcW w:w="2360" w:type="dxa"/>
            <w:vAlign w:val="bottom"/>
          </w:tcPr>
          <w:p>
            <w:pPr>
              <w:ind w:left="80"/>
              <w:spacing w:after="0"/>
              <w:rPr>
                <w:sz w:val="20"/>
                <w:szCs w:val="20"/>
                <w:color w:val="auto"/>
              </w:rPr>
            </w:pPr>
            <w:r>
              <w:rPr>
                <w:rFonts w:ascii="Arial" w:cs="Arial" w:eastAsia="Arial" w:hAnsi="Arial"/>
                <w:sz w:val="14"/>
                <w:szCs w:val="14"/>
                <w:color w:val="auto"/>
              </w:rPr>
              <w:t>Senior Secured Bond — 10.625%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1,519,072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1,619,550</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08/2018 – 143818AA0 144A</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10.6% Cash, Due 8/18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3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1,995,000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1,983,766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2,025,553</w:t>
            </w: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5.3% Cash, Due 10/20</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3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2,850,292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2,883,914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2,850,291</w:t>
            </w:r>
          </w:p>
        </w:tc>
      </w:tr>
      <w:tr>
        <w:trPr>
          <w:trHeight w:val="182"/>
        </w:trPr>
        <w:tc>
          <w:tcPr>
            <w:tcW w:w="2360" w:type="dxa"/>
            <w:vAlign w:val="bottom"/>
          </w:tcPr>
          <w:p>
            <w:pPr>
              <w:ind w:left="80"/>
              <w:spacing w:after="0"/>
              <w:rPr>
                <w:sz w:val="20"/>
                <w:szCs w:val="20"/>
                <w:color w:val="auto"/>
              </w:rPr>
            </w:pPr>
            <w:r>
              <w:rPr>
                <w:rFonts w:ascii="Arial" w:cs="Arial" w:eastAsia="Arial" w:hAnsi="Arial"/>
                <w:sz w:val="14"/>
                <w:szCs w:val="14"/>
                <w:color w:val="auto"/>
              </w:rPr>
              <w:t>6.8% Cash, Due 5/18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-5677535</wp:posOffset>
            </wp:positionV>
            <wp:extent cx="5213985" cy="3175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-5051425</wp:posOffset>
            </wp:positionV>
            <wp:extent cx="5213985" cy="3086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-4528185</wp:posOffset>
            </wp:positionV>
            <wp:extent cx="521398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18859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-4124960</wp:posOffset>
            </wp:positionV>
            <wp:extent cx="5213985" cy="3086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-3507740</wp:posOffset>
            </wp:positionV>
            <wp:extent cx="5213985" cy="308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-2795905</wp:posOffset>
            </wp:positionV>
            <wp:extent cx="5213985"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-2264410</wp:posOffset>
            </wp:positionV>
            <wp:extent cx="5213985" cy="214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-1741170</wp:posOffset>
            </wp:positionV>
            <wp:extent cx="5213985" cy="3086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-1217930</wp:posOffset>
            </wp:positionV>
            <wp:extent cx="5213985" cy="4032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-1694815</wp:posOffset>
            </wp:positionH>
            <wp:positionV relativeFrom="paragraph">
              <wp:posOffset>-506095</wp:posOffset>
            </wp:positionV>
            <wp:extent cx="5213985" cy="3086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-5977890</wp:posOffset>
            </wp:positionV>
            <wp:extent cx="35248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480" w:space="200"/>
            <w:col w:w="741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500" w:type="dxa"/>
            <w:vAlign w:val="bottom"/>
            <w:shd w:val="clear" w:color="auto" w:fill="CCFFCC"/>
          </w:tcPr>
          <w:p>
            <w:pPr>
              <w:ind w:left="20"/>
              <w:spacing w:after="0" w:line="137" w:lineRule="exact"/>
              <w:rPr>
                <w:sz w:val="20"/>
                <w:szCs w:val="20"/>
                <w:color w:val="auto"/>
              </w:rPr>
            </w:pPr>
            <w:r>
              <w:rPr>
                <w:rFonts w:ascii="Arial" w:cs="Arial" w:eastAsia="Arial" w:hAnsi="Arial"/>
                <w:sz w:val="14"/>
                <w:szCs w:val="14"/>
                <w:color w:val="auto"/>
              </w:rPr>
              <w:t>CoActive Technologies LLC (fka</w:t>
            </w:r>
          </w:p>
        </w:tc>
        <w:tc>
          <w:tcPr>
            <w:tcW w:w="2680" w:type="dxa"/>
            <w:vAlign w:val="bottom"/>
            <w:shd w:val="clear" w:color="auto" w:fill="CCFFCC"/>
          </w:tcPr>
          <w:p>
            <w:pPr>
              <w:ind w:left="260"/>
              <w:spacing w:after="0" w:line="137" w:lineRule="exact"/>
              <w:rPr>
                <w:sz w:val="20"/>
                <w:szCs w:val="20"/>
                <w:color w:val="auto"/>
              </w:rPr>
            </w:pPr>
            <w:r>
              <w:rPr>
                <w:rFonts w:ascii="Arial" w:cs="Arial" w:eastAsia="Arial" w:hAnsi="Arial"/>
                <w:sz w:val="14"/>
                <w:szCs w:val="14"/>
                <w:color w:val="auto"/>
              </w:rPr>
              <w:t>Junior Secured Loan — Term Loan</w:t>
            </w:r>
          </w:p>
        </w:tc>
        <w:tc>
          <w:tcPr>
            <w:tcW w:w="1060" w:type="dxa"/>
            <w:vAlign w:val="bottom"/>
            <w:shd w:val="clear" w:color="auto" w:fill="CCFFCC"/>
          </w:tcPr>
          <w:p>
            <w:pPr>
              <w:jc w:val="right"/>
              <w:ind w:right="148"/>
              <w:spacing w:after="0" w:line="137" w:lineRule="exact"/>
              <w:rPr>
                <w:sz w:val="20"/>
                <w:szCs w:val="20"/>
                <w:color w:val="auto"/>
              </w:rPr>
            </w:pPr>
            <w:r>
              <w:rPr>
                <w:rFonts w:ascii="Arial" w:cs="Arial" w:eastAsia="Arial" w:hAnsi="Arial"/>
                <w:sz w:val="14"/>
                <w:szCs w:val="14"/>
                <w:color w:val="auto"/>
              </w:rPr>
              <w:t>2,063,007</w:t>
            </w:r>
          </w:p>
        </w:tc>
        <w:tc>
          <w:tcPr>
            <w:tcW w:w="1060" w:type="dxa"/>
            <w:vAlign w:val="bottom"/>
            <w:shd w:val="clear" w:color="auto" w:fill="CCFFCC"/>
          </w:tcPr>
          <w:p>
            <w:pPr>
              <w:jc w:val="right"/>
              <w:ind w:right="188"/>
              <w:spacing w:after="0" w:line="137" w:lineRule="exact"/>
              <w:rPr>
                <w:sz w:val="20"/>
                <w:szCs w:val="20"/>
                <w:color w:val="auto"/>
              </w:rPr>
            </w:pPr>
            <w:r>
              <w:rPr>
                <w:rFonts w:ascii="Arial" w:cs="Arial" w:eastAsia="Arial" w:hAnsi="Arial"/>
                <w:sz w:val="14"/>
                <w:szCs w:val="14"/>
                <w:color w:val="auto"/>
              </w:rPr>
              <w:t>1,987,358</w:t>
            </w:r>
          </w:p>
        </w:tc>
        <w:tc>
          <w:tcPr>
            <w:tcW w:w="920" w:type="dxa"/>
            <w:vAlign w:val="bottom"/>
            <w:shd w:val="clear" w:color="auto" w:fill="CCFFCC"/>
          </w:tcPr>
          <w:p>
            <w:pPr>
              <w:jc w:val="right"/>
              <w:spacing w:after="0" w:line="137" w:lineRule="exact"/>
              <w:rPr>
                <w:sz w:val="20"/>
                <w:szCs w:val="20"/>
                <w:color w:val="auto"/>
              </w:rPr>
            </w:pPr>
            <w:r>
              <w:rPr>
                <w:rFonts w:ascii="Arial" w:cs="Arial" w:eastAsia="Arial" w:hAnsi="Arial"/>
                <w:sz w:val="14"/>
                <w:szCs w:val="14"/>
                <w:color w:val="auto"/>
              </w:rPr>
              <w:t>1,863,721</w:t>
            </w:r>
          </w:p>
        </w:tc>
      </w:tr>
      <w:tr>
        <w:trPr>
          <w:trHeight w:val="181"/>
        </w:trPr>
        <w:tc>
          <w:tcPr>
            <w:tcW w:w="2500" w:type="dxa"/>
            <w:vAlign w:val="bottom"/>
            <w:shd w:val="clear" w:color="auto" w:fill="CCFFCC"/>
          </w:tcPr>
          <w:p>
            <w:pPr>
              <w:ind w:left="200"/>
              <w:spacing w:after="0" w:line="181" w:lineRule="exact"/>
              <w:rPr>
                <w:sz w:val="20"/>
                <w:szCs w:val="20"/>
                <w:color w:val="auto"/>
              </w:rPr>
            </w:pPr>
            <w:r>
              <w:rPr>
                <w:rFonts w:ascii="Arial" w:cs="Arial" w:eastAsia="Arial" w:hAnsi="Arial"/>
                <w:sz w:val="13"/>
                <w:szCs w:val="13"/>
                <w:color w:val="auto"/>
              </w:rPr>
              <w:t>CoActive Technologies, Inc.)</w:t>
            </w:r>
            <w:r>
              <w:rPr>
                <w:rFonts w:ascii="Arial" w:cs="Arial" w:eastAsia="Arial" w:hAnsi="Arial"/>
                <w:sz w:val="20"/>
                <w:szCs w:val="20"/>
                <w:color w:val="auto"/>
                <w:vertAlign w:val="superscript"/>
              </w:rPr>
              <w:t>(7), (9)</w:t>
            </w:r>
          </w:p>
        </w:tc>
        <w:tc>
          <w:tcPr>
            <w:tcW w:w="2680" w:type="dxa"/>
            <w:vAlign w:val="bottom"/>
            <w:shd w:val="clear" w:color="auto" w:fill="CCFFCC"/>
          </w:tcPr>
          <w:p>
            <w:pPr>
              <w:ind w:left="260"/>
              <w:spacing w:after="0"/>
              <w:rPr>
                <w:sz w:val="20"/>
                <w:szCs w:val="20"/>
                <w:color w:val="auto"/>
              </w:rPr>
            </w:pPr>
            <w:r>
              <w:rPr>
                <w:rFonts w:ascii="Arial" w:cs="Arial" w:eastAsia="Arial" w:hAnsi="Arial"/>
                <w:sz w:val="14"/>
                <w:szCs w:val="14"/>
                <w:color w:val="auto"/>
              </w:rPr>
              <w:t>(Second Lien) 7.0% Cash, 7.0% PIK,</w:t>
            </w:r>
          </w:p>
        </w:tc>
        <w:tc>
          <w:tcPr>
            <w:tcW w:w="1060" w:type="dxa"/>
            <w:vAlign w:val="bottom"/>
            <w:shd w:val="clear" w:color="auto" w:fill="CCFFCC"/>
          </w:tcPr>
          <w:p>
            <w:pPr>
              <w:spacing w:after="0"/>
              <w:rPr>
                <w:sz w:val="15"/>
                <w:szCs w:val="15"/>
                <w:color w:val="auto"/>
              </w:rPr>
            </w:pPr>
          </w:p>
        </w:tc>
        <w:tc>
          <w:tcPr>
            <w:tcW w:w="106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r>
      <w:tr>
        <w:trPr>
          <w:trHeight w:val="176"/>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Capital Equipment</w:t>
            </w:r>
          </w:p>
        </w:tc>
        <w:tc>
          <w:tcPr>
            <w:tcW w:w="2680" w:type="dxa"/>
            <w:vAlign w:val="bottom"/>
            <w:shd w:val="clear" w:color="auto" w:fill="CCFFCC"/>
          </w:tcPr>
          <w:p>
            <w:pPr>
              <w:ind w:left="260"/>
              <w:spacing w:after="0"/>
              <w:rPr>
                <w:sz w:val="20"/>
                <w:szCs w:val="20"/>
                <w:color w:val="auto"/>
              </w:rPr>
            </w:pPr>
            <w:r>
              <w:rPr>
                <w:rFonts w:ascii="Arial" w:cs="Arial" w:eastAsia="Arial" w:hAnsi="Arial"/>
                <w:sz w:val="14"/>
                <w:szCs w:val="14"/>
                <w:color w:val="auto"/>
              </w:rPr>
              <w:t>Due 1/15</w:t>
            </w:r>
          </w:p>
        </w:tc>
        <w:tc>
          <w:tcPr>
            <w:tcW w:w="1060" w:type="dxa"/>
            <w:vAlign w:val="bottom"/>
            <w:shd w:val="clear" w:color="auto" w:fill="CCFFCC"/>
          </w:tcPr>
          <w:p>
            <w:pPr>
              <w:spacing w:after="0"/>
              <w:rPr>
                <w:sz w:val="15"/>
                <w:szCs w:val="15"/>
                <w:color w:val="auto"/>
              </w:rPr>
            </w:pPr>
          </w:p>
        </w:tc>
        <w:tc>
          <w:tcPr>
            <w:tcW w:w="1060" w:type="dxa"/>
            <w:vAlign w:val="bottom"/>
            <w:shd w:val="clear" w:color="auto" w:fill="CCFFCC"/>
          </w:tcPr>
          <w:p>
            <w:pPr>
              <w:spacing w:after="0"/>
              <w:rPr>
                <w:sz w:val="15"/>
                <w:szCs w:val="15"/>
                <w:color w:val="auto"/>
              </w:rPr>
            </w:pPr>
          </w:p>
        </w:tc>
        <w:tc>
          <w:tcPr>
            <w:tcW w:w="920" w:type="dxa"/>
            <w:vAlign w:val="bottom"/>
            <w:shd w:val="clear" w:color="auto" w:fill="CCFFCC"/>
          </w:tcPr>
          <w:p>
            <w:pPr>
              <w:spacing w:after="0"/>
              <w:rPr>
                <w:sz w:val="15"/>
                <w:szCs w:val="15"/>
                <w:color w:val="auto"/>
              </w:rPr>
            </w:pPr>
          </w:p>
        </w:tc>
      </w:tr>
    </w:tbl>
    <w:p>
      <w:pPr>
        <w:spacing w:after="0" w:line="200" w:lineRule="exact"/>
        <w:rPr>
          <w:sz w:val="20"/>
          <w:szCs w:val="20"/>
          <w:color w:val="auto"/>
        </w:rPr>
      </w:pPr>
    </w:p>
    <w:p>
      <w:pPr>
        <w:spacing w:after="0" w:line="32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150939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b w:val="1"/>
          <w:bCs w:val="1"/>
          <w:color w:val="auto"/>
        </w:rPr>
        <w:t>Portfolio Company/</w:t>
      </w:r>
    </w:p>
    <w:p>
      <w:pPr>
        <w:spacing w:after="0"/>
        <w:rPr>
          <w:sz w:val="20"/>
          <w:szCs w:val="20"/>
          <w:color w:val="auto"/>
        </w:rPr>
      </w:pPr>
      <w:r>
        <w:rPr>
          <w:rFonts w:ascii="Arial" w:cs="Arial" w:eastAsia="Arial" w:hAnsi="Arial"/>
          <w:sz w:val="14"/>
          <w:szCs w:val="14"/>
          <w:b w:val="1"/>
          <w:bCs w:val="1"/>
          <w:color w:val="auto"/>
        </w:rPr>
        <w:t>Principal Business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Crowley Holdings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15265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ind w:left="180"/>
        <w:spacing w:after="0" w:line="187" w:lineRule="auto"/>
        <w:rPr>
          <w:sz w:val="20"/>
          <w:szCs w:val="20"/>
          <w:color w:val="auto"/>
        </w:rPr>
      </w:pPr>
      <w:r>
        <w:rPr>
          <w:rFonts w:ascii="Arial" w:cs="Arial" w:eastAsia="Arial" w:hAnsi="Arial"/>
          <w:sz w:val="13"/>
          <w:szCs w:val="13"/>
          <w:color w:val="auto"/>
        </w:rPr>
        <w:t>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Transportation: Cargo</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CSM Bakery Supplies LLC</w:t>
      </w:r>
      <w:r>
        <w:rPr>
          <w:rFonts w:ascii="Arial" w:cs="Arial" w:eastAsia="Arial" w:hAnsi="Arial"/>
          <w:sz w:val="23"/>
          <w:szCs w:val="23"/>
          <w:color w:val="auto"/>
          <w:vertAlign w:val="superscript"/>
        </w:rPr>
        <w:t>(9)</w:t>
      </w:r>
    </w:p>
    <w:p>
      <w:pPr>
        <w:ind w:left="180"/>
        <w:spacing w:after="0" w:line="233" w:lineRule="auto"/>
        <w:rPr>
          <w:sz w:val="20"/>
          <w:szCs w:val="20"/>
          <w:color w:val="auto"/>
        </w:rPr>
      </w:pPr>
      <w:r>
        <w:rPr>
          <w:rFonts w:ascii="Arial" w:cs="Arial" w:eastAsia="Arial" w:hAnsi="Arial"/>
          <w:sz w:val="14"/>
          <w:szCs w:val="14"/>
          <w:i w:val="1"/>
          <w:iCs w:val="1"/>
          <w:color w:val="auto"/>
        </w:rPr>
        <w:t>Beverage, Food and Tobacco</w:t>
      </w:r>
    </w:p>
    <w:p>
      <w:pPr>
        <w:spacing w:after="0" w:line="180" w:lineRule="auto"/>
        <w:rPr>
          <w:sz w:val="20"/>
          <w:szCs w:val="20"/>
          <w:color w:val="auto"/>
        </w:rPr>
      </w:pPr>
      <w:r>
        <w:rPr>
          <w:rFonts w:ascii="Arial" w:cs="Arial" w:eastAsia="Arial" w:hAnsi="Arial"/>
          <w:sz w:val="13"/>
          <w:szCs w:val="13"/>
          <w:color w:val="auto"/>
        </w:rPr>
        <w:t>CSM Bakery Supplies LLC</w:t>
      </w:r>
      <w:r>
        <w:rPr>
          <w:rFonts w:ascii="Arial" w:cs="Arial" w:eastAsia="Arial" w:hAnsi="Arial"/>
          <w:sz w:val="21"/>
          <w:szCs w:val="21"/>
          <w:color w:val="auto"/>
          <w:vertAlign w:val="superscript"/>
        </w:rPr>
        <w:t>(9), (11)</w:t>
      </w:r>
    </w:p>
    <w:p>
      <w:pPr>
        <w:ind w:left="180"/>
        <w:spacing w:after="0" w:line="233" w:lineRule="auto"/>
        <w:rPr>
          <w:sz w:val="20"/>
          <w:szCs w:val="20"/>
          <w:color w:val="auto"/>
        </w:rPr>
      </w:pPr>
      <w:r>
        <w:rPr>
          <w:rFonts w:ascii="Arial" w:cs="Arial" w:eastAsia="Arial" w:hAnsi="Arial"/>
          <w:sz w:val="14"/>
          <w:szCs w:val="14"/>
          <w:i w:val="1"/>
          <w:iCs w:val="1"/>
          <w:color w:val="auto"/>
        </w:rPr>
        <w:t>Beverage, Food and Tobacco</w:t>
      </w:r>
    </w:p>
    <w:p>
      <w:pPr>
        <w:spacing w:after="0" w:line="180" w:lineRule="auto"/>
        <w:rPr>
          <w:sz w:val="20"/>
          <w:szCs w:val="20"/>
          <w:color w:val="auto"/>
        </w:rPr>
      </w:pPr>
      <w:r>
        <w:rPr>
          <w:rFonts w:ascii="Arial" w:cs="Arial" w:eastAsia="Arial" w:hAnsi="Arial"/>
          <w:sz w:val="13"/>
          <w:szCs w:val="13"/>
          <w:color w:val="auto"/>
        </w:rPr>
        <w:t>Del Monte Foods Company</w:t>
      </w:r>
      <w:r>
        <w:rPr>
          <w:rFonts w:ascii="Arial" w:cs="Arial" w:eastAsia="Arial" w:hAnsi="Arial"/>
          <w:sz w:val="21"/>
          <w:szCs w:val="21"/>
          <w:color w:val="auto"/>
          <w:vertAlign w:val="superscript"/>
        </w:rPr>
        <w:t>(9), (11)</w:t>
      </w:r>
    </w:p>
    <w:p>
      <w:pPr>
        <w:ind w:left="180"/>
        <w:spacing w:after="0" w:line="233" w:lineRule="auto"/>
        <w:rPr>
          <w:sz w:val="20"/>
          <w:szCs w:val="20"/>
          <w:color w:val="auto"/>
        </w:rPr>
      </w:pPr>
      <w:r>
        <w:rPr>
          <w:rFonts w:ascii="Arial" w:cs="Arial" w:eastAsia="Arial" w:hAnsi="Arial"/>
          <w:sz w:val="14"/>
          <w:szCs w:val="14"/>
          <w:i w:val="1"/>
          <w:iCs w:val="1"/>
          <w:color w:val="auto"/>
        </w:rPr>
        <w:t>Beverage, Food and Tobacco</w:t>
      </w:r>
    </w:p>
    <w:p>
      <w:pPr>
        <w:spacing w:after="0" w:line="180" w:lineRule="auto"/>
        <w:rPr>
          <w:sz w:val="20"/>
          <w:szCs w:val="20"/>
          <w:color w:val="auto"/>
        </w:rPr>
      </w:pPr>
      <w:r>
        <w:rPr>
          <w:rFonts w:ascii="Arial" w:cs="Arial" w:eastAsia="Arial" w:hAnsi="Arial"/>
          <w:sz w:val="13"/>
          <w:szCs w:val="13"/>
          <w:color w:val="auto"/>
        </w:rPr>
        <w:t>Drew Marine Group Inc.</w:t>
      </w:r>
      <w:r>
        <w:rPr>
          <w:rFonts w:ascii="Arial" w:cs="Arial" w:eastAsia="Arial" w:hAnsi="Arial"/>
          <w:sz w:val="21"/>
          <w:szCs w:val="21"/>
          <w:color w:val="auto"/>
          <w:vertAlign w:val="superscript"/>
        </w:rPr>
        <w:t>(9)</w:t>
      </w:r>
    </w:p>
    <w:p>
      <w:pPr>
        <w:ind w:left="180"/>
        <w:spacing w:after="0" w:line="234" w:lineRule="auto"/>
        <w:rPr>
          <w:sz w:val="20"/>
          <w:szCs w:val="20"/>
          <w:color w:val="auto"/>
        </w:rPr>
      </w:pPr>
      <w:r>
        <w:rPr>
          <w:rFonts w:ascii="Arial" w:cs="Arial" w:eastAsia="Arial" w:hAnsi="Arial"/>
          <w:sz w:val="14"/>
          <w:szCs w:val="14"/>
          <w:i w:val="1"/>
          <w:iCs w:val="1"/>
          <w:color w:val="auto"/>
        </w:rPr>
        <w:t>Transportation: Cargo</w:t>
      </w:r>
    </w:p>
    <w:p>
      <w:pPr>
        <w:spacing w:after="0" w:line="180" w:lineRule="auto"/>
        <w:rPr>
          <w:sz w:val="20"/>
          <w:szCs w:val="20"/>
          <w:color w:val="auto"/>
        </w:rPr>
      </w:pPr>
      <w:r>
        <w:rPr>
          <w:rFonts w:ascii="Arial" w:cs="Arial" w:eastAsia="Arial" w:hAnsi="Arial"/>
          <w:sz w:val="13"/>
          <w:szCs w:val="13"/>
          <w:color w:val="auto"/>
        </w:rPr>
        <w:t>ELO Touch Solutions, Inc.</w:t>
      </w:r>
      <w:r>
        <w:rPr>
          <w:rFonts w:ascii="Arial" w:cs="Arial" w:eastAsia="Arial" w:hAnsi="Arial"/>
          <w:sz w:val="21"/>
          <w:szCs w:val="21"/>
          <w:color w:val="auto"/>
          <w:vertAlign w:val="superscript"/>
        </w:rPr>
        <w:t>(9), (11)</w:t>
      </w:r>
    </w:p>
    <w:p>
      <w:pPr>
        <w:ind w:left="180"/>
        <w:spacing w:after="0" w:line="221" w:lineRule="auto"/>
        <w:rPr>
          <w:sz w:val="20"/>
          <w:szCs w:val="20"/>
          <w:color w:val="auto"/>
        </w:rPr>
      </w:pPr>
      <w:r>
        <w:rPr>
          <w:rFonts w:ascii="Arial" w:cs="Arial" w:eastAsia="Arial" w:hAnsi="Arial"/>
          <w:sz w:val="14"/>
          <w:szCs w:val="14"/>
          <w:i w:val="1"/>
          <w:iCs w:val="1"/>
          <w:color w:val="auto"/>
        </w:rPr>
        <w:t>High Tech Industries</w:t>
      </w:r>
    </w:p>
    <w:p>
      <w:pPr>
        <w:spacing w:after="0" w:line="234" w:lineRule="auto"/>
        <w:rPr>
          <w:sz w:val="20"/>
          <w:szCs w:val="20"/>
          <w:color w:val="auto"/>
        </w:rPr>
      </w:pPr>
      <w:r>
        <w:rPr>
          <w:rFonts w:ascii="Arial" w:cs="Arial" w:eastAsia="Arial" w:hAnsi="Arial"/>
          <w:sz w:val="14"/>
          <w:szCs w:val="14"/>
          <w:color w:val="auto"/>
        </w:rPr>
        <w:t>Fender Musical Instruments</w:t>
      </w:r>
    </w:p>
    <w:p>
      <w:pPr>
        <w:ind w:left="180" w:right="720"/>
        <w:spacing w:after="0" w:line="207" w:lineRule="auto"/>
        <w:rPr>
          <w:sz w:val="20"/>
          <w:szCs w:val="20"/>
          <w:color w:val="auto"/>
        </w:rPr>
      </w:pPr>
      <w:r>
        <w:rPr>
          <w:rFonts w:ascii="Arial" w:cs="Arial" w:eastAsia="Arial" w:hAnsi="Arial"/>
          <w:sz w:val="13"/>
          <w:szCs w:val="13"/>
          <w:color w:val="auto"/>
        </w:rPr>
        <w:t>Corporation</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Hotel, Gaming &amp; Leisure</w:t>
      </w:r>
    </w:p>
    <w:p>
      <w:pPr>
        <w:spacing w:after="0" w:line="180" w:lineRule="auto"/>
        <w:rPr>
          <w:sz w:val="20"/>
          <w:szCs w:val="20"/>
          <w:color w:val="auto"/>
        </w:rPr>
      </w:pPr>
      <w:r>
        <w:rPr>
          <w:rFonts w:ascii="Arial" w:cs="Arial" w:eastAsia="Arial" w:hAnsi="Arial"/>
          <w:sz w:val="13"/>
          <w:szCs w:val="13"/>
          <w:color w:val="auto"/>
        </w:rPr>
        <w:t>FHC Health Systems, Inc.</w:t>
      </w:r>
      <w:r>
        <w:rPr>
          <w:rFonts w:ascii="Arial" w:cs="Arial" w:eastAsia="Arial" w:hAnsi="Arial"/>
          <w:sz w:val="21"/>
          <w:szCs w:val="21"/>
          <w:color w:val="auto"/>
          <w:vertAlign w:val="superscript"/>
        </w:rPr>
        <w:t>(9), (11)</w:t>
      </w:r>
    </w:p>
    <w:p>
      <w:pPr>
        <w:ind w:left="180"/>
        <w:spacing w:after="0" w:line="233" w:lineRule="auto"/>
        <w:rPr>
          <w:sz w:val="20"/>
          <w:szCs w:val="20"/>
          <w:color w:val="auto"/>
        </w:rPr>
      </w:pPr>
      <w:r>
        <w:rPr>
          <w:rFonts w:ascii="Arial" w:cs="Arial" w:eastAsia="Arial" w:hAnsi="Arial"/>
          <w:sz w:val="14"/>
          <w:szCs w:val="14"/>
          <w:i w:val="1"/>
          <w:iCs w:val="1"/>
          <w:color w:val="auto"/>
        </w:rPr>
        <w:t>Healthcare &amp; Pharmaceuticals</w:t>
      </w:r>
    </w:p>
    <w:p>
      <w:pPr>
        <w:spacing w:after="0" w:line="199" w:lineRule="auto"/>
        <w:rPr>
          <w:sz w:val="20"/>
          <w:szCs w:val="20"/>
          <w:color w:val="auto"/>
        </w:rPr>
      </w:pPr>
      <w:r>
        <w:rPr>
          <w:rFonts w:ascii="Arial" w:cs="Arial" w:eastAsia="Arial" w:hAnsi="Arial"/>
          <w:sz w:val="12"/>
          <w:szCs w:val="12"/>
          <w:color w:val="auto"/>
        </w:rPr>
        <w:t>First American Payment Systems, L.P.</w:t>
      </w:r>
      <w:r>
        <w:rPr>
          <w:rFonts w:ascii="Arial" w:cs="Arial" w:eastAsia="Arial" w:hAnsi="Arial"/>
          <w:sz w:val="19"/>
          <w:szCs w:val="19"/>
          <w:color w:val="auto"/>
          <w:vertAlign w:val="superscript"/>
        </w:rPr>
        <w:t>(9)</w:t>
      </w:r>
    </w:p>
    <w:p>
      <w:pPr>
        <w:ind w:left="180"/>
        <w:spacing w:after="0" w:line="234" w:lineRule="auto"/>
        <w:rPr>
          <w:sz w:val="20"/>
          <w:szCs w:val="20"/>
          <w:color w:val="auto"/>
        </w:rPr>
      </w:pPr>
      <w:r>
        <w:rPr>
          <w:rFonts w:ascii="Arial" w:cs="Arial" w:eastAsia="Arial" w:hAnsi="Arial"/>
          <w:sz w:val="14"/>
          <w:szCs w:val="14"/>
          <w:i w:val="1"/>
          <w:iCs w:val="1"/>
          <w:color w:val="auto"/>
        </w:rPr>
        <w:t>Finance</w:t>
      </w:r>
    </w:p>
    <w:p>
      <w:pPr>
        <w:spacing w:after="0" w:line="180" w:lineRule="auto"/>
        <w:rPr>
          <w:sz w:val="20"/>
          <w:szCs w:val="20"/>
          <w:color w:val="auto"/>
        </w:rPr>
      </w:pPr>
      <w:r>
        <w:rPr>
          <w:rFonts w:ascii="Arial" w:cs="Arial" w:eastAsia="Arial" w:hAnsi="Arial"/>
          <w:sz w:val="13"/>
          <w:szCs w:val="13"/>
          <w:color w:val="auto"/>
        </w:rPr>
        <w:t>First Data Corporation</w:t>
      </w:r>
      <w:r>
        <w:rPr>
          <w:rFonts w:ascii="Arial" w:cs="Arial" w:eastAsia="Arial" w:hAnsi="Arial"/>
          <w:sz w:val="21"/>
          <w:szCs w:val="21"/>
          <w:color w:val="auto"/>
          <w:vertAlign w:val="superscript"/>
        </w:rPr>
        <w:t>(9), (11)</w:t>
      </w:r>
    </w:p>
    <w:p>
      <w:pPr>
        <w:ind w:left="180" w:right="60"/>
        <w:spacing w:after="0" w:line="221" w:lineRule="auto"/>
        <w:rPr>
          <w:sz w:val="20"/>
          <w:szCs w:val="20"/>
          <w:color w:val="auto"/>
        </w:rPr>
      </w:pPr>
      <w:r>
        <w:rPr>
          <w:rFonts w:ascii="Arial" w:cs="Arial" w:eastAsia="Arial" w:hAnsi="Arial"/>
          <w:sz w:val="14"/>
          <w:szCs w:val="14"/>
          <w:i w:val="1"/>
          <w:iCs w:val="1"/>
          <w:color w:val="auto"/>
        </w:rPr>
        <w:t>Banking, Finance, Insurance &amp; Real Estate</w:t>
      </w:r>
    </w:p>
    <w:p>
      <w:pPr>
        <w:spacing w:after="0" w:line="234" w:lineRule="auto"/>
        <w:rPr>
          <w:sz w:val="20"/>
          <w:szCs w:val="20"/>
          <w:color w:val="auto"/>
        </w:rPr>
      </w:pPr>
      <w:r>
        <w:rPr>
          <w:rFonts w:ascii="Arial" w:cs="Arial" w:eastAsia="Arial" w:hAnsi="Arial"/>
          <w:sz w:val="14"/>
          <w:szCs w:val="14"/>
          <w:color w:val="auto"/>
        </w:rPr>
        <w:t>Flexera Software LLC</w:t>
      </w:r>
    </w:p>
    <w:p>
      <w:pPr>
        <w:ind w:left="180"/>
        <w:spacing w:after="0" w:line="180" w:lineRule="auto"/>
        <w:rPr>
          <w:sz w:val="20"/>
          <w:szCs w:val="20"/>
          <w:color w:val="auto"/>
        </w:rPr>
      </w:pPr>
      <w:r>
        <w:rPr>
          <w:rFonts w:ascii="Arial" w:cs="Arial" w:eastAsia="Arial" w:hAnsi="Arial"/>
          <w:sz w:val="13"/>
          <w:szCs w:val="13"/>
          <w:color w:val="auto"/>
        </w:rPr>
        <w:t>(fka Flexera Software, Inc.)</w:t>
      </w:r>
      <w:r>
        <w:rPr>
          <w:rFonts w:ascii="Arial" w:cs="Arial" w:eastAsia="Arial" w:hAnsi="Arial"/>
          <w:sz w:val="21"/>
          <w:szCs w:val="21"/>
          <w:color w:val="auto"/>
          <w:vertAlign w:val="superscript"/>
        </w:rPr>
        <w:t>(9), (11)</w:t>
      </w:r>
    </w:p>
    <w:p>
      <w:pPr>
        <w:ind w:left="180"/>
        <w:spacing w:after="0" w:line="221" w:lineRule="auto"/>
        <w:rPr>
          <w:sz w:val="20"/>
          <w:szCs w:val="20"/>
          <w:color w:val="auto"/>
        </w:rPr>
      </w:pPr>
      <w:r>
        <w:rPr>
          <w:rFonts w:ascii="Arial" w:cs="Arial" w:eastAsia="Arial" w:hAnsi="Arial"/>
          <w:sz w:val="14"/>
          <w:szCs w:val="14"/>
          <w:i w:val="1"/>
          <w:iCs w:val="1"/>
          <w:color w:val="auto"/>
        </w:rPr>
        <w:t>High Tech Industries</w:t>
      </w:r>
    </w:p>
    <w:p>
      <w:pPr>
        <w:spacing w:after="0" w:line="233" w:lineRule="auto"/>
        <w:rPr>
          <w:sz w:val="20"/>
          <w:szCs w:val="20"/>
          <w:color w:val="auto"/>
        </w:rPr>
      </w:pPr>
      <w:r>
        <w:rPr>
          <w:rFonts w:ascii="Arial" w:cs="Arial" w:eastAsia="Arial" w:hAnsi="Arial"/>
          <w:sz w:val="14"/>
          <w:szCs w:val="14"/>
          <w:color w:val="auto"/>
        </w:rPr>
        <w:t>Fram Group Holdings Inc./Prestone</w:t>
      </w:r>
    </w:p>
    <w:p>
      <w:pPr>
        <w:ind w:left="180"/>
        <w:spacing w:after="0" w:line="180" w:lineRule="auto"/>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(9), (11)</w:t>
      </w:r>
    </w:p>
    <w:p>
      <w:pPr>
        <w:ind w:left="180"/>
        <w:spacing w:after="0" w:line="222" w:lineRule="auto"/>
        <w:rPr>
          <w:sz w:val="20"/>
          <w:szCs w:val="20"/>
          <w:color w:val="auto"/>
        </w:rPr>
      </w:pPr>
      <w:r>
        <w:rPr>
          <w:rFonts w:ascii="Arial" w:cs="Arial" w:eastAsia="Arial" w:hAnsi="Arial"/>
          <w:sz w:val="14"/>
          <w:szCs w:val="14"/>
          <w:i w:val="1"/>
          <w:iCs w:val="1"/>
          <w:color w:val="auto"/>
        </w:rPr>
        <w:t>Automotive</w:t>
      </w:r>
    </w:p>
    <w:p>
      <w:pPr>
        <w:spacing w:after="0" w:line="221" w:lineRule="auto"/>
        <w:rPr>
          <w:sz w:val="20"/>
          <w:szCs w:val="20"/>
          <w:color w:val="auto"/>
        </w:rPr>
      </w:pPr>
      <w:r>
        <w:rPr>
          <w:rFonts w:ascii="Arial" w:cs="Arial" w:eastAsia="Arial" w:hAnsi="Arial"/>
          <w:sz w:val="14"/>
          <w:szCs w:val="14"/>
          <w:color w:val="auto"/>
        </w:rPr>
        <w:t>Freescale Semiconductor,</w:t>
      </w:r>
    </w:p>
    <w:p>
      <w:pPr>
        <w:ind w:left="180"/>
        <w:spacing w:after="0" w:line="222" w:lineRule="auto"/>
        <w:rPr>
          <w:sz w:val="20"/>
          <w:szCs w:val="20"/>
          <w:color w:val="auto"/>
        </w:rPr>
      </w:pPr>
      <w:r>
        <w:rPr>
          <w:rFonts w:ascii="Arial" w:cs="Arial" w:eastAsia="Arial" w:hAnsi="Arial"/>
          <w:sz w:val="14"/>
          <w:szCs w:val="14"/>
          <w:color w:val="auto"/>
        </w:rPr>
        <w:t>Inc.</w:t>
      </w:r>
    </w:p>
    <w:p>
      <w:pPr>
        <w:ind w:left="180"/>
        <w:spacing w:after="0" w:line="233" w:lineRule="auto"/>
        <w:rPr>
          <w:sz w:val="20"/>
          <w:szCs w:val="20"/>
          <w:color w:val="auto"/>
        </w:rPr>
      </w:pPr>
      <w:r>
        <w:rPr>
          <w:rFonts w:ascii="Arial" w:cs="Arial" w:eastAsia="Arial" w:hAnsi="Arial"/>
          <w:sz w:val="14"/>
          <w:szCs w:val="14"/>
          <w:i w:val="1"/>
          <w:iCs w:val="1"/>
          <w:color w:val="auto"/>
        </w:rPr>
        <w:t>High Tech Industries</w:t>
      </w:r>
    </w:p>
    <w:p>
      <w:pPr>
        <w:spacing w:after="0" w:line="180" w:lineRule="auto"/>
        <w:rPr>
          <w:sz w:val="20"/>
          <w:szCs w:val="20"/>
          <w:color w:val="auto"/>
        </w:rPr>
      </w:pPr>
      <w:r>
        <w:rPr>
          <w:rFonts w:ascii="Arial" w:cs="Arial" w:eastAsia="Arial" w:hAnsi="Arial"/>
          <w:sz w:val="13"/>
          <w:szCs w:val="13"/>
          <w:color w:val="auto"/>
        </w:rPr>
        <w:t>Getty Images, Inc.</w:t>
      </w:r>
      <w:r>
        <w:rPr>
          <w:rFonts w:ascii="Arial" w:cs="Arial" w:eastAsia="Arial" w:hAnsi="Arial"/>
          <w:sz w:val="21"/>
          <w:szCs w:val="21"/>
          <w:color w:val="auto"/>
          <w:vertAlign w:val="superscript"/>
        </w:rPr>
        <w:t>(9), (11)</w:t>
      </w:r>
    </w:p>
    <w:p>
      <w:pPr>
        <w:spacing w:after="0" w:line="1" w:lineRule="exact"/>
        <w:rPr>
          <w:sz w:val="20"/>
          <w:szCs w:val="20"/>
          <w:color w:val="auto"/>
        </w:rPr>
      </w:pPr>
    </w:p>
    <w:p>
      <w:pPr>
        <w:ind w:left="180" w:right="380"/>
        <w:spacing w:after="0" w:line="221" w:lineRule="auto"/>
        <w:rPr>
          <w:sz w:val="20"/>
          <w:szCs w:val="20"/>
          <w:color w:val="auto"/>
        </w:rPr>
      </w:pPr>
      <w:r>
        <w:rPr>
          <w:rFonts w:ascii="Arial" w:cs="Arial" w:eastAsia="Arial" w:hAnsi="Arial"/>
          <w:sz w:val="14"/>
          <w:szCs w:val="14"/>
          <w:i w:val="1"/>
          <w:iCs w:val="1"/>
          <w:color w:val="auto"/>
        </w:rPr>
        <w:t>Media: Advertising, Printing &amp; Publishing</w:t>
      </w:r>
    </w:p>
    <w:p>
      <w:pPr>
        <w:spacing w:after="0" w:line="234" w:lineRule="auto"/>
        <w:rPr>
          <w:sz w:val="20"/>
          <w:szCs w:val="20"/>
          <w:color w:val="auto"/>
        </w:rPr>
      </w:pPr>
      <w:r>
        <w:rPr>
          <w:rFonts w:ascii="Arial" w:cs="Arial" w:eastAsia="Arial" w:hAnsi="Arial"/>
          <w:sz w:val="14"/>
          <w:szCs w:val="14"/>
          <w:color w:val="auto"/>
        </w:rPr>
        <w:t>Ginn LA Conduit Lender,</w:t>
      </w:r>
    </w:p>
    <w:p>
      <w:pPr>
        <w:ind w:left="180"/>
        <w:spacing w:after="0" w:line="180"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(7), (9)</w:t>
      </w:r>
    </w:p>
    <w:p>
      <w:pPr>
        <w:ind w:right="760" w:firstLine="180"/>
        <w:spacing w:after="0" w:line="244" w:lineRule="auto"/>
        <w:rPr>
          <w:sz w:val="20"/>
          <w:szCs w:val="20"/>
          <w:color w:val="auto"/>
        </w:rPr>
      </w:pPr>
      <w:r>
        <w:rPr>
          <w:rFonts w:ascii="Arial" w:cs="Arial" w:eastAsia="Arial" w:hAnsi="Arial"/>
          <w:sz w:val="13"/>
          <w:szCs w:val="13"/>
          <w:i w:val="1"/>
          <w:iCs w:val="1"/>
          <w:color w:val="auto"/>
        </w:rPr>
        <w:t xml:space="preserve">Construction &amp; Building </w:t>
      </w:r>
      <w:r>
        <w:rPr>
          <w:rFonts w:ascii="Arial" w:cs="Arial" w:eastAsia="Arial" w:hAnsi="Arial"/>
          <w:sz w:val="13"/>
          <w:szCs w:val="13"/>
          <w:color w:val="auto"/>
        </w:rPr>
        <w:t>Ginn LA Conduit Lender,</w:t>
      </w:r>
    </w:p>
    <w:p>
      <w:pPr>
        <w:ind w:left="180"/>
        <w:spacing w:after="0" w:line="181"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(7), (9)</w:t>
      </w:r>
    </w:p>
    <w:p>
      <w:pPr>
        <w:ind w:right="760" w:firstLine="180"/>
        <w:spacing w:after="0" w:line="244" w:lineRule="auto"/>
        <w:rPr>
          <w:sz w:val="20"/>
          <w:szCs w:val="20"/>
          <w:color w:val="auto"/>
        </w:rPr>
      </w:pPr>
      <w:r>
        <w:rPr>
          <w:rFonts w:ascii="Arial" w:cs="Arial" w:eastAsia="Arial" w:hAnsi="Arial"/>
          <w:sz w:val="13"/>
          <w:szCs w:val="13"/>
          <w:i w:val="1"/>
          <w:iCs w:val="1"/>
          <w:color w:val="auto"/>
        </w:rPr>
        <w:t xml:space="preserve">Construction &amp; Building </w:t>
      </w:r>
      <w:r>
        <w:rPr>
          <w:rFonts w:ascii="Arial" w:cs="Arial" w:eastAsia="Arial" w:hAnsi="Arial"/>
          <w:sz w:val="13"/>
          <w:szCs w:val="13"/>
          <w:color w:val="auto"/>
        </w:rPr>
        <w:t>Ginn LA Conduit Lender,</w:t>
      </w:r>
    </w:p>
    <w:p>
      <w:pPr>
        <w:ind w:left="180"/>
        <w:spacing w:after="0" w:line="181"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(7), (9)</w:t>
      </w:r>
    </w:p>
    <w:p>
      <w:pPr>
        <w:ind w:left="180"/>
        <w:spacing w:after="0" w:line="233" w:lineRule="auto"/>
        <w:rPr>
          <w:sz w:val="20"/>
          <w:szCs w:val="20"/>
          <w:color w:val="auto"/>
        </w:rPr>
      </w:pPr>
      <w:r>
        <w:rPr>
          <w:rFonts w:ascii="Arial" w:cs="Arial" w:eastAsia="Arial" w:hAnsi="Arial"/>
          <w:sz w:val="14"/>
          <w:szCs w:val="14"/>
          <w:i w:val="1"/>
          <w:iCs w:val="1"/>
          <w:color w:val="auto"/>
        </w:rPr>
        <w:t>Construction &amp; Building</w:t>
      </w:r>
    </w:p>
    <w:p>
      <w:pPr>
        <w:spacing w:after="0" w:line="180" w:lineRule="auto"/>
        <w:rPr>
          <w:sz w:val="20"/>
          <w:szCs w:val="20"/>
          <w:color w:val="auto"/>
        </w:rPr>
      </w:pPr>
      <w:r>
        <w:rPr>
          <w:rFonts w:ascii="Arial" w:cs="Arial" w:eastAsia="Arial" w:hAnsi="Arial"/>
          <w:sz w:val="13"/>
          <w:szCs w:val="13"/>
          <w:color w:val="auto"/>
        </w:rPr>
        <w:t>Global Tel*Link Corporation</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Grande Communications</w:t>
      </w:r>
    </w:p>
    <w:p>
      <w:pPr>
        <w:ind w:left="180"/>
        <w:spacing w:after="0" w:line="187" w:lineRule="auto"/>
        <w:rPr>
          <w:sz w:val="20"/>
          <w:szCs w:val="20"/>
          <w:color w:val="auto"/>
        </w:rPr>
      </w:pPr>
      <w:r>
        <w:rPr>
          <w:rFonts w:ascii="Arial" w:cs="Arial" w:eastAsia="Arial" w:hAnsi="Arial"/>
          <w:sz w:val="13"/>
          <w:szCs w:val="13"/>
          <w:color w:val="auto"/>
        </w:rPr>
        <w:t>Networks LLC</w:t>
      </w:r>
      <w:r>
        <w:rPr>
          <w:rFonts w:ascii="Arial" w:cs="Arial" w:eastAsia="Arial" w:hAnsi="Arial"/>
          <w:sz w:val="21"/>
          <w:szCs w:val="21"/>
          <w:color w:val="auto"/>
          <w:vertAlign w:val="superscript"/>
        </w:rPr>
        <w:t>(9), (11)</w:t>
      </w:r>
    </w:p>
    <w:p>
      <w:pPr>
        <w:ind w:left="180"/>
        <w:spacing w:after="0" w:line="233" w:lineRule="auto"/>
        <w:rPr>
          <w:sz w:val="20"/>
          <w:szCs w:val="20"/>
          <w:color w:val="auto"/>
        </w:rPr>
      </w:pPr>
      <w:r>
        <w:rPr>
          <w:rFonts w:ascii="Arial" w:cs="Arial" w:eastAsia="Arial" w:hAnsi="Arial"/>
          <w:sz w:val="14"/>
          <w:szCs w:val="14"/>
          <w:i w:val="1"/>
          <w:iCs w:val="1"/>
          <w:color w:val="auto"/>
        </w:rPr>
        <w:t>Telecommunications</w:t>
      </w:r>
    </w:p>
    <w:p>
      <w:pPr>
        <w:spacing w:after="0" w:line="180" w:lineRule="auto"/>
        <w:rPr>
          <w:sz w:val="20"/>
          <w:szCs w:val="20"/>
          <w:color w:val="auto"/>
        </w:rPr>
      </w:pPr>
      <w:r>
        <w:rPr>
          <w:rFonts w:ascii="Arial" w:cs="Arial" w:eastAsia="Arial" w:hAnsi="Arial"/>
          <w:sz w:val="13"/>
          <w:szCs w:val="13"/>
          <w:color w:val="auto"/>
        </w:rPr>
        <w:t>Grupo HIMA San Pablo, Inc.</w:t>
      </w:r>
      <w:r>
        <w:rPr>
          <w:rFonts w:ascii="Arial" w:cs="Arial" w:eastAsia="Arial" w:hAnsi="Arial"/>
          <w:sz w:val="21"/>
          <w:szCs w:val="21"/>
          <w:color w:val="auto"/>
          <w:vertAlign w:val="superscript"/>
        </w:rPr>
        <w:t>(9)</w:t>
      </w:r>
    </w:p>
    <w:p>
      <w:pPr>
        <w:ind w:left="180"/>
        <w:spacing w:after="0" w:line="222" w:lineRule="auto"/>
        <w:rPr>
          <w:sz w:val="20"/>
          <w:szCs w:val="20"/>
          <w:color w:val="auto"/>
        </w:rPr>
      </w:pPr>
      <w:r>
        <w:rPr>
          <w:rFonts w:ascii="Arial" w:cs="Arial" w:eastAsia="Arial" w:hAnsi="Arial"/>
          <w:sz w:val="14"/>
          <w:szCs w:val="14"/>
          <w:i w:val="1"/>
          <w:iCs w:val="1"/>
          <w:color w:val="auto"/>
        </w:rPr>
        <w:t>Healthcare, Education and</w:t>
      </w:r>
    </w:p>
    <w:p>
      <w:pPr>
        <w:ind w:left="180"/>
        <w:spacing w:after="0" w:line="233" w:lineRule="auto"/>
        <w:rPr>
          <w:sz w:val="20"/>
          <w:szCs w:val="20"/>
          <w:color w:val="auto"/>
        </w:rPr>
      </w:pPr>
      <w:r>
        <w:rPr>
          <w:rFonts w:ascii="Arial" w:cs="Arial" w:eastAsia="Arial" w:hAnsi="Arial"/>
          <w:sz w:val="14"/>
          <w:szCs w:val="14"/>
          <w:i w:val="1"/>
          <w:iCs w:val="1"/>
          <w:color w:val="auto"/>
        </w:rPr>
        <w:t>Childcare</w:t>
      </w:r>
    </w:p>
    <w:p>
      <w:pPr>
        <w:spacing w:after="0" w:line="180" w:lineRule="auto"/>
        <w:rPr>
          <w:sz w:val="20"/>
          <w:szCs w:val="20"/>
          <w:color w:val="auto"/>
        </w:rPr>
      </w:pPr>
      <w:r>
        <w:rPr>
          <w:rFonts w:ascii="Arial" w:cs="Arial" w:eastAsia="Arial" w:hAnsi="Arial"/>
          <w:sz w:val="13"/>
          <w:szCs w:val="13"/>
          <w:color w:val="auto"/>
        </w:rPr>
        <w:t>Grupo HIMA San Pablo, Inc.</w:t>
      </w:r>
      <w:r>
        <w:rPr>
          <w:rFonts w:ascii="Arial" w:cs="Arial" w:eastAsia="Arial" w:hAnsi="Arial"/>
          <w:sz w:val="21"/>
          <w:szCs w:val="21"/>
          <w:color w:val="auto"/>
          <w:vertAlign w:val="superscript"/>
        </w:rPr>
        <w:t>(9)</w:t>
      </w:r>
    </w:p>
    <w:p>
      <w:pPr>
        <w:ind w:left="180"/>
        <w:spacing w:after="0" w:line="222" w:lineRule="auto"/>
        <w:rPr>
          <w:sz w:val="20"/>
          <w:szCs w:val="20"/>
          <w:color w:val="auto"/>
        </w:rPr>
      </w:pPr>
      <w:r>
        <w:rPr>
          <w:rFonts w:ascii="Arial" w:cs="Arial" w:eastAsia="Arial" w:hAnsi="Arial"/>
          <w:sz w:val="14"/>
          <w:szCs w:val="14"/>
          <w:i w:val="1"/>
          <w:iCs w:val="1"/>
          <w:color w:val="auto"/>
        </w:rPr>
        <w:t>Healthcare, Education and</w:t>
      </w:r>
    </w:p>
    <w:p>
      <w:pPr>
        <w:ind w:left="180"/>
        <w:spacing w:after="0" w:line="221" w:lineRule="auto"/>
        <w:rPr>
          <w:sz w:val="20"/>
          <w:szCs w:val="20"/>
          <w:color w:val="auto"/>
        </w:rPr>
      </w:pPr>
      <w:r>
        <w:rPr>
          <w:rFonts w:ascii="Arial" w:cs="Arial" w:eastAsia="Arial" w:hAnsi="Arial"/>
          <w:sz w:val="14"/>
          <w:szCs w:val="14"/>
          <w:i w:val="1"/>
          <w:iCs w:val="1"/>
          <w:color w:val="auto"/>
        </w:rPr>
        <w:t>Childcare</w:t>
      </w:r>
    </w:p>
    <w:p>
      <w:pPr>
        <w:spacing w:after="0" w:line="234" w:lineRule="auto"/>
        <w:rPr>
          <w:sz w:val="20"/>
          <w:szCs w:val="20"/>
          <w:color w:val="auto"/>
        </w:rPr>
      </w:pPr>
      <w:r>
        <w:rPr>
          <w:rFonts w:ascii="Arial" w:cs="Arial" w:eastAsia="Arial" w:hAnsi="Arial"/>
          <w:sz w:val="14"/>
          <w:szCs w:val="14"/>
          <w:color w:val="auto"/>
        </w:rPr>
        <w:t>Gymboree Corporation.,</w:t>
      </w:r>
    </w:p>
    <w:p>
      <w:pPr>
        <w:ind w:left="180"/>
        <w:spacing w:after="0" w:line="180" w:lineRule="auto"/>
        <w:rPr>
          <w:sz w:val="20"/>
          <w:szCs w:val="20"/>
          <w:color w:val="auto"/>
        </w:rPr>
      </w:pPr>
      <w:r>
        <w:rPr>
          <w:rFonts w:ascii="Arial" w:cs="Arial" w:eastAsia="Arial" w:hAnsi="Arial"/>
          <w:sz w:val="13"/>
          <w:szCs w:val="13"/>
          <w:color w:val="auto"/>
        </w:rPr>
        <w:t>The</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Retail</w:t>
      </w:r>
    </w:p>
    <w:p>
      <w:pPr>
        <w:spacing w:after="0" w:line="233" w:lineRule="auto"/>
        <w:rPr>
          <w:sz w:val="20"/>
          <w:szCs w:val="20"/>
          <w:color w:val="auto"/>
        </w:rPr>
      </w:pPr>
      <w:r>
        <w:rPr>
          <w:rFonts w:ascii="Arial" w:cs="Arial" w:eastAsia="Arial" w:hAnsi="Arial"/>
          <w:sz w:val="14"/>
          <w:szCs w:val="14"/>
          <w:color w:val="auto"/>
        </w:rPr>
        <w:t>Hargray Communications Group, Inc.</w:t>
      </w:r>
    </w:p>
    <w:p>
      <w:pPr>
        <w:ind w:left="180"/>
        <w:spacing w:after="0" w:line="180" w:lineRule="auto"/>
        <w:rPr>
          <w:sz w:val="20"/>
          <w:szCs w:val="20"/>
          <w:color w:val="auto"/>
        </w:rPr>
      </w:pPr>
      <w:r>
        <w:rPr>
          <w:rFonts w:ascii="Arial" w:cs="Arial" w:eastAsia="Arial" w:hAnsi="Arial"/>
          <w:sz w:val="13"/>
          <w:szCs w:val="13"/>
          <w:color w:val="auto"/>
        </w:rPr>
        <w:t>(HCP Acquisition LLC)</w:t>
      </w:r>
      <w:r>
        <w:rPr>
          <w:rFonts w:ascii="Arial" w:cs="Arial" w:eastAsia="Arial" w:hAnsi="Arial"/>
          <w:sz w:val="21"/>
          <w:szCs w:val="21"/>
          <w:color w:val="auto"/>
          <w:vertAlign w:val="superscript"/>
        </w:rPr>
        <w:t>(9), (11)</w:t>
      </w:r>
    </w:p>
    <w:p>
      <w:pPr>
        <w:ind w:right="60" w:firstLine="180"/>
        <w:spacing w:after="0" w:line="244" w:lineRule="auto"/>
        <w:rPr>
          <w:sz w:val="20"/>
          <w:szCs w:val="20"/>
          <w:color w:val="auto"/>
        </w:rPr>
      </w:pPr>
      <w:r>
        <w:rPr>
          <w:rFonts w:ascii="Arial" w:cs="Arial" w:eastAsia="Arial" w:hAnsi="Arial"/>
          <w:sz w:val="13"/>
          <w:szCs w:val="13"/>
          <w:i w:val="1"/>
          <w:iCs w:val="1"/>
          <w:color w:val="auto"/>
        </w:rPr>
        <w:t xml:space="preserve">Media: Broadcasting &amp; Subscription </w:t>
      </w:r>
      <w:r>
        <w:rPr>
          <w:rFonts w:ascii="Arial" w:cs="Arial" w:eastAsia="Arial" w:hAnsi="Arial"/>
          <w:sz w:val="13"/>
          <w:szCs w:val="13"/>
          <w:color w:val="auto"/>
        </w:rPr>
        <w:t>Harland Clarke Holdings Corp.</w:t>
      </w:r>
    </w:p>
    <w:p>
      <w:pPr>
        <w:spacing w:after="0" w:line="1" w:lineRule="exact"/>
        <w:rPr>
          <w:sz w:val="20"/>
          <w:szCs w:val="20"/>
          <w:color w:val="auto"/>
        </w:rPr>
      </w:pPr>
    </w:p>
    <w:p>
      <w:pPr>
        <w:ind w:left="180" w:right="120"/>
        <w:spacing w:after="0" w:line="189" w:lineRule="auto"/>
        <w:rPr>
          <w:sz w:val="20"/>
          <w:szCs w:val="20"/>
          <w:color w:val="auto"/>
        </w:rPr>
      </w:pPr>
      <w:r>
        <w:rPr>
          <w:rFonts w:ascii="Arial" w:cs="Arial" w:eastAsia="Arial" w:hAnsi="Arial"/>
          <w:sz w:val="13"/>
          <w:szCs w:val="13"/>
          <w:color w:val="auto"/>
        </w:rPr>
        <w:t>(fka Clarke American Corp.)</w:t>
      </w:r>
      <w:r>
        <w:rPr>
          <w:rFonts w:ascii="Arial" w:cs="Arial" w:eastAsia="Arial" w:hAnsi="Arial"/>
          <w:sz w:val="21"/>
          <w:szCs w:val="21"/>
          <w:color w:val="auto"/>
          <w:vertAlign w:val="superscript"/>
        </w:rPr>
        <w:t>(9), (11)</w:t>
      </w:r>
      <w:r>
        <w:rPr>
          <w:rFonts w:ascii="Arial" w:cs="Arial" w:eastAsia="Arial" w:hAnsi="Arial"/>
          <w:sz w:val="13"/>
          <w:szCs w:val="13"/>
          <w:color w:val="auto"/>
        </w:rPr>
        <w:t xml:space="preserve"> </w:t>
      </w:r>
      <w:r>
        <w:rPr>
          <w:rFonts w:ascii="Arial" w:cs="Arial" w:eastAsia="Arial" w:hAnsi="Arial"/>
          <w:sz w:val="13"/>
          <w:szCs w:val="13"/>
          <w:i w:val="1"/>
          <w:iCs w:val="1"/>
          <w:color w:val="auto"/>
        </w:rPr>
        <w:t>Media: Advertising, Printing &amp; Publishing</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ind w:left="88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22"/>
                <w:szCs w:val="22"/>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r>
      <w:tr>
        <w:trPr>
          <w:trHeight w:val="202"/>
        </w:trPr>
        <w:tc>
          <w:tcPr>
            <w:tcW w:w="2460" w:type="dxa"/>
            <w:vAlign w:val="bottom"/>
            <w:tcBorders>
              <w:bottom w:val="single" w:sz="8" w:color="auto"/>
            </w:tcBorders>
          </w:tcPr>
          <w:p>
            <w:pPr>
              <w:ind w:left="460"/>
              <w:spacing w:after="0" w:line="20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23"/>
        </w:trPr>
        <w:tc>
          <w:tcPr>
            <w:tcW w:w="2460" w:type="dxa"/>
            <w:vAlign w:val="bottom"/>
          </w:tcPr>
          <w:p>
            <w:pPr>
              <w:ind w:left="80"/>
              <w:spacing w:after="0" w:line="123" w:lineRule="exact"/>
              <w:rPr>
                <w:sz w:val="20"/>
                <w:szCs w:val="20"/>
                <w:color w:val="auto"/>
              </w:rPr>
            </w:pPr>
            <w:r>
              <w:rPr>
                <w:rFonts w:ascii="Arial" w:cs="Arial" w:eastAsia="Arial" w:hAnsi="Arial"/>
                <w:sz w:val="14"/>
                <w:szCs w:val="14"/>
                <w:color w:val="auto"/>
              </w:rPr>
              <w:t>Preferred Stock — 12.000% —</w:t>
            </w:r>
          </w:p>
        </w:tc>
        <w:tc>
          <w:tcPr>
            <w:tcW w:w="16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w w:val="97"/>
              </w:rPr>
              <w:t>$ 10,000,000</w:t>
            </w:r>
          </w:p>
        </w:tc>
        <w:tc>
          <w:tcPr>
            <w:tcW w:w="16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w w:val="97"/>
              </w:rPr>
              <w:t>$ 10,000,000</w:t>
            </w:r>
          </w:p>
        </w:tc>
        <w:tc>
          <w:tcPr>
            <w:tcW w:w="160" w:type="dxa"/>
            <w:vAlign w:val="bottom"/>
          </w:tcPr>
          <w:p>
            <w:pPr>
              <w:spacing w:after="0"/>
              <w:rPr>
                <w:sz w:val="10"/>
                <w:szCs w:val="10"/>
                <w:color w:val="auto"/>
              </w:rPr>
            </w:pPr>
          </w:p>
        </w:tc>
        <w:tc>
          <w:tcPr>
            <w:tcW w:w="980" w:type="dxa"/>
            <w:vAlign w:val="bottom"/>
          </w:tcPr>
          <w:p>
            <w:pPr>
              <w:jc w:val="right"/>
              <w:spacing w:after="0" w:line="123" w:lineRule="exact"/>
              <w:rPr>
                <w:sz w:val="20"/>
                <w:szCs w:val="20"/>
                <w:color w:val="auto"/>
              </w:rPr>
            </w:pPr>
            <w:r>
              <w:rPr>
                <w:rFonts w:ascii="Arial" w:cs="Arial" w:eastAsia="Arial" w:hAnsi="Arial"/>
                <w:sz w:val="14"/>
                <w:szCs w:val="14"/>
                <w:color w:val="auto"/>
              </w:rPr>
              <w:t>$   10,600,000</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12/2049 — Series A IncomePreferred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w w:val="97"/>
              </w:rPr>
              <w:t>Securities 10.0% Cash, 2.0% PIK, Due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12/49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3,018,871</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3,001,500</w:t>
            </w: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(Second Lien) 8.5% Cash, Due 7/21</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3,657,500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3,655,989</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3,659,329</w:t>
            </w: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4.8% Cash, Due 7/20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Initial Term</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2,789,388</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2,783,753</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2,803,321</w:t>
            </w: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Loan 4.0% Cash, Due 3/18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2,500,000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2,493,817</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2,493,750</w:t>
            </w: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(Second Lien) 8.0% Cash, Due 5/21</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1,898,703</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1,835,507</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1,893,577</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(First Lien) 8.0% Cash, Due 6/18</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Initial</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2,421,986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2,434,723</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2,463,620</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5.8% Cash, Due 4/19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246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3,864,809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3,900,000</w:t>
            </w: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5.8% Cash, Due 1/18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2,951,174</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2,999,400</w:t>
            </w: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(Second Lien) 10.8% Cash, Due 4/19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2018 Dollar</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1,875,135</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2,006,520</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4.2% Cash, Due 3/18</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2,722,955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2,734,588</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2,725,133</w:t>
            </w: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5.0% Cash, Due 3/19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04"/>
        </w:trPr>
        <w:tc>
          <w:tcPr>
            <w:tcW w:w="246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966,900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970,557</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966,610</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6.5% Cash, Due 7/17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Subordinated Bond —</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1,036,000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1,037,707</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1,051,540</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10.125% — 12/2016 — 35687MAP2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10.1% Cash, Due 12/16</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3,711,259</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3,711,065</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3,471,698</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4.8% Cash, Due 10/19</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First Lien</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1,257,143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1,224,101</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37,714</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Tranche A Credit-Linked Deposit</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7.8% Cash, Due 6/11</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First Lien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2,694,857</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2,624,028</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80,846</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Tranche B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7.8% Cash, Due 6/11</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2,715,997</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30,015</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11.8% Cash, Due 6/12</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2460" w:type="dxa"/>
            <w:vAlign w:val="bottom"/>
          </w:tcPr>
          <w:p>
            <w:pPr>
              <w:ind w:left="80"/>
              <w:spacing w:after="0"/>
              <w:rPr>
                <w:sz w:val="20"/>
                <w:szCs w:val="20"/>
                <w:color w:val="auto"/>
              </w:rPr>
            </w:pPr>
            <w:r>
              <w:rPr>
                <w:rFonts w:ascii="Arial" w:cs="Arial" w:eastAsia="Arial" w:hAnsi="Arial"/>
                <w:sz w:val="14"/>
                <w:szCs w:val="14"/>
                <w:color w:val="auto"/>
              </w:rPr>
              <w:t>Junior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3,924,752</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3,991,600</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9.0% Cash, Due 11/20</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3,980,000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3,985,209</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3,980,398</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4.5% Cash, Due 5/20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2460" w:type="dxa"/>
            <w:vAlign w:val="bottom"/>
          </w:tcPr>
          <w:p>
            <w:pPr>
              <w:ind w:left="80"/>
              <w:spacing w:after="0"/>
              <w:rPr>
                <w:sz w:val="20"/>
                <w:szCs w:val="20"/>
                <w:color w:val="auto"/>
              </w:rPr>
            </w:pPr>
            <w:r>
              <w:rPr>
                <w:rFonts w:ascii="Arial" w:cs="Arial" w:eastAsia="Arial" w:hAnsi="Arial"/>
                <w:sz w:val="14"/>
                <w:szCs w:val="14"/>
                <w:color w:val="auto"/>
              </w:rPr>
              <w:t>Senior Secured Loan — Term B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2,977,500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2,928,848</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2,813,738</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8.5% PIK, Due 1/18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Junior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7,000,000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6,865,363</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6,817,300</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13.8% PIK, Due 7/18</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1,421,105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1,377,305</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1,332,286</w:t>
            </w: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5.0% Cash, Due 2/18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2,985,000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2,957,575</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2,986,194</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4.8% Cash, Due 6/19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55"/>
        </w:trPr>
        <w:tc>
          <w:tcPr>
            <w:tcW w:w="2460" w:type="dxa"/>
            <w:vAlign w:val="bottom"/>
          </w:tcPr>
          <w:p>
            <w:pPr>
              <w:ind w:left="80"/>
              <w:spacing w:after="0" w:line="155" w:lineRule="exact"/>
              <w:rPr>
                <w:sz w:val="20"/>
                <w:szCs w:val="20"/>
                <w:color w:val="auto"/>
              </w:rPr>
            </w:pPr>
            <w:r>
              <w:rPr>
                <w:rFonts w:ascii="Arial" w:cs="Arial" w:eastAsia="Arial" w:hAnsi="Arial"/>
                <w:sz w:val="14"/>
                <w:szCs w:val="14"/>
                <w:color w:val="auto"/>
              </w:rPr>
              <w:t>Senior Secured Loan — Tranche</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3,456,250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3,424,170</w:t>
            </w: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3,488,341</w:t>
            </w: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B-3</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46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2460" w:type="dxa"/>
            <w:vAlign w:val="bottom"/>
          </w:tcPr>
          <w:p>
            <w:pPr>
              <w:ind w:left="80"/>
              <w:spacing w:after="0"/>
              <w:rPr>
                <w:sz w:val="20"/>
                <w:szCs w:val="20"/>
                <w:color w:val="auto"/>
              </w:rPr>
            </w:pPr>
            <w:r>
              <w:rPr>
                <w:rFonts w:ascii="Arial" w:cs="Arial" w:eastAsia="Arial" w:hAnsi="Arial"/>
                <w:sz w:val="14"/>
                <w:szCs w:val="14"/>
                <w:color w:val="auto"/>
              </w:rPr>
              <w:t>7.0% Cash, Due 5/18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-6775450</wp:posOffset>
            </wp:positionV>
            <wp:extent cx="5213985" cy="3771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3771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-6183630</wp:posOffset>
            </wp:positionV>
            <wp:extent cx="5213985"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-5754370</wp:posOffset>
            </wp:positionV>
            <wp:extent cx="5213985"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-5325745</wp:posOffset>
            </wp:positionV>
            <wp:extent cx="5213985" cy="308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-4802505</wp:posOffset>
            </wp:positionV>
            <wp:extent cx="5213985"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-4279900</wp:posOffset>
            </wp:positionV>
            <wp:extent cx="5213985" cy="3086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-3662045</wp:posOffset>
            </wp:positionV>
            <wp:extent cx="5213985" cy="2832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-3070225</wp:posOffset>
            </wp:positionV>
            <wp:extent cx="5213985" cy="3086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-2453005</wp:posOffset>
            </wp:positionV>
            <wp:extent cx="5213985" cy="3086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-1835785</wp:posOffset>
            </wp:positionV>
            <wp:extent cx="5213985" cy="3086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-1217930</wp:posOffset>
            </wp:positionV>
            <wp:extent cx="5213985" cy="3086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-694690</wp:posOffset>
            </wp:positionV>
            <wp:extent cx="5213985" cy="3086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-7075170</wp:posOffset>
            </wp:positionV>
            <wp:extent cx="35845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-1138555</wp:posOffset>
            </wp:positionH>
            <wp:positionV relativeFrom="paragraph">
              <wp:posOffset>105410</wp:posOffset>
            </wp:positionV>
            <wp:extent cx="6114415"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360" w:space="200"/>
            <w:col w:w="7519"/>
          </w:cols>
          <w:pgMar w:left="380" w:top="755" w:right="144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wp:posOffset>
            </wp:positionV>
            <wp:extent cx="15093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b w:val="1"/>
          <w:bCs w:val="1"/>
          <w:color w:val="auto"/>
        </w:rPr>
        <w:t>Portfolio Company/</w:t>
      </w:r>
    </w:p>
    <w:p>
      <w:pPr>
        <w:spacing w:after="0"/>
        <w:rPr>
          <w:sz w:val="20"/>
          <w:szCs w:val="20"/>
          <w:color w:val="auto"/>
        </w:rPr>
      </w:pPr>
      <w:r>
        <w:rPr>
          <w:rFonts w:ascii="Arial" w:cs="Arial" w:eastAsia="Arial" w:hAnsi="Arial"/>
          <w:sz w:val="14"/>
          <w:szCs w:val="14"/>
          <w:b w:val="1"/>
          <w:bCs w:val="1"/>
          <w:color w:val="auto"/>
        </w:rPr>
        <w:t>Principal Business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16465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ind w:left="180"/>
        <w:spacing w:after="0" w:line="187" w:lineRule="auto"/>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(9)</w:t>
      </w:r>
    </w:p>
    <w:p>
      <w:pPr>
        <w:ind w:left="180"/>
        <w:spacing w:after="0" w:line="233" w:lineRule="auto"/>
        <w:rPr>
          <w:sz w:val="20"/>
          <w:szCs w:val="20"/>
          <w:color w:val="auto"/>
        </w:rPr>
      </w:pPr>
      <w:r>
        <w:rPr>
          <w:rFonts w:ascii="Arial" w:cs="Arial" w:eastAsia="Arial" w:hAnsi="Arial"/>
          <w:sz w:val="14"/>
          <w:szCs w:val="14"/>
          <w:i w:val="1"/>
          <w:iCs w:val="1"/>
          <w:color w:val="auto"/>
        </w:rPr>
        <w:t>Aerospace and Defense</w:t>
      </w:r>
    </w:p>
    <w:p>
      <w:pPr>
        <w:spacing w:after="0" w:line="180" w:lineRule="auto"/>
        <w:rPr>
          <w:sz w:val="20"/>
          <w:szCs w:val="20"/>
          <w:color w:val="auto"/>
        </w:rPr>
      </w:pPr>
      <w:r>
        <w:rPr>
          <w:rFonts w:ascii="Arial" w:cs="Arial" w:eastAsia="Arial" w:hAnsi="Arial"/>
          <w:sz w:val="13"/>
          <w:szCs w:val="13"/>
          <w:color w:val="auto"/>
        </w:rPr>
        <w:t>Iasis Healthcare LLC</w:t>
      </w:r>
      <w:r>
        <w:rPr>
          <w:rFonts w:ascii="Arial" w:cs="Arial" w:eastAsia="Arial" w:hAnsi="Arial"/>
          <w:sz w:val="21"/>
          <w:szCs w:val="21"/>
          <w:color w:val="auto"/>
          <w:vertAlign w:val="superscript"/>
        </w:rPr>
        <w:t>(9)</w:t>
      </w:r>
    </w:p>
    <w:p>
      <w:pPr>
        <w:spacing w:after="0" w:line="1" w:lineRule="exact"/>
        <w:rPr>
          <w:sz w:val="20"/>
          <w:szCs w:val="20"/>
          <w:color w:val="auto"/>
        </w:rPr>
      </w:pPr>
    </w:p>
    <w:p>
      <w:pPr>
        <w:ind w:left="180" w:right="800"/>
        <w:spacing w:after="0" w:line="227" w:lineRule="auto"/>
        <w:rPr>
          <w:sz w:val="20"/>
          <w:szCs w:val="20"/>
          <w:color w:val="auto"/>
        </w:rPr>
      </w:pPr>
      <w:r>
        <w:rPr>
          <w:rFonts w:ascii="Arial" w:cs="Arial" w:eastAsia="Arial" w:hAnsi="Arial"/>
          <w:sz w:val="14"/>
          <w:szCs w:val="14"/>
          <w:i w:val="1"/>
          <w:iCs w:val="1"/>
          <w:color w:val="auto"/>
        </w:rPr>
        <w:t>Healthcare, Education and Childcare</w:t>
      </w:r>
    </w:p>
    <w:p>
      <w:pPr>
        <w:spacing w:after="0" w:line="188" w:lineRule="auto"/>
        <w:rPr>
          <w:sz w:val="20"/>
          <w:szCs w:val="20"/>
          <w:color w:val="auto"/>
        </w:rPr>
      </w:pPr>
      <w:r>
        <w:rPr>
          <w:rFonts w:ascii="Arial" w:cs="Arial" w:eastAsia="Arial" w:hAnsi="Arial"/>
          <w:sz w:val="13"/>
          <w:szCs w:val="13"/>
          <w:color w:val="auto"/>
        </w:rPr>
        <w:t>International Architectural Products, Inc.</w:t>
      </w:r>
      <w:r>
        <w:rPr>
          <w:rFonts w:ascii="Arial" w:cs="Arial" w:eastAsia="Arial" w:hAnsi="Arial"/>
          <w:sz w:val="21"/>
          <w:szCs w:val="21"/>
          <w:color w:val="auto"/>
          <w:vertAlign w:val="superscript"/>
        </w:rPr>
        <w:t>(7),</w:t>
      </w:r>
    </w:p>
    <w:p>
      <w:pPr>
        <w:ind w:left="180"/>
        <w:spacing w:after="0"/>
        <w:rPr>
          <w:sz w:val="20"/>
          <w:szCs w:val="20"/>
          <w:color w:val="auto"/>
        </w:rPr>
      </w:pPr>
      <w:r>
        <w:rPr>
          <w:rFonts w:ascii="Arial" w:cs="Arial" w:eastAsia="Arial" w:hAnsi="Arial"/>
          <w:sz w:val="12"/>
          <w:szCs w:val="12"/>
          <w:color w:val="auto"/>
        </w:rPr>
        <w:t>(9)</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Metals &amp; Mining</w:t>
      </w:r>
    </w:p>
    <w:p>
      <w:pPr>
        <w:spacing w:after="0" w:line="186" w:lineRule="auto"/>
        <w:rPr>
          <w:sz w:val="20"/>
          <w:szCs w:val="20"/>
          <w:color w:val="auto"/>
        </w:rPr>
      </w:pPr>
      <w:r>
        <w:rPr>
          <w:rFonts w:ascii="Arial" w:cs="Arial" w:eastAsia="Arial" w:hAnsi="Arial"/>
          <w:sz w:val="13"/>
          <w:szCs w:val="13"/>
          <w:color w:val="auto"/>
        </w:rPr>
        <w:t>Jones Stephens Corp.</w:t>
      </w:r>
      <w:r>
        <w:rPr>
          <w:rFonts w:ascii="Arial" w:cs="Arial" w:eastAsia="Arial" w:hAnsi="Arial"/>
          <w:sz w:val="21"/>
          <w:szCs w:val="21"/>
          <w:color w:val="auto"/>
          <w:vertAlign w:val="superscript"/>
        </w:rPr>
        <w:t>(9)</w:t>
      </w:r>
    </w:p>
    <w:p>
      <w:pPr>
        <w:ind w:left="180"/>
        <w:spacing w:after="0" w:line="234" w:lineRule="auto"/>
        <w:rPr>
          <w:sz w:val="20"/>
          <w:szCs w:val="20"/>
          <w:color w:val="auto"/>
        </w:rPr>
      </w:pPr>
      <w:r>
        <w:rPr>
          <w:rFonts w:ascii="Arial" w:cs="Arial" w:eastAsia="Arial" w:hAnsi="Arial"/>
          <w:sz w:val="14"/>
          <w:szCs w:val="14"/>
          <w:i w:val="1"/>
          <w:iCs w:val="1"/>
          <w:color w:val="auto"/>
        </w:rPr>
        <w:t>Consumer goods: Non-durable</w:t>
      </w:r>
    </w:p>
    <w:p>
      <w:pPr>
        <w:spacing w:after="0" w:line="180" w:lineRule="auto"/>
        <w:rPr>
          <w:sz w:val="20"/>
          <w:szCs w:val="20"/>
          <w:color w:val="auto"/>
        </w:rPr>
      </w:pPr>
      <w:r>
        <w:rPr>
          <w:rFonts w:ascii="Arial" w:cs="Arial" w:eastAsia="Arial" w:hAnsi="Arial"/>
          <w:sz w:val="13"/>
          <w:szCs w:val="13"/>
          <w:color w:val="auto"/>
        </w:rPr>
        <w:t>Jones Stephens Corp.</w:t>
      </w:r>
      <w:r>
        <w:rPr>
          <w:rFonts w:ascii="Arial" w:cs="Arial" w:eastAsia="Arial" w:hAnsi="Arial"/>
          <w:sz w:val="21"/>
          <w:szCs w:val="21"/>
          <w:color w:val="auto"/>
          <w:vertAlign w:val="superscript"/>
        </w:rPr>
        <w:t>(9), (11)</w:t>
      </w:r>
    </w:p>
    <w:p>
      <w:pPr>
        <w:ind w:left="180"/>
        <w:spacing w:after="0" w:line="233" w:lineRule="auto"/>
        <w:rPr>
          <w:sz w:val="20"/>
          <w:szCs w:val="20"/>
          <w:color w:val="auto"/>
        </w:rPr>
      </w:pPr>
      <w:r>
        <w:rPr>
          <w:rFonts w:ascii="Arial" w:cs="Arial" w:eastAsia="Arial" w:hAnsi="Arial"/>
          <w:sz w:val="14"/>
          <w:szCs w:val="14"/>
          <w:i w:val="1"/>
          <w:iCs w:val="1"/>
          <w:color w:val="auto"/>
        </w:rPr>
        <w:t>Consumer goods: Non-durable</w:t>
      </w:r>
    </w:p>
    <w:p>
      <w:pPr>
        <w:spacing w:after="0" w:line="180" w:lineRule="auto"/>
        <w:rPr>
          <w:sz w:val="20"/>
          <w:szCs w:val="20"/>
          <w:color w:val="auto"/>
        </w:rPr>
      </w:pPr>
      <w:r>
        <w:rPr>
          <w:rFonts w:ascii="Arial" w:cs="Arial" w:eastAsia="Arial" w:hAnsi="Arial"/>
          <w:sz w:val="13"/>
          <w:szCs w:val="13"/>
          <w:color w:val="auto"/>
        </w:rPr>
        <w:t>Key Safety Systems, Inc.</w:t>
      </w:r>
      <w:r>
        <w:rPr>
          <w:rFonts w:ascii="Arial" w:cs="Arial" w:eastAsia="Arial" w:hAnsi="Arial"/>
          <w:sz w:val="21"/>
          <w:szCs w:val="21"/>
          <w:color w:val="auto"/>
          <w:vertAlign w:val="superscript"/>
        </w:rPr>
        <w:t>(9), (11)</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Automotive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(9)</w:t>
      </w:r>
    </w:p>
    <w:p>
      <w:pPr>
        <w:ind w:left="180" w:right="800"/>
        <w:spacing w:after="0" w:line="227" w:lineRule="auto"/>
        <w:rPr>
          <w:sz w:val="20"/>
          <w:szCs w:val="20"/>
          <w:color w:val="auto"/>
        </w:rPr>
      </w:pPr>
      <w:r>
        <w:rPr>
          <w:rFonts w:ascii="Arial" w:cs="Arial" w:eastAsia="Arial" w:hAnsi="Arial"/>
          <w:sz w:val="14"/>
          <w:szCs w:val="14"/>
          <w:i w:val="1"/>
          <w:iCs w:val="1"/>
          <w:color w:val="auto"/>
        </w:rPr>
        <w:t>Healthcare, Education and Childcare</w:t>
      </w:r>
    </w:p>
    <w:p>
      <w:pPr>
        <w:spacing w:after="0" w:line="180" w:lineRule="auto"/>
        <w:rPr>
          <w:sz w:val="20"/>
          <w:szCs w:val="20"/>
          <w:color w:val="auto"/>
        </w:rPr>
      </w:pPr>
      <w:r>
        <w:rPr>
          <w:rFonts w:ascii="Arial" w:cs="Arial" w:eastAsia="Arial" w:hAnsi="Arial"/>
          <w:sz w:val="13"/>
          <w:szCs w:val="13"/>
          <w:color w:val="auto"/>
        </w:rPr>
        <w:t>Kinetic Concepts, Inc.</w:t>
      </w:r>
      <w:r>
        <w:rPr>
          <w:rFonts w:ascii="Arial" w:cs="Arial" w:eastAsia="Arial" w:hAnsi="Arial"/>
          <w:sz w:val="21"/>
          <w:szCs w:val="21"/>
          <w:color w:val="auto"/>
          <w:vertAlign w:val="superscript"/>
        </w:rPr>
        <w:t>(9), (11)</w:t>
      </w:r>
    </w:p>
    <w:p>
      <w:pPr>
        <w:ind w:left="180"/>
        <w:spacing w:after="0" w:line="222" w:lineRule="auto"/>
        <w:rPr>
          <w:sz w:val="20"/>
          <w:szCs w:val="20"/>
          <w:color w:val="auto"/>
        </w:rPr>
      </w:pPr>
      <w:r>
        <w:rPr>
          <w:rFonts w:ascii="Arial" w:cs="Arial" w:eastAsia="Arial" w:hAnsi="Arial"/>
          <w:sz w:val="14"/>
          <w:szCs w:val="14"/>
          <w:i w:val="1"/>
          <w:iCs w:val="1"/>
          <w:color w:val="auto"/>
        </w:rPr>
        <w:t>Healthcare, Education and</w:t>
      </w:r>
    </w:p>
    <w:p>
      <w:pPr>
        <w:ind w:left="180"/>
        <w:spacing w:after="0" w:line="221" w:lineRule="auto"/>
        <w:rPr>
          <w:sz w:val="20"/>
          <w:szCs w:val="20"/>
          <w:color w:val="auto"/>
        </w:rPr>
      </w:pPr>
      <w:r>
        <w:rPr>
          <w:rFonts w:ascii="Arial" w:cs="Arial" w:eastAsia="Arial" w:hAnsi="Arial"/>
          <w:sz w:val="14"/>
          <w:szCs w:val="14"/>
          <w:i w:val="1"/>
          <w:iCs w:val="1"/>
          <w:color w:val="auto"/>
        </w:rPr>
        <w:t>Childcare</w:t>
      </w:r>
    </w:p>
    <w:p>
      <w:pPr>
        <w:spacing w:after="0" w:line="233" w:lineRule="auto"/>
        <w:rPr>
          <w:sz w:val="20"/>
          <w:szCs w:val="20"/>
          <w:color w:val="auto"/>
        </w:rPr>
      </w:pPr>
      <w:r>
        <w:rPr>
          <w:rFonts w:ascii="Arial" w:cs="Arial" w:eastAsia="Arial" w:hAnsi="Arial"/>
          <w:sz w:val="14"/>
          <w:szCs w:val="14"/>
          <w:color w:val="auto"/>
        </w:rPr>
        <w:t>Landslide Holdings, Inc. (Crimson</w:t>
      </w:r>
    </w:p>
    <w:p>
      <w:pPr>
        <w:ind w:left="180"/>
        <w:spacing w:after="0" w:line="180" w:lineRule="auto"/>
        <w:rPr>
          <w:sz w:val="20"/>
          <w:szCs w:val="20"/>
          <w:color w:val="auto"/>
        </w:rPr>
      </w:pPr>
      <w:r>
        <w:rPr>
          <w:rFonts w:ascii="Arial" w:cs="Arial" w:eastAsia="Arial" w:hAnsi="Arial"/>
          <w:sz w:val="13"/>
          <w:szCs w:val="13"/>
          <w:color w:val="auto"/>
        </w:rPr>
        <w:t>Acquisition Corp.)</w:t>
      </w:r>
      <w:r>
        <w:rPr>
          <w:rFonts w:ascii="Arial" w:cs="Arial" w:eastAsia="Arial" w:hAnsi="Arial"/>
          <w:sz w:val="21"/>
          <w:szCs w:val="21"/>
          <w:color w:val="auto"/>
          <w:vertAlign w:val="superscript"/>
        </w:rPr>
        <w:t>(9), (11)</w:t>
      </w:r>
    </w:p>
    <w:p>
      <w:pPr>
        <w:ind w:left="180"/>
        <w:spacing w:after="0" w:line="222" w:lineRule="auto"/>
        <w:rPr>
          <w:sz w:val="20"/>
          <w:szCs w:val="20"/>
          <w:color w:val="auto"/>
        </w:rPr>
      </w:pPr>
      <w:r>
        <w:rPr>
          <w:rFonts w:ascii="Arial" w:cs="Arial" w:eastAsia="Arial" w:hAnsi="Arial"/>
          <w:sz w:val="14"/>
          <w:szCs w:val="14"/>
          <w:i w:val="1"/>
          <w:iCs w:val="1"/>
          <w:color w:val="auto"/>
        </w:rPr>
        <w:t>High Tech Industries</w:t>
      </w:r>
    </w:p>
    <w:p>
      <w:pPr>
        <w:spacing w:after="0" w:line="233" w:lineRule="auto"/>
        <w:rPr>
          <w:sz w:val="20"/>
          <w:szCs w:val="20"/>
          <w:color w:val="auto"/>
        </w:rPr>
      </w:pPr>
      <w:r>
        <w:rPr>
          <w:rFonts w:ascii="Arial" w:cs="Arial" w:eastAsia="Arial" w:hAnsi="Arial"/>
          <w:sz w:val="14"/>
          <w:szCs w:val="14"/>
          <w:color w:val="auto"/>
        </w:rPr>
        <w:t>LBREP/L-Suncal Master I</w:t>
      </w:r>
    </w:p>
    <w:p>
      <w:pPr>
        <w:ind w:left="180"/>
        <w:spacing w:after="0" w:line="180"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(7), (9)</w:t>
      </w:r>
    </w:p>
    <w:p>
      <w:pPr>
        <w:ind w:left="180"/>
        <w:spacing w:after="0" w:line="234" w:lineRule="auto"/>
        <w:rPr>
          <w:sz w:val="20"/>
          <w:szCs w:val="20"/>
          <w:color w:val="auto"/>
        </w:rPr>
      </w:pPr>
      <w:r>
        <w:rPr>
          <w:rFonts w:ascii="Arial" w:cs="Arial" w:eastAsia="Arial" w:hAnsi="Arial"/>
          <w:sz w:val="14"/>
          <w:szCs w:val="14"/>
          <w:i w:val="1"/>
          <w:iCs w:val="1"/>
          <w:color w:val="auto"/>
        </w:rPr>
        <w:t>Construction &amp; Building</w:t>
      </w:r>
    </w:p>
    <w:p>
      <w:pPr>
        <w:spacing w:after="0" w:line="180" w:lineRule="auto"/>
        <w:rPr>
          <w:sz w:val="20"/>
          <w:szCs w:val="20"/>
          <w:color w:val="auto"/>
        </w:rPr>
      </w:pPr>
      <w:r>
        <w:rPr>
          <w:rFonts w:ascii="Arial" w:cs="Arial" w:eastAsia="Arial" w:hAnsi="Arial"/>
          <w:sz w:val="13"/>
          <w:szCs w:val="13"/>
          <w:color w:val="auto"/>
        </w:rPr>
        <w:t>LTS Buyer LLC (Sidera Networks, Inc.)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Telecommunications</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MB Aerospace ACP Holdings III Corp.</w:t>
      </w:r>
      <w:r>
        <w:rPr>
          <w:rFonts w:ascii="Arial" w:cs="Arial" w:eastAsia="Arial" w:hAnsi="Arial"/>
          <w:sz w:val="21"/>
          <w:szCs w:val="21"/>
          <w:color w:val="auto"/>
          <w:vertAlign w:val="superscript"/>
        </w:rPr>
        <w:t>(9)</w:t>
      </w:r>
    </w:p>
    <w:p>
      <w:pPr>
        <w:ind w:left="180"/>
        <w:spacing w:after="0" w:line="233" w:lineRule="auto"/>
        <w:rPr>
          <w:sz w:val="20"/>
          <w:szCs w:val="20"/>
          <w:color w:val="auto"/>
        </w:rPr>
      </w:pPr>
      <w:r>
        <w:rPr>
          <w:rFonts w:ascii="Arial" w:cs="Arial" w:eastAsia="Arial" w:hAnsi="Arial"/>
          <w:sz w:val="14"/>
          <w:szCs w:val="14"/>
          <w:i w:val="1"/>
          <w:iCs w:val="1"/>
          <w:color w:val="auto"/>
        </w:rPr>
        <w:t>Aerospace and Defense</w:t>
      </w:r>
    </w:p>
    <w:p>
      <w:pPr>
        <w:spacing w:after="0" w:line="188" w:lineRule="auto"/>
        <w:rPr>
          <w:sz w:val="20"/>
          <w:szCs w:val="20"/>
          <w:color w:val="auto"/>
        </w:rPr>
      </w:pPr>
      <w:r>
        <w:rPr>
          <w:rFonts w:ascii="Arial" w:cs="Arial" w:eastAsia="Arial" w:hAnsi="Arial"/>
          <w:sz w:val="13"/>
          <w:szCs w:val="13"/>
          <w:color w:val="auto"/>
        </w:rPr>
        <w:t>Medical Specialties Distributors, LLC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2"/>
          <w:szCs w:val="12"/>
          <w:color w:val="auto"/>
        </w:rPr>
        <w:t>(11)</w:t>
      </w:r>
    </w:p>
    <w:p>
      <w:pPr>
        <w:spacing w:after="0" w:line="5" w:lineRule="exact"/>
        <w:rPr>
          <w:sz w:val="20"/>
          <w:szCs w:val="20"/>
          <w:color w:val="auto"/>
        </w:rPr>
      </w:pPr>
    </w:p>
    <w:p>
      <w:pPr>
        <w:ind w:right="560" w:firstLine="180"/>
        <w:spacing w:after="0" w:line="253" w:lineRule="auto"/>
        <w:rPr>
          <w:sz w:val="20"/>
          <w:szCs w:val="20"/>
          <w:color w:val="auto"/>
        </w:rPr>
      </w:pPr>
      <w:r>
        <w:rPr>
          <w:rFonts w:ascii="Arial" w:cs="Arial" w:eastAsia="Arial" w:hAnsi="Arial"/>
          <w:sz w:val="13"/>
          <w:szCs w:val="13"/>
          <w:i w:val="1"/>
          <w:iCs w:val="1"/>
          <w:color w:val="auto"/>
        </w:rPr>
        <w:t xml:space="preserve">Healthcare &amp; Pharmaceuticals </w:t>
      </w:r>
      <w:r>
        <w:rPr>
          <w:rFonts w:ascii="Arial" w:cs="Arial" w:eastAsia="Arial" w:hAnsi="Arial"/>
          <w:sz w:val="13"/>
          <w:szCs w:val="13"/>
          <w:color w:val="auto"/>
        </w:rPr>
        <w:t>Michael Foods Group, Inc. (f/k/a</w:t>
      </w:r>
    </w:p>
    <w:p>
      <w:pPr>
        <w:ind w:left="180"/>
        <w:spacing w:after="0" w:line="181" w:lineRule="auto"/>
        <w:rPr>
          <w:sz w:val="20"/>
          <w:szCs w:val="20"/>
          <w:color w:val="auto"/>
        </w:rPr>
      </w:pPr>
      <w:r>
        <w:rPr>
          <w:rFonts w:ascii="Arial" w:cs="Arial" w:eastAsia="Arial" w:hAnsi="Arial"/>
          <w:sz w:val="13"/>
          <w:szCs w:val="13"/>
          <w:color w:val="auto"/>
        </w:rPr>
        <w:t>M-Foods Holdings, Inc.)</w:t>
      </w:r>
      <w:r>
        <w:rPr>
          <w:rFonts w:ascii="Arial" w:cs="Arial" w:eastAsia="Arial" w:hAnsi="Arial"/>
          <w:sz w:val="21"/>
          <w:szCs w:val="21"/>
          <w:color w:val="auto"/>
          <w:vertAlign w:val="superscript"/>
        </w:rPr>
        <w:t>(9), (11)</w:t>
      </w:r>
    </w:p>
    <w:p>
      <w:pPr>
        <w:ind w:left="180"/>
        <w:spacing w:after="0" w:line="233" w:lineRule="auto"/>
        <w:rPr>
          <w:sz w:val="20"/>
          <w:szCs w:val="20"/>
          <w:color w:val="auto"/>
        </w:rPr>
      </w:pPr>
      <w:r>
        <w:rPr>
          <w:rFonts w:ascii="Arial" w:cs="Arial" w:eastAsia="Arial" w:hAnsi="Arial"/>
          <w:sz w:val="14"/>
          <w:szCs w:val="14"/>
          <w:i w:val="1"/>
          <w:iCs w:val="1"/>
          <w:color w:val="auto"/>
        </w:rPr>
        <w:t>Beverage, Food and Tobacco</w:t>
      </w:r>
    </w:p>
    <w:p>
      <w:pPr>
        <w:spacing w:after="0" w:line="180" w:lineRule="auto"/>
        <w:rPr>
          <w:sz w:val="20"/>
          <w:szCs w:val="20"/>
          <w:color w:val="auto"/>
        </w:rPr>
      </w:pPr>
      <w:r>
        <w:rPr>
          <w:rFonts w:ascii="Arial" w:cs="Arial" w:eastAsia="Arial" w:hAnsi="Arial"/>
          <w:sz w:val="13"/>
          <w:szCs w:val="13"/>
          <w:color w:val="auto"/>
        </w:rPr>
        <w:t>Nellson Nutraceutical, LLC</w:t>
      </w:r>
      <w:r>
        <w:rPr>
          <w:rFonts w:ascii="Arial" w:cs="Arial" w:eastAsia="Arial" w:hAnsi="Arial"/>
          <w:sz w:val="21"/>
          <w:szCs w:val="21"/>
          <w:color w:val="auto"/>
          <w:vertAlign w:val="superscript"/>
        </w:rPr>
        <w:t>(9), (11)</w:t>
      </w:r>
    </w:p>
    <w:p>
      <w:pPr>
        <w:ind w:left="180"/>
        <w:spacing w:after="0" w:line="233" w:lineRule="auto"/>
        <w:rPr>
          <w:sz w:val="20"/>
          <w:szCs w:val="20"/>
          <w:color w:val="auto"/>
        </w:rPr>
      </w:pPr>
      <w:r>
        <w:rPr>
          <w:rFonts w:ascii="Arial" w:cs="Arial" w:eastAsia="Arial" w:hAnsi="Arial"/>
          <w:sz w:val="14"/>
          <w:szCs w:val="14"/>
          <w:i w:val="1"/>
          <w:iCs w:val="1"/>
          <w:color w:val="auto"/>
        </w:rPr>
        <w:t>Beverage, Food and Tobacco</w:t>
      </w:r>
    </w:p>
    <w:p>
      <w:pPr>
        <w:spacing w:after="0" w:line="180" w:lineRule="auto"/>
        <w:rPr>
          <w:sz w:val="20"/>
          <w:szCs w:val="20"/>
          <w:color w:val="auto"/>
        </w:rPr>
      </w:pPr>
      <w:r>
        <w:rPr>
          <w:rFonts w:ascii="Arial" w:cs="Arial" w:eastAsia="Arial" w:hAnsi="Arial"/>
          <w:sz w:val="13"/>
          <w:szCs w:val="13"/>
          <w:color w:val="auto"/>
        </w:rPr>
        <w:t>Ozburn-Hessey Holding Company LLC</w:t>
      </w:r>
      <w:r>
        <w:rPr>
          <w:rFonts w:ascii="Arial" w:cs="Arial" w:eastAsia="Arial" w:hAnsi="Arial"/>
          <w:sz w:val="21"/>
          <w:szCs w:val="21"/>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8"/>
          <w:szCs w:val="8"/>
          <w:color w:val="auto"/>
        </w:rPr>
        <w:t>(11)</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0"/>
          <w:szCs w:val="10"/>
          <w:i w:val="1"/>
          <w:iCs w:val="1"/>
          <w:color w:val="auto"/>
        </w:rPr>
        <w:t>Transportation: Cargo</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PetCo Animal Supplies, Inc.</w:t>
      </w:r>
      <w:r>
        <w:rPr>
          <w:rFonts w:ascii="Arial" w:cs="Arial" w:eastAsia="Arial" w:hAnsi="Arial"/>
          <w:sz w:val="23"/>
          <w:szCs w:val="23"/>
          <w:color w:val="auto"/>
          <w:vertAlign w:val="superscript"/>
        </w:rPr>
        <w:t>(9), (11)</w:t>
      </w:r>
    </w:p>
    <w:p>
      <w:pPr>
        <w:ind w:left="180"/>
        <w:spacing w:after="0" w:line="221" w:lineRule="auto"/>
        <w:rPr>
          <w:sz w:val="20"/>
          <w:szCs w:val="20"/>
          <w:color w:val="auto"/>
        </w:rPr>
      </w:pPr>
      <w:r>
        <w:rPr>
          <w:rFonts w:ascii="Arial" w:cs="Arial" w:eastAsia="Arial" w:hAnsi="Arial"/>
          <w:sz w:val="14"/>
          <w:szCs w:val="14"/>
          <w:i w:val="1"/>
          <w:iCs w:val="1"/>
          <w:color w:val="auto"/>
        </w:rPr>
        <w:t>Retail</w:t>
      </w:r>
    </w:p>
    <w:p>
      <w:pPr>
        <w:spacing w:after="0"/>
        <w:rPr>
          <w:sz w:val="20"/>
          <w:szCs w:val="20"/>
          <w:color w:val="auto"/>
        </w:rPr>
      </w:pPr>
      <w:r>
        <w:rPr>
          <w:rFonts w:ascii="Arial" w:cs="Arial" w:eastAsia="Arial" w:hAnsi="Arial"/>
          <w:sz w:val="13"/>
          <w:szCs w:val="13"/>
          <w:color w:val="auto"/>
        </w:rPr>
        <w:t>Pharmaceutical Product Development, Inc.</w:t>
      </w:r>
    </w:p>
    <w:p>
      <w:pPr>
        <w:ind w:left="180"/>
        <w:spacing w:after="0" w:line="186" w:lineRule="auto"/>
        <w:rPr>
          <w:sz w:val="20"/>
          <w:szCs w:val="20"/>
          <w:color w:val="auto"/>
        </w:rPr>
      </w:pPr>
      <w:r>
        <w:rPr>
          <w:rFonts w:ascii="Arial" w:cs="Arial" w:eastAsia="Arial" w:hAnsi="Arial"/>
          <w:sz w:val="13"/>
          <w:szCs w:val="13"/>
          <w:color w:val="auto"/>
        </w:rPr>
        <w:t>(Jaguar Holdings, LLC)</w:t>
      </w:r>
      <w:r>
        <w:rPr>
          <w:rFonts w:ascii="Arial" w:cs="Arial" w:eastAsia="Arial" w:hAnsi="Arial"/>
          <w:sz w:val="21"/>
          <w:szCs w:val="21"/>
          <w:color w:val="auto"/>
          <w:vertAlign w:val="superscript"/>
        </w:rPr>
        <w:t>(9)</w:t>
      </w:r>
    </w:p>
    <w:p>
      <w:pPr>
        <w:ind w:left="180"/>
        <w:spacing w:after="0" w:line="222" w:lineRule="auto"/>
        <w:rPr>
          <w:sz w:val="20"/>
          <w:szCs w:val="20"/>
          <w:color w:val="auto"/>
        </w:rPr>
      </w:pPr>
      <w:r>
        <w:rPr>
          <w:rFonts w:ascii="Arial" w:cs="Arial" w:eastAsia="Arial" w:hAnsi="Arial"/>
          <w:sz w:val="14"/>
          <w:szCs w:val="14"/>
          <w:i w:val="1"/>
          <w:iCs w:val="1"/>
          <w:color w:val="auto"/>
        </w:rPr>
        <w:t>Healthcare &amp; Pharmaceuticals</w:t>
      </w:r>
    </w:p>
    <w:p>
      <w:pPr>
        <w:spacing w:after="0" w:line="234" w:lineRule="auto"/>
        <w:rPr>
          <w:sz w:val="20"/>
          <w:szCs w:val="20"/>
          <w:color w:val="auto"/>
        </w:rPr>
      </w:pPr>
      <w:r>
        <w:rPr>
          <w:rFonts w:ascii="Arial" w:cs="Arial" w:eastAsia="Arial" w:hAnsi="Arial"/>
          <w:sz w:val="14"/>
          <w:szCs w:val="14"/>
          <w:color w:val="auto"/>
        </w:rPr>
        <w:t>Puerto Rico Cable Acquisition Company</w:t>
      </w:r>
    </w:p>
    <w:p>
      <w:pPr>
        <w:ind w:left="180"/>
        <w:spacing w:after="0" w:line="180" w:lineRule="auto"/>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(9)</w:t>
      </w:r>
    </w:p>
    <w:p>
      <w:pPr>
        <w:ind w:left="180"/>
        <w:spacing w:after="0" w:line="221" w:lineRule="auto"/>
        <w:rPr>
          <w:sz w:val="20"/>
          <w:szCs w:val="20"/>
          <w:color w:val="auto"/>
        </w:rPr>
      </w:pPr>
      <w:r>
        <w:rPr>
          <w:rFonts w:ascii="Arial" w:cs="Arial" w:eastAsia="Arial" w:hAnsi="Arial"/>
          <w:sz w:val="14"/>
          <w:szCs w:val="14"/>
          <w:i w:val="1"/>
          <w:iCs w:val="1"/>
          <w:color w:val="auto"/>
        </w:rPr>
        <w:t>Media: Broadcasting &amp; Subscription</w:t>
      </w:r>
    </w:p>
    <w:p>
      <w:pPr>
        <w:spacing w:after="0" w:line="233" w:lineRule="auto"/>
        <w:rPr>
          <w:sz w:val="20"/>
          <w:szCs w:val="20"/>
          <w:color w:val="auto"/>
        </w:rPr>
      </w:pPr>
      <w:r>
        <w:rPr>
          <w:rFonts w:ascii="Arial" w:cs="Arial" w:eastAsia="Arial" w:hAnsi="Arial"/>
          <w:sz w:val="14"/>
          <w:szCs w:val="14"/>
          <w:color w:val="auto"/>
        </w:rPr>
        <w:t>Puerto Rico Cable Acquisition Company</w:t>
      </w:r>
    </w:p>
    <w:p>
      <w:pPr>
        <w:ind w:left="180"/>
        <w:spacing w:after="0" w:line="180" w:lineRule="auto"/>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(9), (11)</w:t>
      </w:r>
    </w:p>
    <w:p>
      <w:pPr>
        <w:ind w:left="180"/>
        <w:spacing w:after="0" w:line="234" w:lineRule="auto"/>
        <w:rPr>
          <w:sz w:val="20"/>
          <w:szCs w:val="20"/>
          <w:color w:val="auto"/>
        </w:rPr>
      </w:pPr>
      <w:r>
        <w:rPr>
          <w:rFonts w:ascii="Arial" w:cs="Arial" w:eastAsia="Arial" w:hAnsi="Arial"/>
          <w:sz w:val="14"/>
          <w:szCs w:val="14"/>
          <w:i w:val="1"/>
          <w:iCs w:val="1"/>
          <w:color w:val="auto"/>
        </w:rPr>
        <w:t>Media: Broadcasting &amp; Subscription</w:t>
      </w:r>
    </w:p>
    <w:p>
      <w:pPr>
        <w:spacing w:after="0" w:line="199" w:lineRule="auto"/>
        <w:rPr>
          <w:sz w:val="20"/>
          <w:szCs w:val="20"/>
          <w:color w:val="auto"/>
        </w:rPr>
      </w:pPr>
      <w:r>
        <w:rPr>
          <w:rFonts w:ascii="Arial" w:cs="Arial" w:eastAsia="Arial" w:hAnsi="Arial"/>
          <w:sz w:val="12"/>
          <w:szCs w:val="12"/>
          <w:color w:val="auto"/>
        </w:rPr>
        <w:t>Sandy Creek Energy Associates, L.P.</w:t>
      </w:r>
      <w:r>
        <w:rPr>
          <w:rFonts w:ascii="Arial" w:cs="Arial" w:eastAsia="Arial" w:hAnsi="Arial"/>
          <w:sz w:val="19"/>
          <w:szCs w:val="19"/>
          <w:color w:val="auto"/>
          <w:vertAlign w:val="superscript"/>
        </w:rPr>
        <w:t>(9), (11)</w:t>
      </w:r>
    </w:p>
    <w:p>
      <w:pPr>
        <w:ind w:left="180"/>
        <w:spacing w:after="0" w:line="221" w:lineRule="auto"/>
        <w:rPr>
          <w:sz w:val="20"/>
          <w:szCs w:val="20"/>
          <w:color w:val="auto"/>
        </w:rPr>
      </w:pPr>
      <w:r>
        <w:rPr>
          <w:rFonts w:ascii="Arial" w:cs="Arial" w:eastAsia="Arial" w:hAnsi="Arial"/>
          <w:sz w:val="14"/>
          <w:szCs w:val="14"/>
          <w:i w:val="1"/>
          <w:iCs w:val="1"/>
          <w:color w:val="auto"/>
        </w:rPr>
        <w:t>Utilities: Electric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SGF Produce Holding Corp. (Frozsun, Inc.)</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(9)</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rPr>
          <w:sz w:val="20"/>
          <w:szCs w:val="20"/>
          <w:color w:val="auto"/>
        </w:rPr>
      </w:pPr>
      <w:r>
        <w:rPr>
          <w:rFonts w:ascii="Arial" w:cs="Arial" w:eastAsia="Arial" w:hAnsi="Arial"/>
          <w:sz w:val="13"/>
          <w:szCs w:val="13"/>
          <w:color w:val="auto"/>
        </w:rPr>
        <w:t>SGF Produce Holding Corp. (Frozsun, Inc.)</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(9), (11)</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87" w:lineRule="auto"/>
        <w:rPr>
          <w:sz w:val="20"/>
          <w:szCs w:val="20"/>
          <w:color w:val="auto"/>
        </w:rPr>
      </w:pPr>
      <w:r>
        <w:rPr>
          <w:rFonts w:ascii="Arial" w:cs="Arial" w:eastAsia="Arial" w:hAnsi="Arial"/>
          <w:sz w:val="13"/>
          <w:szCs w:val="13"/>
          <w:color w:val="auto"/>
        </w:rPr>
        <w:t>Spin Holdco Inc.</w:t>
      </w:r>
      <w:r>
        <w:rPr>
          <w:rFonts w:ascii="Arial" w:cs="Arial" w:eastAsia="Arial" w:hAnsi="Arial"/>
          <w:sz w:val="21"/>
          <w:szCs w:val="21"/>
          <w:color w:val="auto"/>
          <w:vertAlign w:val="superscript"/>
        </w:rPr>
        <w:t>(9)</w:t>
      </w:r>
    </w:p>
    <w:p>
      <w:pPr>
        <w:ind w:left="180"/>
        <w:spacing w:after="0"/>
        <w:rPr>
          <w:sz w:val="20"/>
          <w:szCs w:val="20"/>
          <w:color w:val="auto"/>
        </w:rPr>
      </w:pPr>
      <w:r>
        <w:rPr>
          <w:rFonts w:ascii="Arial" w:cs="Arial" w:eastAsia="Arial" w:hAnsi="Arial"/>
          <w:sz w:val="14"/>
          <w:szCs w:val="14"/>
          <w:i w:val="1"/>
          <w:iCs w:val="1"/>
          <w:color w:val="auto"/>
        </w:rPr>
        <w:t>Consumer goods: Durable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400" w:type="dxa"/>
            <w:vAlign w:val="bottom"/>
          </w:tcPr>
          <w:p>
            <w:pPr>
              <w:spacing w:after="0"/>
              <w:rPr>
                <w:sz w:val="22"/>
                <w:szCs w:val="22"/>
                <w:color w:val="auto"/>
              </w:rPr>
            </w:pPr>
          </w:p>
        </w:tc>
        <w:tc>
          <w:tcPr>
            <w:tcW w:w="1880" w:type="dxa"/>
            <w:vAlign w:val="bottom"/>
          </w:tcPr>
          <w:p>
            <w:pPr>
              <w:ind w:left="40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22"/>
                <w:szCs w:val="22"/>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3"/>
                <w:szCs w:val="23"/>
                <w:b w:val="1"/>
                <w:bCs w:val="1"/>
                <w:color w:val="auto"/>
                <w:w w:val="91"/>
                <w:vertAlign w:val="superscript"/>
              </w:rPr>
              <w:t>(2)</w:t>
            </w:r>
          </w:p>
        </w:tc>
      </w:tr>
      <w:tr>
        <w:trPr>
          <w:trHeight w:val="202"/>
        </w:trPr>
        <w:tc>
          <w:tcPr>
            <w:tcW w:w="2280" w:type="dxa"/>
            <w:vAlign w:val="bottom"/>
            <w:tcBorders>
              <w:bottom w:val="single" w:sz="8" w:color="auto"/>
            </w:tcBorders>
            <w:gridSpan w:val="2"/>
          </w:tcPr>
          <w:p>
            <w:pPr>
              <w:ind w:left="380"/>
              <w:spacing w:after="0" w:line="20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23"/>
        </w:trPr>
        <w:tc>
          <w:tcPr>
            <w:tcW w:w="2280" w:type="dxa"/>
            <w:vAlign w:val="bottom"/>
            <w:gridSpan w:val="2"/>
          </w:tcPr>
          <w:p>
            <w:pPr>
              <w:ind w:left="100"/>
              <w:spacing w:after="0" w:line="123" w:lineRule="exact"/>
              <w:rPr>
                <w:sz w:val="20"/>
                <w:szCs w:val="20"/>
                <w:color w:val="auto"/>
              </w:rPr>
            </w:pPr>
            <w:r>
              <w:rPr>
                <w:rFonts w:ascii="Arial" w:cs="Arial" w:eastAsia="Arial" w:hAnsi="Arial"/>
                <w:sz w:val="14"/>
                <w:szCs w:val="14"/>
                <w:color w:val="auto"/>
                <w:w w:val="98"/>
              </w:rPr>
              <w:t>Junior Secured Loan — Term Loan</w:t>
            </w:r>
          </w:p>
        </w:tc>
        <w:tc>
          <w:tcPr>
            <w:tcW w:w="16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  4,074,074</w:t>
            </w:r>
          </w:p>
        </w:tc>
        <w:tc>
          <w:tcPr>
            <w:tcW w:w="16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  4,049,553</w:t>
            </w:r>
          </w:p>
        </w:tc>
        <w:tc>
          <w:tcPr>
            <w:tcW w:w="160" w:type="dxa"/>
            <w:vAlign w:val="bottom"/>
          </w:tcPr>
          <w:p>
            <w:pPr>
              <w:spacing w:after="0"/>
              <w:rPr>
                <w:sz w:val="10"/>
                <w:szCs w:val="10"/>
                <w:color w:val="auto"/>
              </w:rPr>
            </w:pP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23" w:lineRule="exact"/>
              <w:rPr>
                <w:sz w:val="20"/>
                <w:szCs w:val="20"/>
                <w:color w:val="auto"/>
              </w:rPr>
            </w:pPr>
            <w:r>
              <w:rPr>
                <w:rFonts w:ascii="Arial" w:cs="Arial" w:eastAsia="Arial" w:hAnsi="Arial"/>
                <w:sz w:val="14"/>
                <w:szCs w:val="14"/>
                <w:color w:val="auto"/>
              </w:rPr>
              <w:t>3,911,111</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7.0%</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2/15</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2280" w:type="dxa"/>
            <w:vAlign w:val="bottom"/>
            <w:gridSpan w:val="2"/>
          </w:tcPr>
          <w:p>
            <w:pPr>
              <w:ind w:left="100"/>
              <w:spacing w:after="0"/>
              <w:rPr>
                <w:sz w:val="20"/>
                <w:szCs w:val="20"/>
                <w:color w:val="auto"/>
              </w:rPr>
            </w:pPr>
            <w:r>
              <w:rPr>
                <w:rFonts w:ascii="Arial" w:cs="Arial" w:eastAsia="Arial" w:hAnsi="Arial"/>
                <w:sz w:val="14"/>
                <w:szCs w:val="14"/>
                <w:color w:val="auto"/>
              </w:rPr>
              <w:t>Senior Unsecured Bond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2,892,521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3,187,500</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8.375% — 05/2019 — 45072PAD4</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8.4%</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247,636</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228,563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r>
      <w:tr>
        <w:trPr>
          <w:trHeight w:val="182"/>
        </w:trPr>
        <w:tc>
          <w:tcPr>
            <w:tcW w:w="2280" w:type="dxa"/>
            <w:vAlign w:val="bottom"/>
            <w:gridSpan w:val="2"/>
          </w:tcPr>
          <w:p>
            <w:pPr>
              <w:ind w:left="100"/>
              <w:spacing w:after="0"/>
              <w:rPr>
                <w:sz w:val="20"/>
                <w:szCs w:val="20"/>
                <w:color w:val="auto"/>
              </w:rPr>
            </w:pPr>
            <w:r>
              <w:rPr>
                <w:rFonts w:ascii="Arial" w:cs="Arial" w:eastAsia="Arial" w:hAnsi="Arial"/>
                <w:sz w:val="14"/>
                <w:szCs w:val="14"/>
                <w:color w:val="auto"/>
              </w:rPr>
              <w:t>12.0% Cash, Due 5/15</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17"/>
        </w:trPr>
        <w:tc>
          <w:tcPr>
            <w:tcW w:w="2280" w:type="dxa"/>
            <w:vAlign w:val="bottom"/>
            <w:gridSpan w:val="2"/>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1,214,195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1,214,195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1,214,195</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7.0%</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9/15</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2,925,620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2,925,620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2,925,620</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7.0%</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9/15</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Senior Secured Loan — Initial</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2,692,152</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2,679,887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2,696,459</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4.8%</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5"/>
              </w:rPr>
              <w:t>Senior Secured Loan — Dollar Term</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1,989,979</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2,003,621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2,003,661</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D-1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4.5%</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5"/>
              </w:rPr>
              <w:t>Senior Secured Loan — Dollar Term</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1,994,979</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2,012,272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2,008,695</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D-1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4.5%</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Due 5/18</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Senior Secured Loan —</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3,482,500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3,492,130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3,483,893</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Initial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5.3%</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8/19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3,034,968</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3,034,968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40,669</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7.5%</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1/10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2280" w:type="dxa"/>
            <w:vAlign w:val="bottom"/>
            <w:gridSpan w:val="2"/>
          </w:tcPr>
          <w:p>
            <w:pPr>
              <w:ind w:left="100"/>
              <w:spacing w:after="0"/>
              <w:rPr>
                <w:sz w:val="20"/>
                <w:szCs w:val="20"/>
                <w:color w:val="auto"/>
              </w:rPr>
            </w:pPr>
            <w:r>
              <w:rPr>
                <w:rFonts w:ascii="Arial" w:cs="Arial" w:eastAsia="Arial" w:hAnsi="Arial"/>
                <w:sz w:val="14"/>
                <w:szCs w:val="14"/>
                <w:color w:val="auto"/>
              </w:rPr>
              <w:t>Senior Secured Loan — Term B</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3,980,000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3,974,154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4,003,024</w:t>
            </w: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9"/>
              </w:rPr>
              <w:t>Loan</w:t>
            </w: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4.5%</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4/20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3,980,000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3,944,023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3,980,796</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6.0%</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4,000,000</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3,960,421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3,999,200</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6.5%</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12/19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77"/>
        </w:trPr>
        <w:tc>
          <w:tcPr>
            <w:tcW w:w="2280" w:type="dxa"/>
            <w:vAlign w:val="bottom"/>
            <w:gridSpan w:val="2"/>
          </w:tcPr>
          <w:p>
            <w:pPr>
              <w:ind w:left="100"/>
              <w:spacing w:after="0"/>
              <w:rPr>
                <w:sz w:val="20"/>
                <w:szCs w:val="20"/>
                <w:color w:val="auto"/>
              </w:rPr>
            </w:pPr>
            <w:r>
              <w:rPr>
                <w:rFonts w:ascii="Arial" w:cs="Arial" w:eastAsia="Arial" w:hAnsi="Arial"/>
                <w:sz w:val="14"/>
                <w:szCs w:val="14"/>
                <w:color w:val="auto"/>
              </w:rPr>
              <w:t>Senior Secured Loan — Term B</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1,751,716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1,761,555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1,753,116</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Facility</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4.3%</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2280" w:type="dxa"/>
            <w:vAlign w:val="bottom"/>
            <w:gridSpan w:val="2"/>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1,995,000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1,981,056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1,995,000</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6.8%</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8/18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3,548,085</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3,536,235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3,549,504</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6.8%</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5/19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425"/>
        </w:trPr>
        <w:tc>
          <w:tcPr>
            <w:tcW w:w="2280" w:type="dxa"/>
            <w:vAlign w:val="bottom"/>
            <w:gridSpan w:val="2"/>
          </w:tcPr>
          <w:p>
            <w:pPr>
              <w:ind w:left="100"/>
              <w:spacing w:after="0"/>
              <w:rPr>
                <w:sz w:val="20"/>
                <w:szCs w:val="20"/>
                <w:color w:val="auto"/>
              </w:rPr>
            </w:pPr>
            <w:r>
              <w:rPr>
                <w:rFonts w:ascii="Arial" w:cs="Arial" w:eastAsia="Arial" w:hAnsi="Arial"/>
                <w:sz w:val="14"/>
                <w:szCs w:val="14"/>
                <w:color w:val="auto"/>
                <w:w w:val="96"/>
              </w:rPr>
              <w:t>Senior Secured Loan — New Loans</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1,979,592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1,987,274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1,992,746</w:t>
            </w: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4.0%</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Due 11/17</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Senior Secured Loan — 2013 Term</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3,517,594</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3,529,732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3,546,526</w:t>
            </w: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9"/>
              </w:rPr>
              <w:t>Loan</w:t>
            </w: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4.0%</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12/18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5"/>
        </w:trPr>
        <w:tc>
          <w:tcPr>
            <w:tcW w:w="2280" w:type="dxa"/>
            <w:vAlign w:val="bottom"/>
            <w:gridSpan w:val="2"/>
          </w:tcPr>
          <w:p>
            <w:pPr>
              <w:ind w:left="100"/>
              <w:spacing w:after="0" w:line="155" w:lineRule="exact"/>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980,693</w:t>
            </w:r>
          </w:p>
        </w:tc>
        <w:tc>
          <w:tcPr>
            <w:tcW w:w="10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982,374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981,086</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5.5%</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7/18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04"/>
        </w:trPr>
        <w:tc>
          <w:tcPr>
            <w:tcW w:w="2280" w:type="dxa"/>
            <w:vAlign w:val="bottom"/>
            <w:gridSpan w:val="2"/>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2,942,080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2,928,491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2,943,257</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5.5%</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7/18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4"/>
        </w:trPr>
        <w:tc>
          <w:tcPr>
            <w:tcW w:w="2280" w:type="dxa"/>
            <w:vAlign w:val="bottom"/>
            <w:gridSpan w:val="2"/>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2,985,253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3,005,625</w:t>
            </w:r>
          </w:p>
        </w:tc>
      </w:tr>
      <w:tr>
        <w:trPr>
          <w:trHeight w:val="149"/>
        </w:trPr>
        <w:tc>
          <w:tcPr>
            <w:tcW w:w="400" w:type="dxa"/>
            <w:vAlign w:val="bottom"/>
          </w:tcPr>
          <w:p>
            <w:pPr>
              <w:ind w:left="100"/>
              <w:spacing w:after="0" w:line="149" w:lineRule="exact"/>
              <w:rPr>
                <w:sz w:val="20"/>
                <w:szCs w:val="20"/>
                <w:color w:val="auto"/>
              </w:rPr>
            </w:pPr>
            <w:r>
              <w:rPr>
                <w:rFonts w:ascii="Arial" w:cs="Arial" w:eastAsia="Arial" w:hAnsi="Arial"/>
                <w:sz w:val="14"/>
                <w:szCs w:val="14"/>
                <w:color w:val="auto"/>
                <w:w w:val="87"/>
              </w:rPr>
              <w:t>5.0%</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Cash, Due 11/20</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2,213,423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2,193,867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2,213,645</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5.0%</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77"/>
        </w:trPr>
        <w:tc>
          <w:tcPr>
            <w:tcW w:w="2280" w:type="dxa"/>
            <w:vAlign w:val="bottom"/>
            <w:gridSpan w:val="2"/>
          </w:tcPr>
          <w:p>
            <w:pPr>
              <w:ind w:left="100"/>
              <w:spacing w:after="0"/>
              <w:rPr>
                <w:sz w:val="20"/>
                <w:szCs w:val="20"/>
                <w:color w:val="auto"/>
              </w:rPr>
            </w:pPr>
            <w:r>
              <w:rPr>
                <w:rFonts w:ascii="Arial" w:cs="Arial" w:eastAsia="Arial" w:hAnsi="Arial"/>
                <w:sz w:val="14"/>
                <w:szCs w:val="14"/>
                <w:color w:val="auto"/>
                <w:w w:val="97"/>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3,475,281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3,454,967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3,475,629</w:t>
            </w: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5.0%</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3/19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44"/>
        </w:trPr>
        <w:tc>
          <w:tcPr>
            <w:tcW w:w="2280" w:type="dxa"/>
            <w:vAlign w:val="bottom"/>
            <w:gridSpan w:val="2"/>
          </w:tcPr>
          <w:p>
            <w:pPr>
              <w:ind w:left="100"/>
              <w:spacing w:after="0"/>
              <w:rPr>
                <w:sz w:val="20"/>
                <w:szCs w:val="20"/>
                <w:color w:val="auto"/>
              </w:rPr>
            </w:pPr>
            <w:r>
              <w:rPr>
                <w:rFonts w:ascii="Arial" w:cs="Arial" w:eastAsia="Arial" w:hAnsi="Arial"/>
                <w:sz w:val="14"/>
                <w:szCs w:val="14"/>
                <w:color w:val="auto"/>
                <w:w w:val="97"/>
              </w:rPr>
              <w:t>Senior Secured Loan — Initial Term</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1,246,875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1,245,425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1,255,454</w:t>
            </w:r>
          </w:p>
        </w:tc>
      </w:tr>
      <w:tr>
        <w:trPr>
          <w:trHeight w:val="149"/>
        </w:trPr>
        <w:tc>
          <w:tcPr>
            <w:tcW w:w="2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2"/>
        </w:trPr>
        <w:tc>
          <w:tcPr>
            <w:tcW w:w="400" w:type="dxa"/>
            <w:vAlign w:val="bottom"/>
          </w:tcPr>
          <w:p>
            <w:pPr>
              <w:ind w:left="100"/>
              <w:spacing w:after="0"/>
              <w:rPr>
                <w:sz w:val="20"/>
                <w:szCs w:val="20"/>
                <w:color w:val="auto"/>
              </w:rPr>
            </w:pPr>
            <w:r>
              <w:rPr>
                <w:rFonts w:ascii="Arial" w:cs="Arial" w:eastAsia="Arial" w:hAnsi="Arial"/>
                <w:sz w:val="14"/>
                <w:szCs w:val="14"/>
                <w:color w:val="auto"/>
                <w:w w:val="87"/>
              </w:rPr>
              <w:t>4.3%</w:t>
            </w:r>
          </w:p>
        </w:tc>
        <w:tc>
          <w:tcPr>
            <w:tcW w:w="1880" w:type="dxa"/>
            <w:vAlign w:val="bottom"/>
          </w:tcPr>
          <w:p>
            <w:pPr>
              <w:ind w:left="20"/>
              <w:spacing w:after="0"/>
              <w:rPr>
                <w:sz w:val="20"/>
                <w:szCs w:val="20"/>
                <w:color w:val="auto"/>
              </w:rPr>
            </w:pPr>
            <w:r>
              <w:rPr>
                <w:rFonts w:ascii="Arial" w:cs="Arial" w:eastAsia="Arial" w:hAnsi="Arial"/>
                <w:sz w:val="14"/>
                <w:szCs w:val="14"/>
                <w:color w:val="auto"/>
              </w:rPr>
              <w:t>Cash, Due 11/19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-7023735</wp:posOffset>
            </wp:positionV>
            <wp:extent cx="5213985" cy="3086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-6406515</wp:posOffset>
            </wp:positionV>
            <wp:extent cx="5213985" cy="3175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-5875020</wp:posOffset>
            </wp:positionV>
            <wp:extent cx="5213985"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-5351780</wp:posOffset>
            </wp:positionV>
            <wp:extent cx="5213985" cy="3086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-4733925</wp:posOffset>
            </wp:positionV>
            <wp:extent cx="5213985" cy="3086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-4116705</wp:posOffset>
            </wp:positionV>
            <wp:extent cx="5213985" cy="4032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3985" cy="40322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-3499485</wp:posOffset>
            </wp:positionV>
            <wp:extent cx="5213985" cy="3175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31750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-2873375</wp:posOffset>
            </wp:positionV>
            <wp:extent cx="5213985" cy="2146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-2272665</wp:posOffset>
            </wp:positionV>
            <wp:extent cx="5213985"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-1750060</wp:posOffset>
            </wp:positionV>
            <wp:extent cx="5213985" cy="3086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-1132205</wp:posOffset>
            </wp:positionV>
            <wp:extent cx="5213985"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3985" cy="21463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-626110</wp:posOffset>
            </wp:positionV>
            <wp:extent cx="5213985" cy="3086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-7324090</wp:posOffset>
            </wp:positionV>
            <wp:extent cx="34645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2">
            <w:col w:w="2540" w:space="200"/>
            <w:col w:w="7339"/>
          </w:cols>
          <w:pgMar w:left="380" w:top="755"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2480" w:type="dxa"/>
            <w:vAlign w:val="bottom"/>
          </w:tcPr>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3"/>
                <w:szCs w:val="23"/>
                <w:b w:val="1"/>
                <w:bCs w:val="1"/>
                <w:color w:val="auto"/>
                <w:w w:val="91"/>
                <w:vertAlign w:val="superscript"/>
              </w:rPr>
              <w:t>(2)</w:t>
            </w:r>
          </w:p>
        </w:tc>
        <w:tc>
          <w:tcPr>
            <w:tcW w:w="0" w:type="dxa"/>
            <w:vAlign w:val="bottom"/>
          </w:tcPr>
          <w:p>
            <w:pPr>
              <w:spacing w:after="0"/>
              <w:rPr>
                <w:sz w:val="1"/>
                <w:szCs w:val="1"/>
                <w:color w:val="auto"/>
              </w:rPr>
            </w:pPr>
          </w:p>
        </w:tc>
      </w:tr>
      <w:tr>
        <w:trPr>
          <w:trHeight w:val="112"/>
        </w:trPr>
        <w:tc>
          <w:tcPr>
            <w:tcW w:w="2480" w:type="dxa"/>
            <w:vAlign w:val="bottom"/>
          </w:tcPr>
          <w:p>
            <w:pPr>
              <w:ind w:left="20"/>
              <w:spacing w:after="0" w:line="113" w:lineRule="exact"/>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0" w:type="dxa"/>
            <w:vAlign w:val="bottom"/>
          </w:tcPr>
          <w:p>
            <w:pPr>
              <w:ind w:left="460"/>
              <w:spacing w:after="0" w:line="113" w:lineRule="exact"/>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40"/>
              <w:spacing w:after="0" w:line="113"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ind w:left="220"/>
              <w:spacing w:after="0" w:line="113" w:lineRule="exact"/>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ind w:left="4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480" w:type="dxa"/>
            <w:vAlign w:val="bottom"/>
            <w:shd w:val="clear" w:color="auto" w:fill="CCFFCC"/>
          </w:tcPr>
          <w:p>
            <w:pPr>
              <w:ind w:left="20"/>
              <w:spacing w:after="0" w:line="164" w:lineRule="exact"/>
              <w:rPr>
                <w:sz w:val="20"/>
                <w:szCs w:val="20"/>
                <w:color w:val="auto"/>
              </w:rPr>
            </w:pPr>
            <w:r>
              <w:rPr>
                <w:rFonts w:ascii="Arial" w:cs="Arial" w:eastAsia="Arial" w:hAnsi="Arial"/>
                <w:sz w:val="12"/>
                <w:szCs w:val="12"/>
                <w:color w:val="auto"/>
              </w:rPr>
              <w:t>Spin Holdco Inc.</w:t>
            </w:r>
            <w:r>
              <w:rPr>
                <w:rFonts w:ascii="Arial" w:cs="Arial" w:eastAsia="Arial" w:hAnsi="Arial"/>
                <w:sz w:val="18"/>
                <w:szCs w:val="18"/>
                <w:color w:val="auto"/>
                <w:vertAlign w:val="superscript"/>
              </w:rPr>
              <w:t>(9), (11)</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Initial Term</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2,743,125</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2,742,255</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2,761,998</w:t>
            </w:r>
          </w:p>
        </w:tc>
        <w:tc>
          <w:tcPr>
            <w:tcW w:w="0" w:type="dxa"/>
            <w:vAlign w:val="bottom"/>
          </w:tcPr>
          <w:p>
            <w:pPr>
              <w:spacing w:after="0"/>
              <w:rPr>
                <w:sz w:val="1"/>
                <w:szCs w:val="1"/>
                <w:color w:val="auto"/>
              </w:rPr>
            </w:pPr>
          </w:p>
        </w:tc>
      </w:tr>
      <w:tr>
        <w:trPr>
          <w:trHeight w:val="149"/>
        </w:trPr>
        <w:tc>
          <w:tcPr>
            <w:tcW w:w="248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Consumer goods: Durable</w:t>
            </w:r>
          </w:p>
        </w:tc>
        <w:tc>
          <w:tcPr>
            <w:tcW w:w="160" w:type="dxa"/>
            <w:vAlign w:val="bottom"/>
            <w:shd w:val="clear" w:color="auto" w:fill="CCFFCC"/>
          </w:tcPr>
          <w:p>
            <w:pPr>
              <w:spacing w:after="0"/>
              <w:rPr>
                <w:sz w:val="12"/>
                <w:szCs w:val="12"/>
                <w:color w:val="auto"/>
              </w:rPr>
            </w:pPr>
          </w:p>
        </w:tc>
        <w:tc>
          <w:tcPr>
            <w:tcW w:w="24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Loan (First Lien)</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spacing w:after="0"/>
              <w:rPr>
                <w:sz w:val="14"/>
                <w:szCs w:val="14"/>
                <w:color w:val="auto"/>
              </w:rPr>
            </w:pP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4.3%</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11/19</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20"/>
              <w:spacing w:after="0" w:line="130" w:lineRule="exact"/>
              <w:rPr>
                <w:sz w:val="20"/>
                <w:szCs w:val="20"/>
                <w:color w:val="auto"/>
              </w:rPr>
            </w:pPr>
            <w:r>
              <w:rPr>
                <w:rFonts w:ascii="Arial" w:cs="Arial" w:eastAsia="Arial" w:hAnsi="Arial"/>
                <w:sz w:val="14"/>
                <w:szCs w:val="14"/>
                <w:color w:val="auto"/>
              </w:rPr>
              <w:t>Stafford Logistics, Inc.(dba Custom</w:t>
            </w:r>
          </w:p>
        </w:tc>
        <w:tc>
          <w:tcPr>
            <w:tcW w:w="160" w:type="dxa"/>
            <w:vAlign w:val="bottom"/>
          </w:tcPr>
          <w:p>
            <w:pPr>
              <w:spacing w:after="0"/>
              <w:rPr>
                <w:sz w:val="11"/>
                <w:szCs w:val="11"/>
                <w:color w:val="auto"/>
              </w:rPr>
            </w:pPr>
          </w:p>
        </w:tc>
        <w:tc>
          <w:tcPr>
            <w:tcW w:w="24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2,985,000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2,957,663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2,985,896</w:t>
            </w:r>
          </w:p>
        </w:tc>
        <w:tc>
          <w:tcPr>
            <w:tcW w:w="0" w:type="dxa"/>
            <w:vAlign w:val="bottom"/>
          </w:tcPr>
          <w:p>
            <w:pPr>
              <w:spacing w:after="0"/>
              <w:rPr>
                <w:sz w:val="1"/>
                <w:szCs w:val="1"/>
                <w:color w:val="auto"/>
              </w:rPr>
            </w:pPr>
          </w:p>
        </w:tc>
      </w:tr>
      <w:tr>
        <w:trPr>
          <w:trHeight w:val="189"/>
        </w:trPr>
        <w:tc>
          <w:tcPr>
            <w:tcW w:w="2480" w:type="dxa"/>
            <w:vAlign w:val="bottom"/>
          </w:tcPr>
          <w:p>
            <w:pPr>
              <w:ind w:left="200"/>
              <w:spacing w:after="0" w:line="189" w:lineRule="exact"/>
              <w:rPr>
                <w:sz w:val="20"/>
                <w:szCs w:val="20"/>
                <w:color w:val="auto"/>
              </w:rPr>
            </w:pPr>
            <w:r>
              <w:rPr>
                <w:rFonts w:ascii="Arial" w:cs="Arial" w:eastAsia="Arial" w:hAnsi="Arial"/>
                <w:sz w:val="13"/>
                <w:szCs w:val="13"/>
                <w:color w:val="auto"/>
              </w:rPr>
              <w:t>Ecology, Inc.)</w:t>
            </w:r>
            <w:r>
              <w:rPr>
                <w:rFonts w:ascii="Arial" w:cs="Arial" w:eastAsia="Arial" w:hAnsi="Arial"/>
                <w:sz w:val="21"/>
                <w:szCs w:val="21"/>
                <w:color w:val="auto"/>
                <w:vertAlign w:val="superscript"/>
              </w:rPr>
              <w:t>(9), (11)</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6.8%</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6/19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200"/>
              <w:spacing w:after="0"/>
              <w:rPr>
                <w:sz w:val="20"/>
                <w:szCs w:val="20"/>
                <w:color w:val="auto"/>
              </w:rPr>
            </w:pPr>
            <w:r>
              <w:rPr>
                <w:rFonts w:ascii="Arial" w:cs="Arial" w:eastAsia="Arial" w:hAnsi="Arial"/>
                <w:sz w:val="14"/>
                <w:szCs w:val="14"/>
                <w:i w:val="1"/>
                <w:iCs w:val="1"/>
                <w:color w:val="auto"/>
              </w:rPr>
              <w:t>Environmental Industries</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Steinway Musical Instruments,</w:t>
            </w:r>
          </w:p>
        </w:tc>
        <w:tc>
          <w:tcPr>
            <w:tcW w:w="160" w:type="dxa"/>
            <w:vAlign w:val="bottom"/>
            <w:shd w:val="clear" w:color="auto" w:fill="CCFFCC"/>
          </w:tcPr>
          <w:p>
            <w:pPr>
              <w:spacing w:after="0"/>
              <w:rPr>
                <w:sz w:val="11"/>
                <w:szCs w:val="11"/>
                <w:color w:val="auto"/>
              </w:rPr>
            </w:pPr>
          </w:p>
        </w:tc>
        <w:tc>
          <w:tcPr>
            <w:tcW w:w="240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Junior Secured Loan — Loan</w:t>
            </w:r>
          </w:p>
        </w:tc>
        <w:tc>
          <w:tcPr>
            <w:tcW w:w="1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1,000,000</w:t>
            </w:r>
          </w:p>
        </w:tc>
        <w:tc>
          <w:tcPr>
            <w:tcW w:w="1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990,403</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1,001,900</w:t>
            </w:r>
          </w:p>
        </w:tc>
        <w:tc>
          <w:tcPr>
            <w:tcW w:w="0" w:type="dxa"/>
            <w:vAlign w:val="bottom"/>
          </w:tcPr>
          <w:p>
            <w:pPr>
              <w:spacing w:after="0"/>
              <w:rPr>
                <w:sz w:val="1"/>
                <w:szCs w:val="1"/>
                <w:color w:val="auto"/>
              </w:rPr>
            </w:pPr>
          </w:p>
        </w:tc>
      </w:tr>
      <w:tr>
        <w:trPr>
          <w:trHeight w:val="161"/>
        </w:trPr>
        <w:tc>
          <w:tcPr>
            <w:tcW w:w="2480" w:type="dxa"/>
            <w:vAlign w:val="bottom"/>
            <w:shd w:val="clear" w:color="auto" w:fill="CCFFCC"/>
          </w:tcPr>
          <w:p>
            <w:pPr>
              <w:ind w:left="200"/>
              <w:spacing w:after="0" w:line="161" w:lineRule="exact"/>
              <w:rPr>
                <w:sz w:val="20"/>
                <w:szCs w:val="20"/>
                <w:color w:val="auto"/>
              </w:rPr>
            </w:pPr>
            <w:r>
              <w:rPr>
                <w:rFonts w:ascii="Arial" w:cs="Arial" w:eastAsia="Arial" w:hAnsi="Arial"/>
                <w:sz w:val="12"/>
                <w:szCs w:val="12"/>
                <w:color w:val="auto"/>
              </w:rPr>
              <w:t>Inc.</w:t>
            </w:r>
            <w:r>
              <w:rPr>
                <w:rFonts w:ascii="Arial" w:cs="Arial" w:eastAsia="Arial" w:hAnsi="Arial"/>
                <w:sz w:val="18"/>
                <w:szCs w:val="18"/>
                <w:color w:val="auto"/>
                <w:vertAlign w:val="superscript"/>
              </w:rPr>
              <w:t>(9)</w:t>
            </w:r>
          </w:p>
        </w:tc>
        <w:tc>
          <w:tcPr>
            <w:tcW w:w="160" w:type="dxa"/>
            <w:vAlign w:val="bottom"/>
            <w:shd w:val="clear" w:color="auto" w:fill="CCFFCC"/>
          </w:tcPr>
          <w:p>
            <w:pPr>
              <w:spacing w:after="0"/>
              <w:rPr>
                <w:sz w:val="13"/>
                <w:szCs w:val="13"/>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74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20" w:type="dxa"/>
            <w:vAlign w:val="bottom"/>
            <w:shd w:val="clear" w:color="auto" w:fill="CCFFCC"/>
          </w:tcPr>
          <w:p>
            <w:pPr>
              <w:spacing w:after="0"/>
              <w:rPr>
                <w:sz w:val="13"/>
                <w:szCs w:val="13"/>
                <w:color w:val="auto"/>
              </w:rPr>
            </w:pPr>
          </w:p>
        </w:tc>
        <w:tc>
          <w:tcPr>
            <w:tcW w:w="6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9.3%</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9/20</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20"/>
              <w:spacing w:after="0" w:line="130" w:lineRule="exact"/>
              <w:rPr>
                <w:sz w:val="20"/>
                <w:szCs w:val="20"/>
                <w:color w:val="auto"/>
              </w:rPr>
            </w:pPr>
            <w:r>
              <w:rPr>
                <w:rFonts w:ascii="Arial" w:cs="Arial" w:eastAsia="Arial" w:hAnsi="Arial"/>
                <w:sz w:val="14"/>
                <w:szCs w:val="14"/>
                <w:color w:val="auto"/>
              </w:rPr>
              <w:t>Sun Products Corporation, The</w:t>
            </w:r>
          </w:p>
        </w:tc>
        <w:tc>
          <w:tcPr>
            <w:tcW w:w="160" w:type="dxa"/>
            <w:vAlign w:val="bottom"/>
          </w:tcPr>
          <w:p>
            <w:pPr>
              <w:spacing w:after="0"/>
              <w:rPr>
                <w:sz w:val="11"/>
                <w:szCs w:val="11"/>
                <w:color w:val="auto"/>
              </w:rPr>
            </w:pPr>
          </w:p>
        </w:tc>
        <w:tc>
          <w:tcPr>
            <w:tcW w:w="24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Senior Secured Loan — Tranche B</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3,970,000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3,941,540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3,780,433</w:t>
            </w:r>
          </w:p>
        </w:tc>
        <w:tc>
          <w:tcPr>
            <w:tcW w:w="0" w:type="dxa"/>
            <w:vAlign w:val="bottom"/>
          </w:tcPr>
          <w:p>
            <w:pPr>
              <w:spacing w:after="0"/>
              <w:rPr>
                <w:sz w:val="1"/>
                <w:szCs w:val="1"/>
                <w:color w:val="auto"/>
              </w:rPr>
            </w:pPr>
          </w:p>
        </w:tc>
      </w:tr>
      <w:tr>
        <w:trPr>
          <w:trHeight w:val="181"/>
        </w:trPr>
        <w:tc>
          <w:tcPr>
            <w:tcW w:w="2480" w:type="dxa"/>
            <w:vAlign w:val="bottom"/>
          </w:tcPr>
          <w:p>
            <w:pPr>
              <w:ind w:left="200"/>
              <w:spacing w:after="0" w:line="181" w:lineRule="exact"/>
              <w:rPr>
                <w:sz w:val="20"/>
                <w:szCs w:val="20"/>
                <w:color w:val="auto"/>
              </w:rPr>
            </w:pPr>
            <w:r>
              <w:rPr>
                <w:rFonts w:ascii="Arial" w:cs="Arial" w:eastAsia="Arial" w:hAnsi="Arial"/>
                <w:sz w:val="13"/>
                <w:szCs w:val="13"/>
                <w:color w:val="auto"/>
              </w:rPr>
              <w:t>(fka Huish Detergents Inc.)</w:t>
            </w:r>
            <w:r>
              <w:rPr>
                <w:rFonts w:ascii="Arial" w:cs="Arial" w:eastAsia="Arial" w:hAnsi="Arial"/>
                <w:sz w:val="20"/>
                <w:szCs w:val="20"/>
                <w:color w:val="auto"/>
                <w:vertAlign w:val="superscript"/>
              </w:rPr>
              <w:t>(9), (11)</w:t>
            </w:r>
          </w:p>
        </w:tc>
        <w:tc>
          <w:tcPr>
            <w:tcW w:w="160" w:type="dxa"/>
            <w:vAlign w:val="bottom"/>
          </w:tcPr>
          <w:p>
            <w:pPr>
              <w:spacing w:after="0"/>
              <w:rPr>
                <w:sz w:val="15"/>
                <w:szCs w:val="15"/>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tcPr>
          <w:p>
            <w:pPr>
              <w:ind w:left="200"/>
              <w:spacing w:after="0"/>
              <w:rPr>
                <w:sz w:val="20"/>
                <w:szCs w:val="20"/>
                <w:color w:val="auto"/>
              </w:rPr>
            </w:pPr>
            <w:r>
              <w:rPr>
                <w:rFonts w:ascii="Arial" w:cs="Arial" w:eastAsia="Arial" w:hAnsi="Arial"/>
                <w:sz w:val="14"/>
                <w:szCs w:val="14"/>
                <w:i w:val="1"/>
                <w:iCs w:val="1"/>
                <w:color w:val="auto"/>
              </w:rPr>
              <w:t>Consumer goods: Non-durable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5.5%</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3/20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TPF II LC, LLC (TPF II Rolling Hills,</w:t>
            </w:r>
          </w:p>
        </w:tc>
        <w:tc>
          <w:tcPr>
            <w:tcW w:w="160" w:type="dxa"/>
            <w:vAlign w:val="bottom"/>
            <w:shd w:val="clear" w:color="auto" w:fill="CCFFCC"/>
          </w:tcPr>
          <w:p>
            <w:pPr>
              <w:spacing w:after="0"/>
              <w:rPr>
                <w:sz w:val="11"/>
                <w:szCs w:val="11"/>
                <w:color w:val="auto"/>
              </w:rPr>
            </w:pPr>
          </w:p>
        </w:tc>
        <w:tc>
          <w:tcPr>
            <w:tcW w:w="240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2,985,000</w:t>
            </w:r>
          </w:p>
        </w:tc>
        <w:tc>
          <w:tcPr>
            <w:tcW w:w="1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2,942,573</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2,987,985</w:t>
            </w:r>
          </w:p>
        </w:tc>
        <w:tc>
          <w:tcPr>
            <w:tcW w:w="0" w:type="dxa"/>
            <w:vAlign w:val="bottom"/>
          </w:tcPr>
          <w:p>
            <w:pPr>
              <w:spacing w:after="0"/>
              <w:rPr>
                <w:sz w:val="1"/>
                <w:szCs w:val="1"/>
                <w:color w:val="auto"/>
              </w:rPr>
            </w:pPr>
          </w:p>
        </w:tc>
      </w:tr>
      <w:tr>
        <w:trPr>
          <w:trHeight w:val="189"/>
        </w:trPr>
        <w:tc>
          <w:tcPr>
            <w:tcW w:w="2480" w:type="dxa"/>
            <w:vAlign w:val="bottom"/>
            <w:shd w:val="clear" w:color="auto" w:fill="CCFFCC"/>
          </w:tcPr>
          <w:p>
            <w:pPr>
              <w:ind w:left="200"/>
              <w:spacing w:after="0" w:line="189" w:lineRule="exact"/>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(9), (11)</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6.5%</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8/19</w:t>
            </w: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Utilities: Electric</w:t>
            </w:r>
          </w:p>
        </w:tc>
        <w:tc>
          <w:tcPr>
            <w:tcW w:w="16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2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1" w:lineRule="exact"/>
              <w:rPr>
                <w:sz w:val="20"/>
                <w:szCs w:val="20"/>
                <w:color w:val="auto"/>
              </w:rPr>
            </w:pPr>
            <w:r>
              <w:rPr>
                <w:rFonts w:ascii="Arial" w:cs="Arial" w:eastAsia="Arial" w:hAnsi="Arial"/>
                <w:sz w:val="12"/>
                <w:szCs w:val="12"/>
                <w:color w:val="auto"/>
              </w:rPr>
              <w:t>Trico Products Corporation</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4,864,844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4,843,792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4,863,871</w:t>
            </w:r>
          </w:p>
        </w:tc>
        <w:tc>
          <w:tcPr>
            <w:tcW w:w="0" w:type="dxa"/>
            <w:vAlign w:val="bottom"/>
          </w:tcPr>
          <w:p>
            <w:pPr>
              <w:spacing w:after="0"/>
              <w:rPr>
                <w:sz w:val="1"/>
                <w:szCs w:val="1"/>
                <w:color w:val="auto"/>
              </w:rPr>
            </w:pPr>
          </w:p>
        </w:tc>
      </w:tr>
      <w:tr>
        <w:trPr>
          <w:trHeight w:val="167"/>
        </w:trPr>
        <w:tc>
          <w:tcPr>
            <w:tcW w:w="2480" w:type="dxa"/>
            <w:vAlign w:val="bottom"/>
          </w:tcPr>
          <w:p>
            <w:pPr>
              <w:ind w:left="200"/>
              <w:spacing w:after="0"/>
              <w:rPr>
                <w:sz w:val="20"/>
                <w:szCs w:val="20"/>
                <w:color w:val="auto"/>
              </w:rPr>
            </w:pPr>
            <w:r>
              <w:rPr>
                <w:rFonts w:ascii="Arial" w:cs="Arial" w:eastAsia="Arial" w:hAnsi="Arial"/>
                <w:sz w:val="14"/>
                <w:szCs w:val="14"/>
                <w:i w:val="1"/>
                <w:iCs w:val="1"/>
                <w:color w:val="auto"/>
              </w:rPr>
              <w:t>Automotive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6.3%</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7/16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Trico Products Corporation</w:t>
            </w:r>
            <w:r>
              <w:rPr>
                <w:rFonts w:ascii="Arial" w:cs="Arial" w:eastAsia="Arial" w:hAnsi="Arial"/>
                <w:sz w:val="19"/>
                <w:szCs w:val="19"/>
                <w:color w:val="auto"/>
                <w:vertAlign w:val="superscript"/>
              </w:rPr>
              <w:t>(9), (11)</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3,891,875</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3,875,033</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3,891,097</w:t>
            </w: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Automotive</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6.3%</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7/16</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1" w:lineRule="exact"/>
              <w:rPr>
                <w:sz w:val="20"/>
                <w:szCs w:val="20"/>
                <w:color w:val="auto"/>
              </w:rPr>
            </w:pPr>
            <w:r>
              <w:rPr>
                <w:rFonts w:ascii="Arial" w:cs="Arial" w:eastAsia="Arial" w:hAnsi="Arial"/>
                <w:sz w:val="12"/>
                <w:szCs w:val="12"/>
                <w:color w:val="auto"/>
              </w:rPr>
              <w:t>Trimaran Advisors, L.L.C.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w w:val="99"/>
              </w:rPr>
              <w:t>Senior Unsecured Loan — Revolving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23,000,000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23,000,000</w:t>
            </w:r>
          </w:p>
        </w:tc>
        <w:tc>
          <w:tcPr>
            <w:tcW w:w="0" w:type="dxa"/>
            <w:vAlign w:val="bottom"/>
          </w:tcPr>
          <w:p>
            <w:pPr>
              <w:spacing w:after="0"/>
              <w:rPr>
                <w:sz w:val="1"/>
                <w:szCs w:val="1"/>
                <w:color w:val="auto"/>
              </w:rPr>
            </w:pPr>
          </w:p>
        </w:tc>
      </w:tr>
      <w:tr>
        <w:trPr>
          <w:trHeight w:val="149"/>
        </w:trPr>
        <w:tc>
          <w:tcPr>
            <w:tcW w:w="248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Finance</w:t>
            </w:r>
          </w:p>
        </w:tc>
        <w:tc>
          <w:tcPr>
            <w:tcW w:w="160" w:type="dxa"/>
            <w:vAlign w:val="bottom"/>
          </w:tcPr>
          <w:p>
            <w:pPr>
              <w:spacing w:after="0"/>
              <w:rPr>
                <w:sz w:val="12"/>
                <w:szCs w:val="12"/>
                <w:color w:val="auto"/>
              </w:rPr>
            </w:pPr>
          </w:p>
        </w:tc>
        <w:tc>
          <w:tcPr>
            <w:tcW w:w="24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Credit Facility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9.0%</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TriZetto Group, Inc. (TZ Merger Sub,</w:t>
            </w:r>
          </w:p>
        </w:tc>
        <w:tc>
          <w:tcPr>
            <w:tcW w:w="160" w:type="dxa"/>
            <w:vAlign w:val="bottom"/>
            <w:shd w:val="clear" w:color="auto" w:fill="CCFFCC"/>
          </w:tcPr>
          <w:p>
            <w:pPr>
              <w:spacing w:after="0"/>
              <w:rPr>
                <w:sz w:val="11"/>
                <w:szCs w:val="11"/>
                <w:color w:val="auto"/>
              </w:rPr>
            </w:pPr>
          </w:p>
        </w:tc>
        <w:tc>
          <w:tcPr>
            <w:tcW w:w="240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3,676,604</w:t>
            </w:r>
          </w:p>
        </w:tc>
        <w:tc>
          <w:tcPr>
            <w:tcW w:w="1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3,684,234</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3,639,857</w:t>
            </w:r>
          </w:p>
        </w:tc>
        <w:tc>
          <w:tcPr>
            <w:tcW w:w="0" w:type="dxa"/>
            <w:vAlign w:val="bottom"/>
          </w:tcPr>
          <w:p>
            <w:pPr>
              <w:spacing w:after="0"/>
              <w:rPr>
                <w:sz w:val="1"/>
                <w:szCs w:val="1"/>
                <w:color w:val="auto"/>
              </w:rPr>
            </w:pPr>
          </w:p>
        </w:tc>
      </w:tr>
      <w:tr>
        <w:trPr>
          <w:trHeight w:val="189"/>
        </w:trPr>
        <w:tc>
          <w:tcPr>
            <w:tcW w:w="2480" w:type="dxa"/>
            <w:vAlign w:val="bottom"/>
            <w:shd w:val="clear" w:color="auto" w:fill="CCFFCC"/>
          </w:tcPr>
          <w:p>
            <w:pPr>
              <w:ind w:left="200"/>
              <w:spacing w:after="0" w:line="189" w:lineRule="exact"/>
              <w:rPr>
                <w:sz w:val="20"/>
                <w:szCs w:val="20"/>
                <w:color w:val="auto"/>
              </w:rPr>
            </w:pPr>
            <w:r>
              <w:rPr>
                <w:rFonts w:ascii="Arial" w:cs="Arial" w:eastAsia="Arial" w:hAnsi="Arial"/>
                <w:sz w:val="21"/>
                <w:szCs w:val="21"/>
                <w:color w:val="auto"/>
                <w:vertAlign w:val="subscript"/>
              </w:rPr>
              <w:t>Inc.)</w:t>
            </w:r>
            <w:r>
              <w:rPr>
                <w:rFonts w:ascii="Arial" w:cs="Arial" w:eastAsia="Arial" w:hAnsi="Arial"/>
                <w:sz w:val="10"/>
                <w:szCs w:val="10"/>
                <w:color w:val="auto"/>
              </w:rPr>
              <w:t>(9), (11)</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4.8%</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High Tech Industries</w:t>
            </w:r>
          </w:p>
        </w:tc>
        <w:tc>
          <w:tcPr>
            <w:tcW w:w="16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2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1" w:lineRule="exact"/>
              <w:rPr>
                <w:sz w:val="20"/>
                <w:szCs w:val="20"/>
                <w:color w:val="auto"/>
              </w:rPr>
            </w:pPr>
            <w:r>
              <w:rPr>
                <w:rFonts w:ascii="Arial" w:cs="Arial" w:eastAsia="Arial" w:hAnsi="Arial"/>
                <w:sz w:val="12"/>
                <w:szCs w:val="12"/>
                <w:color w:val="auto"/>
              </w:rPr>
              <w:t>TRSO I, Inc.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10,400,000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10,234,558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10,608,000</w:t>
            </w:r>
          </w:p>
        </w:tc>
        <w:tc>
          <w:tcPr>
            <w:tcW w:w="0" w:type="dxa"/>
            <w:vAlign w:val="bottom"/>
          </w:tcPr>
          <w:p>
            <w:pPr>
              <w:spacing w:after="0"/>
              <w:rPr>
                <w:sz w:val="1"/>
                <w:szCs w:val="1"/>
                <w:color w:val="auto"/>
              </w:rPr>
            </w:pPr>
          </w:p>
        </w:tc>
      </w:tr>
      <w:tr>
        <w:trPr>
          <w:trHeight w:val="149"/>
        </w:trPr>
        <w:tc>
          <w:tcPr>
            <w:tcW w:w="248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Energy: Oil &amp; Gas</w:t>
            </w:r>
          </w:p>
        </w:tc>
        <w:tc>
          <w:tcPr>
            <w:tcW w:w="160" w:type="dxa"/>
            <w:vAlign w:val="bottom"/>
          </w:tcPr>
          <w:p>
            <w:pPr>
              <w:spacing w:after="0"/>
              <w:rPr>
                <w:sz w:val="12"/>
                <w:szCs w:val="12"/>
                <w:color w:val="auto"/>
              </w:rPr>
            </w:pPr>
          </w:p>
        </w:tc>
        <w:tc>
          <w:tcPr>
            <w:tcW w:w="24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11.0% Cash, Due 12/17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TUI University, LLC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1,647,733</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1,637,909</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1,614,779</w:t>
            </w:r>
          </w:p>
        </w:tc>
        <w:tc>
          <w:tcPr>
            <w:tcW w:w="0" w:type="dxa"/>
            <w:vAlign w:val="bottom"/>
          </w:tcPr>
          <w:p>
            <w:pPr>
              <w:spacing w:after="0"/>
              <w:rPr>
                <w:sz w:val="1"/>
                <w:szCs w:val="1"/>
                <w:color w:val="auto"/>
              </w:rPr>
            </w:pPr>
          </w:p>
        </w:tc>
      </w:tr>
      <w:tr>
        <w:trPr>
          <w:trHeight w:val="149"/>
        </w:trPr>
        <w:tc>
          <w:tcPr>
            <w:tcW w:w="248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w w:val="99"/>
              </w:rPr>
              <w:t>Healthcare, Education and Childcare</w:t>
            </w:r>
          </w:p>
        </w:tc>
        <w:tc>
          <w:tcPr>
            <w:tcW w:w="160" w:type="dxa"/>
            <w:vAlign w:val="bottom"/>
            <w:shd w:val="clear" w:color="auto" w:fill="CCFFCC"/>
          </w:tcPr>
          <w:p>
            <w:pPr>
              <w:spacing w:after="0"/>
              <w:rPr>
                <w:sz w:val="12"/>
                <w:szCs w:val="12"/>
                <w:color w:val="auto"/>
              </w:rPr>
            </w:pPr>
          </w:p>
        </w:tc>
        <w:tc>
          <w:tcPr>
            <w:tcW w:w="24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spacing w:after="0"/>
              <w:rPr>
                <w:sz w:val="14"/>
                <w:szCs w:val="14"/>
                <w:color w:val="auto"/>
              </w:rPr>
            </w:pP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7.3%</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10/14</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1" w:lineRule="exact"/>
              <w:rPr>
                <w:sz w:val="20"/>
                <w:szCs w:val="20"/>
                <w:color w:val="auto"/>
              </w:rPr>
            </w:pPr>
            <w:r>
              <w:rPr>
                <w:rFonts w:ascii="Arial" w:cs="Arial" w:eastAsia="Arial" w:hAnsi="Arial"/>
                <w:sz w:val="12"/>
                <w:szCs w:val="12"/>
                <w:color w:val="auto"/>
              </w:rPr>
              <w:t>TWCC Holding Corp.</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Junior Secured Loan — Term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1,004,735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1,030,005</w:t>
            </w:r>
          </w:p>
        </w:tc>
        <w:tc>
          <w:tcPr>
            <w:tcW w:w="0" w:type="dxa"/>
            <w:vAlign w:val="bottom"/>
          </w:tcPr>
          <w:p>
            <w:pPr>
              <w:spacing w:after="0"/>
              <w:rPr>
                <w:sz w:val="1"/>
                <w:szCs w:val="1"/>
                <w:color w:val="auto"/>
              </w:rPr>
            </w:pPr>
          </w:p>
        </w:tc>
      </w:tr>
      <w:tr>
        <w:trPr>
          <w:trHeight w:val="149"/>
        </w:trPr>
        <w:tc>
          <w:tcPr>
            <w:tcW w:w="248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Media: Broadcasting &amp; Subscription</w:t>
            </w:r>
          </w:p>
        </w:tc>
        <w:tc>
          <w:tcPr>
            <w:tcW w:w="160" w:type="dxa"/>
            <w:vAlign w:val="bottom"/>
          </w:tcPr>
          <w:p>
            <w:pPr>
              <w:spacing w:after="0"/>
              <w:rPr>
                <w:sz w:val="12"/>
                <w:szCs w:val="12"/>
                <w:color w:val="auto"/>
              </w:rPr>
            </w:pPr>
          </w:p>
        </w:tc>
        <w:tc>
          <w:tcPr>
            <w:tcW w:w="24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7.0%</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6/20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TWCC Holding Corp.</w:t>
            </w:r>
            <w:r>
              <w:rPr>
                <w:rFonts w:ascii="Arial" w:cs="Arial" w:eastAsia="Arial" w:hAnsi="Arial"/>
                <w:sz w:val="19"/>
                <w:szCs w:val="19"/>
                <w:color w:val="auto"/>
                <w:vertAlign w:val="superscript"/>
              </w:rPr>
              <w:t>(9), (11)</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1,965,101</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1,980,166</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1,975,379</w:t>
            </w: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Media: Broadcasting &amp; Subscription</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3.5%</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2/17</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1" w:lineRule="exact"/>
              <w:rPr>
                <w:sz w:val="20"/>
                <w:szCs w:val="20"/>
                <w:color w:val="auto"/>
              </w:rPr>
            </w:pPr>
            <w:r>
              <w:rPr>
                <w:rFonts w:ascii="Arial" w:cs="Arial" w:eastAsia="Arial" w:hAnsi="Arial"/>
                <w:sz w:val="12"/>
                <w:szCs w:val="12"/>
                <w:color w:val="auto"/>
              </w:rPr>
              <w:t>Univar Inc.</w:t>
            </w:r>
            <w:r>
              <w:rPr>
                <w:rFonts w:ascii="Arial" w:cs="Arial" w:eastAsia="Arial" w:hAnsi="Arial"/>
                <w:sz w:val="19"/>
                <w:szCs w:val="19"/>
                <w:color w:val="auto"/>
                <w:vertAlign w:val="superscript"/>
              </w:rPr>
              <w:t>(9), (11)</w:t>
            </w: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w w:val="98"/>
              </w:rPr>
              <w:t>Senior Secured Loan — Term B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2,924,675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2,921,597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2,906,601</w:t>
            </w:r>
          </w:p>
        </w:tc>
        <w:tc>
          <w:tcPr>
            <w:tcW w:w="0" w:type="dxa"/>
            <w:vAlign w:val="bottom"/>
          </w:tcPr>
          <w:p>
            <w:pPr>
              <w:spacing w:after="0"/>
              <w:rPr>
                <w:sz w:val="1"/>
                <w:szCs w:val="1"/>
                <w:color w:val="auto"/>
              </w:rPr>
            </w:pPr>
          </w:p>
        </w:tc>
      </w:tr>
      <w:tr>
        <w:trPr>
          <w:trHeight w:val="167"/>
        </w:trPr>
        <w:tc>
          <w:tcPr>
            <w:tcW w:w="248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6/17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Vertafore, Inc.</w:t>
            </w:r>
            <w:r>
              <w:rPr>
                <w:rFonts w:ascii="Arial" w:cs="Arial" w:eastAsia="Arial" w:hAnsi="Arial"/>
                <w:sz w:val="19"/>
                <w:szCs w:val="19"/>
                <w:color w:val="auto"/>
                <w:vertAlign w:val="superscript"/>
              </w:rPr>
              <w:t>(9), (11)</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Term</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1,202,077</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1,201,491</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1,203,039</w:t>
            </w:r>
          </w:p>
        </w:tc>
        <w:tc>
          <w:tcPr>
            <w:tcW w:w="0" w:type="dxa"/>
            <w:vAlign w:val="bottom"/>
          </w:tcPr>
          <w:p>
            <w:pPr>
              <w:spacing w:after="0"/>
              <w:rPr>
                <w:sz w:val="1"/>
                <w:szCs w:val="1"/>
                <w:color w:val="auto"/>
              </w:rPr>
            </w:pPr>
          </w:p>
        </w:tc>
      </w:tr>
      <w:tr>
        <w:trPr>
          <w:trHeight w:val="149"/>
        </w:trPr>
        <w:tc>
          <w:tcPr>
            <w:tcW w:w="248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High Tech Industries</w:t>
            </w:r>
          </w:p>
        </w:tc>
        <w:tc>
          <w:tcPr>
            <w:tcW w:w="160" w:type="dxa"/>
            <w:vAlign w:val="bottom"/>
            <w:shd w:val="clear" w:color="auto" w:fill="CCFFCC"/>
          </w:tcPr>
          <w:p>
            <w:pPr>
              <w:spacing w:after="0"/>
              <w:rPr>
                <w:sz w:val="12"/>
                <w:szCs w:val="12"/>
                <w:color w:val="auto"/>
              </w:rPr>
            </w:pPr>
          </w:p>
        </w:tc>
        <w:tc>
          <w:tcPr>
            <w:tcW w:w="24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Loan (2013)</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spacing w:after="0"/>
              <w:rPr>
                <w:sz w:val="14"/>
                <w:szCs w:val="14"/>
                <w:color w:val="auto"/>
              </w:rPr>
            </w:pP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4.3%</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tcPr>
          <w:p>
            <w:pPr>
              <w:ind w:left="20"/>
              <w:spacing w:after="0" w:line="130" w:lineRule="exact"/>
              <w:rPr>
                <w:sz w:val="20"/>
                <w:szCs w:val="20"/>
                <w:color w:val="auto"/>
              </w:rPr>
            </w:pPr>
            <w:r>
              <w:rPr>
                <w:rFonts w:ascii="Arial" w:cs="Arial" w:eastAsia="Arial" w:hAnsi="Arial"/>
                <w:sz w:val="14"/>
                <w:szCs w:val="14"/>
                <w:color w:val="auto"/>
              </w:rPr>
              <w:t>Vestcom International, Inc.</w:t>
            </w:r>
          </w:p>
        </w:tc>
        <w:tc>
          <w:tcPr>
            <w:tcW w:w="160" w:type="dxa"/>
            <w:vAlign w:val="bottom"/>
          </w:tcPr>
          <w:p>
            <w:pPr>
              <w:spacing w:after="0"/>
              <w:rPr>
                <w:sz w:val="11"/>
                <w:szCs w:val="11"/>
                <w:color w:val="auto"/>
              </w:rPr>
            </w:pPr>
          </w:p>
        </w:tc>
        <w:tc>
          <w:tcPr>
            <w:tcW w:w="240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2,977,500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2,939,085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2,978,095</w:t>
            </w:r>
          </w:p>
        </w:tc>
        <w:tc>
          <w:tcPr>
            <w:tcW w:w="0" w:type="dxa"/>
            <w:vAlign w:val="bottom"/>
          </w:tcPr>
          <w:p>
            <w:pPr>
              <w:spacing w:after="0"/>
              <w:rPr>
                <w:sz w:val="1"/>
                <w:szCs w:val="1"/>
                <w:color w:val="auto"/>
              </w:rPr>
            </w:pPr>
          </w:p>
        </w:tc>
      </w:tr>
      <w:tr>
        <w:trPr>
          <w:trHeight w:val="158"/>
        </w:trPr>
        <w:tc>
          <w:tcPr>
            <w:tcW w:w="2480" w:type="dxa"/>
            <w:vAlign w:val="bottom"/>
          </w:tcPr>
          <w:p>
            <w:pPr>
              <w:ind w:left="200"/>
              <w:spacing w:after="0" w:line="159" w:lineRule="exact"/>
              <w:rPr>
                <w:sz w:val="20"/>
                <w:szCs w:val="20"/>
                <w:color w:val="auto"/>
              </w:rPr>
            </w:pPr>
            <w:r>
              <w:rPr>
                <w:rFonts w:ascii="Arial" w:cs="Arial" w:eastAsia="Arial" w:hAnsi="Arial"/>
                <w:sz w:val="14"/>
                <w:szCs w:val="14"/>
                <w:color w:val="auto"/>
              </w:rPr>
              <w:t>(fka Vector Investment Holdings,</w:t>
            </w:r>
          </w:p>
        </w:tc>
        <w:tc>
          <w:tcPr>
            <w:tcW w:w="560" w:type="dxa"/>
            <w:vAlign w:val="bottom"/>
            <w:gridSpan w:val="2"/>
          </w:tcPr>
          <w:p>
            <w:pPr>
              <w:ind w:left="240"/>
              <w:spacing w:after="0" w:line="159" w:lineRule="exact"/>
              <w:rPr>
                <w:sz w:val="20"/>
                <w:szCs w:val="20"/>
                <w:color w:val="auto"/>
              </w:rPr>
            </w:pPr>
            <w:r>
              <w:rPr>
                <w:rFonts w:ascii="Arial" w:cs="Arial" w:eastAsia="Arial" w:hAnsi="Arial"/>
                <w:sz w:val="14"/>
                <w:szCs w:val="14"/>
                <w:color w:val="auto"/>
                <w:w w:val="93"/>
              </w:rPr>
              <w:t>7.0%</w:t>
            </w:r>
          </w:p>
        </w:tc>
        <w:tc>
          <w:tcPr>
            <w:tcW w:w="2000" w:type="dxa"/>
            <w:vAlign w:val="bottom"/>
          </w:tcPr>
          <w:p>
            <w:pPr>
              <w:ind w:left="20"/>
              <w:spacing w:after="0" w:line="159" w:lineRule="exact"/>
              <w:rPr>
                <w:sz w:val="20"/>
                <w:szCs w:val="20"/>
                <w:color w:val="auto"/>
              </w:rPr>
            </w:pPr>
            <w:r>
              <w:rPr>
                <w:rFonts w:ascii="Arial" w:cs="Arial" w:eastAsia="Arial" w:hAnsi="Arial"/>
                <w:sz w:val="14"/>
                <w:szCs w:val="14"/>
                <w:color w:val="auto"/>
              </w:rPr>
              <w:t>Cash, Due 12/18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(9), (11)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8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Media: Advertising, Printing &amp;</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ind w:left="200"/>
              <w:spacing w:after="0"/>
              <w:rPr>
                <w:sz w:val="20"/>
                <w:szCs w:val="20"/>
                <w:color w:val="auto"/>
              </w:rPr>
            </w:pPr>
            <w:r>
              <w:rPr>
                <w:rFonts w:ascii="Arial" w:cs="Arial" w:eastAsia="Arial" w:hAnsi="Arial"/>
                <w:sz w:val="14"/>
                <w:szCs w:val="14"/>
                <w:i w:val="1"/>
                <w:iCs w:val="1"/>
                <w:color w:val="auto"/>
              </w:rPr>
              <w:t>Publishing</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Weiman Products, LLC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1,000,000</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990,219</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990,000</w:t>
            </w: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Consumer goods: Non-durable</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6.3%</w:t>
            </w:r>
          </w:p>
        </w:tc>
        <w:tc>
          <w:tcPr>
            <w:tcW w:w="200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11/18</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1" w:lineRule="exact"/>
              <w:rPr>
                <w:sz w:val="20"/>
                <w:szCs w:val="20"/>
                <w:color w:val="auto"/>
              </w:rPr>
            </w:pPr>
            <w:r>
              <w:rPr>
                <w:rFonts w:ascii="Arial" w:cs="Arial" w:eastAsia="Arial" w:hAnsi="Arial"/>
                <w:sz w:val="12"/>
                <w:szCs w:val="12"/>
                <w:color w:val="auto"/>
              </w:rPr>
              <w:t>Weiman Products, LLC</w:t>
            </w:r>
            <w:r>
              <w:rPr>
                <w:rFonts w:ascii="Arial" w:cs="Arial" w:eastAsia="Arial" w:hAnsi="Arial"/>
                <w:sz w:val="19"/>
                <w:szCs w:val="19"/>
                <w:color w:val="auto"/>
                <w:vertAlign w:val="superscript"/>
              </w:rPr>
              <w:t>(9), (11)</w:t>
            </w: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3,960,876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3,960,000</w:t>
            </w:r>
          </w:p>
        </w:tc>
        <w:tc>
          <w:tcPr>
            <w:tcW w:w="0" w:type="dxa"/>
            <w:vAlign w:val="bottom"/>
          </w:tcPr>
          <w:p>
            <w:pPr>
              <w:spacing w:after="0"/>
              <w:rPr>
                <w:sz w:val="1"/>
                <w:szCs w:val="1"/>
                <w:color w:val="auto"/>
              </w:rPr>
            </w:pPr>
          </w:p>
        </w:tc>
      </w:tr>
      <w:tr>
        <w:trPr>
          <w:trHeight w:val="167"/>
        </w:trPr>
        <w:tc>
          <w:tcPr>
            <w:tcW w:w="2480" w:type="dxa"/>
            <w:vAlign w:val="bottom"/>
          </w:tcPr>
          <w:p>
            <w:pPr>
              <w:ind w:left="200"/>
              <w:spacing w:after="0"/>
              <w:rPr>
                <w:sz w:val="20"/>
                <w:szCs w:val="20"/>
                <w:color w:val="auto"/>
              </w:rPr>
            </w:pPr>
            <w:r>
              <w:rPr>
                <w:rFonts w:ascii="Arial" w:cs="Arial" w:eastAsia="Arial" w:hAnsi="Arial"/>
                <w:sz w:val="14"/>
                <w:szCs w:val="14"/>
                <w:i w:val="1"/>
                <w:iCs w:val="1"/>
                <w:color w:val="auto"/>
              </w:rPr>
              <w:t>Consumer goods: Non-durable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6.3%</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11/18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Wholesome Sweeteners, Inc.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w w:val="98"/>
              </w:rPr>
              <w:t>Junior Secured Loan — Subordinated</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6,648,596</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6,614,827</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6,715,082</w:t>
            </w:r>
          </w:p>
        </w:tc>
        <w:tc>
          <w:tcPr>
            <w:tcW w:w="0" w:type="dxa"/>
            <w:vAlign w:val="bottom"/>
          </w:tcPr>
          <w:p>
            <w:pPr>
              <w:spacing w:after="0"/>
              <w:rPr>
                <w:sz w:val="1"/>
                <w:szCs w:val="1"/>
                <w:color w:val="auto"/>
              </w:rPr>
            </w:pPr>
          </w:p>
        </w:tc>
      </w:tr>
      <w:tr>
        <w:trPr>
          <w:trHeight w:val="149"/>
        </w:trPr>
        <w:tc>
          <w:tcPr>
            <w:tcW w:w="248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160" w:type="dxa"/>
            <w:vAlign w:val="bottom"/>
            <w:shd w:val="clear" w:color="auto" w:fill="CCFFCC"/>
          </w:tcPr>
          <w:p>
            <w:pPr>
              <w:spacing w:after="0"/>
              <w:rPr>
                <w:sz w:val="12"/>
                <w:szCs w:val="12"/>
                <w:color w:val="auto"/>
              </w:rPr>
            </w:pPr>
          </w:p>
        </w:tc>
        <w:tc>
          <w:tcPr>
            <w:tcW w:w="24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Note (Second Lien)</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14.0% Cash, Due 10/17</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1" w:lineRule="exact"/>
              <w:rPr>
                <w:sz w:val="20"/>
                <w:szCs w:val="20"/>
                <w:color w:val="auto"/>
              </w:rPr>
            </w:pPr>
            <w:r>
              <w:rPr>
                <w:rFonts w:ascii="Arial" w:cs="Arial" w:eastAsia="Arial" w:hAnsi="Arial"/>
                <w:sz w:val="12"/>
                <w:szCs w:val="12"/>
                <w:color w:val="auto"/>
              </w:rPr>
              <w:t>WideOpenWest Finance, LLC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w w:val="98"/>
              </w:rPr>
              <w:t>Senior Secured Loan — Term B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2,984,962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3,005,566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3,005,111</w:t>
            </w:r>
          </w:p>
        </w:tc>
        <w:tc>
          <w:tcPr>
            <w:tcW w:w="0" w:type="dxa"/>
            <w:vAlign w:val="bottom"/>
          </w:tcPr>
          <w:p>
            <w:pPr>
              <w:spacing w:after="0"/>
              <w:rPr>
                <w:sz w:val="1"/>
                <w:szCs w:val="1"/>
                <w:color w:val="auto"/>
              </w:rPr>
            </w:pPr>
          </w:p>
        </w:tc>
      </w:tr>
      <w:tr>
        <w:trPr>
          <w:trHeight w:val="167"/>
        </w:trPr>
        <w:tc>
          <w:tcPr>
            <w:tcW w:w="248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2000" w:type="dxa"/>
            <w:vAlign w:val="bottom"/>
          </w:tcPr>
          <w:p>
            <w:pPr>
              <w:ind w:left="20"/>
              <w:spacing w:after="0"/>
              <w:rPr>
                <w:sz w:val="20"/>
                <w:szCs w:val="20"/>
                <w:color w:val="auto"/>
              </w:rPr>
            </w:pPr>
            <w:r>
              <w:rPr>
                <w:rFonts w:ascii="Arial" w:cs="Arial" w:eastAsia="Arial" w:hAnsi="Arial"/>
                <w:sz w:val="14"/>
                <w:szCs w:val="14"/>
                <w:color w:val="auto"/>
              </w:rPr>
              <w:t>Cash, Due 4/19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WireCo WorldGroup Inc.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Unsecured Bond —</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5,000,000</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4,977,052</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5,121,000</w:t>
            </w:r>
          </w:p>
        </w:tc>
        <w:tc>
          <w:tcPr>
            <w:tcW w:w="0" w:type="dxa"/>
            <w:vAlign w:val="bottom"/>
          </w:tcPr>
          <w:p>
            <w:pPr>
              <w:spacing w:after="0"/>
              <w:rPr>
                <w:sz w:val="1"/>
                <w:szCs w:val="1"/>
                <w:color w:val="auto"/>
              </w:rPr>
            </w:pPr>
          </w:p>
        </w:tc>
      </w:tr>
      <w:tr>
        <w:trPr>
          <w:trHeight w:val="149"/>
        </w:trPr>
        <w:tc>
          <w:tcPr>
            <w:tcW w:w="248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Capital Equipment</w:t>
            </w:r>
          </w:p>
        </w:tc>
        <w:tc>
          <w:tcPr>
            <w:tcW w:w="160" w:type="dxa"/>
            <w:vAlign w:val="bottom"/>
            <w:shd w:val="clear" w:color="auto" w:fill="CCFFCC"/>
          </w:tcPr>
          <w:p>
            <w:pPr>
              <w:spacing w:after="0"/>
              <w:rPr>
                <w:sz w:val="12"/>
                <w:szCs w:val="12"/>
                <w:color w:val="auto"/>
              </w:rPr>
            </w:pPr>
          </w:p>
        </w:tc>
        <w:tc>
          <w:tcPr>
            <w:tcW w:w="24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11.75% — 05/2017</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11.8% Cash, Due 5/17</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1" w:lineRule="exact"/>
              <w:rPr>
                <w:sz w:val="20"/>
                <w:szCs w:val="20"/>
                <w:color w:val="auto"/>
              </w:rPr>
            </w:pPr>
            <w:r>
              <w:rPr>
                <w:rFonts w:ascii="Arial" w:cs="Arial" w:eastAsia="Arial" w:hAnsi="Arial"/>
                <w:sz w:val="12"/>
                <w:szCs w:val="12"/>
                <w:color w:val="auto"/>
              </w:rPr>
              <w:t>WireCo WorldGroup Inc.</w:t>
            </w:r>
            <w:r>
              <w:rPr>
                <w:rFonts w:ascii="Arial" w:cs="Arial" w:eastAsia="Arial" w:hAnsi="Arial"/>
                <w:sz w:val="19"/>
                <w:szCs w:val="19"/>
                <w:color w:val="auto"/>
                <w:vertAlign w:val="superscript"/>
              </w:rPr>
              <w:t>(9), (11)</w:t>
            </w: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Senior Unsecured Bond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2,986,231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3,072,600</w:t>
            </w:r>
          </w:p>
        </w:tc>
        <w:tc>
          <w:tcPr>
            <w:tcW w:w="0" w:type="dxa"/>
            <w:vAlign w:val="bottom"/>
          </w:tcPr>
          <w:p>
            <w:pPr>
              <w:spacing w:after="0"/>
              <w:rPr>
                <w:sz w:val="1"/>
                <w:szCs w:val="1"/>
                <w:color w:val="auto"/>
              </w:rPr>
            </w:pPr>
          </w:p>
        </w:tc>
      </w:tr>
      <w:tr>
        <w:trPr>
          <w:trHeight w:val="149"/>
        </w:trPr>
        <w:tc>
          <w:tcPr>
            <w:tcW w:w="248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Capital Equipment</w:t>
            </w:r>
          </w:p>
        </w:tc>
        <w:tc>
          <w:tcPr>
            <w:tcW w:w="160" w:type="dxa"/>
            <w:vAlign w:val="bottom"/>
          </w:tcPr>
          <w:p>
            <w:pPr>
              <w:spacing w:after="0"/>
              <w:rPr>
                <w:sz w:val="12"/>
                <w:szCs w:val="12"/>
                <w:color w:val="auto"/>
              </w:rPr>
            </w:pPr>
          </w:p>
        </w:tc>
        <w:tc>
          <w:tcPr>
            <w:tcW w:w="24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11.75% — 05/2017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tcPr>
          <w:p>
            <w:pPr>
              <w:ind w:left="80"/>
              <w:spacing w:after="0"/>
              <w:rPr>
                <w:sz w:val="20"/>
                <w:szCs w:val="20"/>
                <w:color w:val="auto"/>
              </w:rPr>
            </w:pPr>
            <w:r>
              <w:rPr>
                <w:rFonts w:ascii="Arial" w:cs="Arial" w:eastAsia="Arial" w:hAnsi="Arial"/>
                <w:sz w:val="14"/>
                <w:szCs w:val="14"/>
                <w:color w:val="auto"/>
              </w:rPr>
              <w:t>11.8% Cash, Due 5/17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WTG Holdings III Corp.</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Junior Secured Loan — Term Loan</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4,000,000</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3,980,000</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3,980,000</w:t>
            </w:r>
          </w:p>
        </w:tc>
        <w:tc>
          <w:tcPr>
            <w:tcW w:w="0" w:type="dxa"/>
            <w:vAlign w:val="bottom"/>
          </w:tcPr>
          <w:p>
            <w:pPr>
              <w:spacing w:after="0"/>
              <w:rPr>
                <w:sz w:val="1"/>
                <w:szCs w:val="1"/>
                <w:color w:val="auto"/>
              </w:rPr>
            </w:pPr>
          </w:p>
        </w:tc>
      </w:tr>
      <w:tr>
        <w:trPr>
          <w:trHeight w:val="149"/>
        </w:trPr>
        <w:tc>
          <w:tcPr>
            <w:tcW w:w="248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Environmental Industries</w:t>
            </w:r>
          </w:p>
        </w:tc>
        <w:tc>
          <w:tcPr>
            <w:tcW w:w="160" w:type="dxa"/>
            <w:vAlign w:val="bottom"/>
            <w:shd w:val="clear" w:color="auto" w:fill="CCFFCC"/>
          </w:tcPr>
          <w:p>
            <w:pPr>
              <w:spacing w:after="0"/>
              <w:rPr>
                <w:sz w:val="12"/>
                <w:szCs w:val="12"/>
                <w:color w:val="auto"/>
              </w:rPr>
            </w:pPr>
          </w:p>
        </w:tc>
        <w:tc>
          <w:tcPr>
            <w:tcW w:w="24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tcBorders>
              <w:bottom w:val="single" w:sz="8" w:color="CCFFCC"/>
            </w:tcBorders>
            <w:shd w:val="clear" w:color="auto" w:fill="CCFFCC"/>
          </w:tcPr>
          <w:p>
            <w:pPr>
              <w:spacing w:after="0"/>
              <w:rPr>
                <w:sz w:val="14"/>
                <w:szCs w:val="14"/>
                <w:color w:val="auto"/>
              </w:rPr>
            </w:pPr>
          </w:p>
        </w:tc>
        <w:tc>
          <w:tcPr>
            <w:tcW w:w="560" w:type="dxa"/>
            <w:vAlign w:val="bottom"/>
            <w:tcBorders>
              <w:bottom w:val="single" w:sz="8" w:color="CCFFCC"/>
            </w:tcBorders>
            <w:gridSpan w:val="2"/>
            <w:shd w:val="clear" w:color="auto" w:fill="CCFFCC"/>
          </w:tcPr>
          <w:p>
            <w:pPr>
              <w:ind w:left="240"/>
              <w:spacing w:after="0"/>
              <w:rPr>
                <w:sz w:val="20"/>
                <w:szCs w:val="20"/>
                <w:color w:val="auto"/>
              </w:rPr>
            </w:pPr>
            <w:r>
              <w:rPr>
                <w:rFonts w:ascii="Arial" w:cs="Arial" w:eastAsia="Arial" w:hAnsi="Arial"/>
                <w:sz w:val="14"/>
                <w:szCs w:val="14"/>
                <w:color w:val="auto"/>
                <w:w w:val="93"/>
              </w:rPr>
              <w:t>8.5%</w:t>
            </w:r>
          </w:p>
        </w:tc>
        <w:tc>
          <w:tcPr>
            <w:tcW w:w="20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4"/>
                <w:szCs w:val="14"/>
                <w:color w:val="auto"/>
              </w:rPr>
              <w:t>Cash, Due 1/22</w:t>
            </w:r>
          </w:p>
        </w:tc>
        <w:tc>
          <w:tcPr>
            <w:tcW w:w="1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2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Total Investment in Debt Securities</w:t>
            </w: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4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19" w:lineRule="exact"/>
              <w:rPr>
                <w:sz w:val="20"/>
                <w:szCs w:val="20"/>
                <w:color w:val="auto"/>
              </w:rPr>
            </w:pPr>
            <w:r>
              <w:rPr>
                <w:rFonts w:ascii="Arial" w:cs="Arial" w:eastAsia="Arial" w:hAnsi="Arial"/>
                <w:sz w:val="13"/>
                <w:szCs w:val="13"/>
                <w:color w:val="auto"/>
                <w:w w:val="99"/>
              </w:rPr>
              <w:t>276,978,279</w:t>
            </w:r>
          </w:p>
        </w:tc>
        <w:tc>
          <w:tcPr>
            <w:tcW w:w="24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line="119" w:lineRule="exact"/>
              <w:rPr>
                <w:sz w:val="20"/>
                <w:szCs w:val="20"/>
                <w:color w:val="auto"/>
              </w:rPr>
            </w:pPr>
            <w:r>
              <w:rPr>
                <w:rFonts w:ascii="Arial" w:cs="Arial" w:eastAsia="Arial" w:hAnsi="Arial"/>
                <w:sz w:val="13"/>
                <w:szCs w:val="13"/>
                <w:color w:val="auto"/>
                <w:w w:val="99"/>
              </w:rPr>
              <w:t>275,213,594</w:t>
            </w:r>
          </w:p>
        </w:tc>
        <w:tc>
          <w:tcPr>
            <w:tcW w:w="260" w:type="dxa"/>
            <w:vAlign w:val="bottom"/>
            <w:gridSpan w:val="2"/>
          </w:tcPr>
          <w:p>
            <w:pPr>
              <w:jc w:val="right"/>
              <w:ind w:right="20"/>
              <w:spacing w:after="0" w:line="119"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
              <w:spacing w:after="0" w:line="119" w:lineRule="exact"/>
              <w:rPr>
                <w:sz w:val="20"/>
                <w:szCs w:val="20"/>
                <w:color w:val="auto"/>
              </w:rPr>
            </w:pPr>
            <w:r>
              <w:rPr>
                <w:rFonts w:ascii="Arial" w:cs="Arial" w:eastAsia="Arial" w:hAnsi="Arial"/>
                <w:sz w:val="13"/>
                <w:szCs w:val="13"/>
                <w:color w:val="auto"/>
              </w:rPr>
              <w:t>266,830,427</w:t>
            </w:r>
          </w:p>
        </w:tc>
        <w:tc>
          <w:tcPr>
            <w:tcW w:w="0" w:type="dxa"/>
            <w:vAlign w:val="bottom"/>
          </w:tcPr>
          <w:p>
            <w:pPr>
              <w:spacing w:after="0"/>
              <w:rPr>
                <w:sz w:val="1"/>
                <w:szCs w:val="1"/>
                <w:color w:val="auto"/>
              </w:rPr>
            </w:pPr>
          </w:p>
        </w:tc>
      </w:tr>
      <w:tr>
        <w:trPr>
          <w:trHeight w:val="149"/>
        </w:trPr>
        <w:tc>
          <w:tcPr>
            <w:tcW w:w="24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(107% of net asset value at fair</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2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-299720</wp:posOffset>
            </wp:positionV>
            <wp:extent cx="5213985" cy="3003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3003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-7228840</wp:posOffset>
            </wp:positionV>
            <wp:extent cx="521398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75" w:right="1440"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ind w:left="60"/>
              <w:spacing w:after="0"/>
              <w:rPr>
                <w:sz w:val="20"/>
                <w:szCs w:val="20"/>
                <w:color w:val="auto"/>
              </w:rPr>
            </w:pPr>
            <w:r>
              <w:rPr>
                <w:rFonts w:ascii="Arial" w:cs="Arial" w:eastAsia="Arial" w:hAnsi="Arial"/>
                <w:sz w:val="18"/>
                <w:szCs w:val="18"/>
                <w:b w:val="1"/>
                <w:bCs w:val="1"/>
                <w:color w:val="auto"/>
              </w:rPr>
              <w:t>Equity Securities Portfolio</w:t>
            </w:r>
          </w:p>
        </w:tc>
        <w:tc>
          <w:tcPr>
            <w:tcW w:w="160" w:type="dxa"/>
            <w:vAlign w:val="bottom"/>
          </w:tcPr>
          <w:p>
            <w:pPr>
              <w:spacing w:after="0"/>
              <w:rPr>
                <w:sz w:val="17"/>
                <w:szCs w:val="17"/>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7"/>
                <w:szCs w:val="17"/>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Interest/Shares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800" w:type="dxa"/>
            <w:vAlign w:val="bottom"/>
            <w:shd w:val="clear" w:color="auto" w:fill="CCFFCC"/>
          </w:tcPr>
          <w:p>
            <w:pPr>
              <w:ind w:left="20"/>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(9)</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ind w:left="80"/>
              <w:spacing w:after="0"/>
              <w:rPr>
                <w:sz w:val="20"/>
                <w:szCs w:val="20"/>
                <w:color w:val="auto"/>
              </w:rPr>
            </w:pPr>
            <w:r>
              <w:rPr>
                <w:rFonts w:ascii="Arial" w:cs="Arial" w:eastAsia="Arial" w:hAnsi="Arial"/>
                <w:sz w:val="14"/>
                <w:szCs w:val="14"/>
                <w:color w:val="auto"/>
              </w:rPr>
              <w:t>Partnership Interests</w:t>
            </w:r>
          </w:p>
        </w:tc>
        <w:tc>
          <w:tcPr>
            <w:tcW w:w="11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1.2%</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1,000,000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8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Series A Preferred Interests</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250,961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207,988</w:t>
            </w: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ind w:left="80"/>
              <w:spacing w:after="0"/>
              <w:rPr>
                <w:sz w:val="20"/>
                <w:szCs w:val="20"/>
                <w:color w:val="auto"/>
              </w:rPr>
            </w:pPr>
            <w:r>
              <w:rPr>
                <w:rFonts w:ascii="Arial" w:cs="Arial" w:eastAsia="Arial" w:hAnsi="Arial"/>
                <w:sz w:val="14"/>
                <w:szCs w:val="14"/>
                <w:color w:val="auto"/>
              </w:rPr>
              <w:t>Class A Warrants</w:t>
            </w:r>
          </w:p>
        </w:tc>
        <w:tc>
          <w:tcPr>
            <w:tcW w:w="11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8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w w:val="96"/>
              </w:rPr>
              <w:t>Banking, Finance, Insurance &amp; Real Estate</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Bankruptcy Management Solutions,</w:t>
            </w:r>
          </w:p>
        </w:tc>
        <w:tc>
          <w:tcPr>
            <w:tcW w:w="160" w:type="dxa"/>
            <w:vAlign w:val="bottom"/>
          </w:tcPr>
          <w:p>
            <w:pPr>
              <w:spacing w:after="0"/>
              <w:rPr>
                <w:sz w:val="12"/>
                <w:szCs w:val="12"/>
                <w:color w:val="auto"/>
              </w:rPr>
            </w:pPr>
          </w:p>
        </w:tc>
        <w:tc>
          <w:tcPr>
            <w:tcW w:w="1940" w:type="dxa"/>
            <w:vAlign w:val="bottom"/>
          </w:tcPr>
          <w:p>
            <w:pPr>
              <w:ind w:left="80"/>
              <w:spacing w:after="0" w:line="140" w:lineRule="exact"/>
              <w:rPr>
                <w:sz w:val="20"/>
                <w:szCs w:val="20"/>
                <w:color w:val="auto"/>
              </w:rPr>
            </w:pPr>
            <w:r>
              <w:rPr>
                <w:rFonts w:ascii="Arial" w:cs="Arial" w:eastAsia="Arial" w:hAnsi="Arial"/>
                <w:sz w:val="14"/>
                <w:szCs w:val="14"/>
                <w:color w:val="auto"/>
              </w:rPr>
              <w:t>Class B Warrants</w:t>
            </w:r>
          </w:p>
        </w:tc>
        <w:tc>
          <w:tcPr>
            <w:tcW w:w="1160" w:type="dxa"/>
            <w:vAlign w:val="bottom"/>
            <w:gridSpan w:val="2"/>
          </w:tcPr>
          <w:p>
            <w:pPr>
              <w:jc w:val="right"/>
              <w:ind w:right="108"/>
              <w:spacing w:after="0" w:line="140"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(5), (9)</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w w:val="96"/>
              </w:rPr>
              <w:t>Banking, Finance, Insurance &amp; Real Estate</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shd w:val="clear" w:color="auto" w:fill="CCFFCC"/>
          </w:tcPr>
          <w:p>
            <w:pPr>
              <w:ind w:left="20"/>
              <w:spacing w:after="0" w:line="140" w:lineRule="exact"/>
              <w:rPr>
                <w:sz w:val="20"/>
                <w:szCs w:val="20"/>
                <w:color w:val="auto"/>
              </w:rPr>
            </w:pPr>
            <w:r>
              <w:rPr>
                <w:rFonts w:ascii="Arial" w:cs="Arial" w:eastAsia="Arial" w:hAnsi="Arial"/>
                <w:sz w:val="14"/>
                <w:szCs w:val="14"/>
                <w:color w:val="auto"/>
              </w:rPr>
              <w:t>Bankruptcy Management Solutions,</w:t>
            </w:r>
          </w:p>
        </w:tc>
        <w:tc>
          <w:tcPr>
            <w:tcW w:w="160" w:type="dxa"/>
            <w:vAlign w:val="bottom"/>
            <w:shd w:val="clear" w:color="auto" w:fill="CCFFCC"/>
          </w:tcPr>
          <w:p>
            <w:pPr>
              <w:spacing w:after="0"/>
              <w:rPr>
                <w:sz w:val="12"/>
                <w:szCs w:val="12"/>
                <w:color w:val="auto"/>
              </w:rPr>
            </w:pPr>
          </w:p>
        </w:tc>
        <w:tc>
          <w:tcPr>
            <w:tcW w:w="1940" w:type="dxa"/>
            <w:vAlign w:val="bottom"/>
            <w:shd w:val="clear" w:color="auto" w:fill="CCFFCC"/>
          </w:tcPr>
          <w:p>
            <w:pPr>
              <w:ind w:left="80"/>
              <w:spacing w:after="0" w:line="140" w:lineRule="exact"/>
              <w:rPr>
                <w:sz w:val="20"/>
                <w:szCs w:val="20"/>
                <w:color w:val="auto"/>
              </w:rPr>
            </w:pPr>
            <w:r>
              <w:rPr>
                <w:rFonts w:ascii="Arial" w:cs="Arial" w:eastAsia="Arial" w:hAnsi="Arial"/>
                <w:sz w:val="14"/>
                <w:szCs w:val="14"/>
                <w:color w:val="auto"/>
              </w:rPr>
              <w:t>Class C Warrants</w:t>
            </w:r>
          </w:p>
        </w:tc>
        <w:tc>
          <w:tcPr>
            <w:tcW w:w="1160" w:type="dxa"/>
            <w:vAlign w:val="bottom"/>
            <w:gridSpan w:val="2"/>
            <w:shd w:val="clear" w:color="auto" w:fill="CCFFCC"/>
          </w:tcPr>
          <w:p>
            <w:pPr>
              <w:jc w:val="right"/>
              <w:ind w:right="108"/>
              <w:spacing w:after="0" w:line="140" w:lineRule="exact"/>
              <w:rPr>
                <w:sz w:val="20"/>
                <w:szCs w:val="20"/>
                <w:color w:val="auto"/>
              </w:rPr>
            </w:pPr>
            <w:r>
              <w:rPr>
                <w:rFonts w:ascii="Arial" w:cs="Arial" w:eastAsia="Arial" w:hAnsi="Arial"/>
                <w:sz w:val="14"/>
                <w:szCs w:val="14"/>
                <w:color w:val="auto"/>
              </w:rPr>
              <w:t>1.7%</w:t>
            </w: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0"/>
              <w:spacing w:after="0" w:line="140"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800" w:type="dxa"/>
            <w:vAlign w:val="bottom"/>
            <w:shd w:val="clear" w:color="auto" w:fill="CCFFCC"/>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(5), (9)</w:t>
            </w:r>
          </w:p>
        </w:tc>
        <w:tc>
          <w:tcPr>
            <w:tcW w:w="160" w:type="dxa"/>
            <w:vAlign w:val="bottom"/>
            <w:shd w:val="clear" w:color="auto" w:fill="CCFFCC"/>
          </w:tcPr>
          <w:p>
            <w:pPr>
              <w:spacing w:after="0"/>
              <w:rPr>
                <w:sz w:val="15"/>
                <w:szCs w:val="15"/>
                <w:color w:val="auto"/>
              </w:rPr>
            </w:pPr>
          </w:p>
        </w:tc>
        <w:tc>
          <w:tcPr>
            <w:tcW w:w="19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w w:val="96"/>
              </w:rPr>
              <w:t>Banking, Finance, Insurance &amp; Real Estate</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Bankruptcy Management Solutions,</w:t>
            </w:r>
          </w:p>
        </w:tc>
        <w:tc>
          <w:tcPr>
            <w:tcW w:w="160" w:type="dxa"/>
            <w:vAlign w:val="bottom"/>
          </w:tcPr>
          <w:p>
            <w:pPr>
              <w:spacing w:after="0"/>
              <w:rPr>
                <w:sz w:val="12"/>
                <w:szCs w:val="12"/>
                <w:color w:val="auto"/>
              </w:rPr>
            </w:pPr>
          </w:p>
        </w:tc>
        <w:tc>
          <w:tcPr>
            <w:tcW w:w="1940" w:type="dxa"/>
            <w:vAlign w:val="bottom"/>
          </w:tcPr>
          <w:p>
            <w:pPr>
              <w:ind w:left="80"/>
              <w:spacing w:after="0" w:line="140" w:lineRule="exact"/>
              <w:rPr>
                <w:sz w:val="20"/>
                <w:szCs w:val="20"/>
                <w:color w:val="auto"/>
              </w:rPr>
            </w:pPr>
            <w:r>
              <w:rPr>
                <w:rFonts w:ascii="Arial" w:cs="Arial" w:eastAsia="Arial" w:hAnsi="Arial"/>
                <w:sz w:val="14"/>
                <w:szCs w:val="14"/>
                <w:color w:val="auto"/>
              </w:rPr>
              <w:t>Common Stock 2013</w:t>
            </w:r>
          </w:p>
        </w:tc>
        <w:tc>
          <w:tcPr>
            <w:tcW w:w="1160" w:type="dxa"/>
            <w:vAlign w:val="bottom"/>
            <w:gridSpan w:val="2"/>
          </w:tcPr>
          <w:p>
            <w:pPr>
              <w:jc w:val="right"/>
              <w:ind w:right="108"/>
              <w:spacing w:after="0" w:line="140" w:lineRule="exact"/>
              <w:rPr>
                <w:sz w:val="20"/>
                <w:szCs w:val="20"/>
                <w:color w:val="auto"/>
              </w:rPr>
            </w:pPr>
            <w:r>
              <w:rPr>
                <w:rFonts w:ascii="Arial" w:cs="Arial" w:eastAsia="Arial" w:hAnsi="Arial"/>
                <w:sz w:val="14"/>
                <w:szCs w:val="14"/>
                <w:color w:val="auto"/>
              </w:rPr>
              <w:t>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314,325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309,363</w:t>
            </w: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(5), (9)</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w w:val="96"/>
              </w:rPr>
              <w:t>Banking, Finance, Insurance &amp; Real Estate</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shd w:val="clear" w:color="auto" w:fill="CCFFCC"/>
          </w:tcPr>
          <w:p>
            <w:pPr>
              <w:ind w:left="20"/>
              <w:spacing w:after="0" w:line="140" w:lineRule="exact"/>
              <w:rPr>
                <w:sz w:val="20"/>
                <w:szCs w:val="20"/>
                <w:color w:val="auto"/>
              </w:rPr>
            </w:pPr>
            <w:r>
              <w:rPr>
                <w:rFonts w:ascii="Arial" w:cs="Arial" w:eastAsia="Arial" w:hAnsi="Arial"/>
                <w:sz w:val="14"/>
                <w:szCs w:val="14"/>
                <w:color w:val="auto"/>
              </w:rPr>
              <w:t>Caribe Media Inc. (fka Caribe Information</w:t>
            </w:r>
          </w:p>
        </w:tc>
        <w:tc>
          <w:tcPr>
            <w:tcW w:w="160" w:type="dxa"/>
            <w:vAlign w:val="bottom"/>
            <w:shd w:val="clear" w:color="auto" w:fill="CCFFCC"/>
          </w:tcPr>
          <w:p>
            <w:pPr>
              <w:spacing w:after="0"/>
              <w:rPr>
                <w:sz w:val="12"/>
                <w:szCs w:val="12"/>
                <w:color w:val="auto"/>
              </w:rPr>
            </w:pPr>
          </w:p>
        </w:tc>
        <w:tc>
          <w:tcPr>
            <w:tcW w:w="1940" w:type="dxa"/>
            <w:vAlign w:val="bottom"/>
            <w:shd w:val="clear" w:color="auto" w:fill="CCFFCC"/>
          </w:tcPr>
          <w:p>
            <w:pPr>
              <w:ind w:left="80"/>
              <w:spacing w:after="0" w:line="140" w:lineRule="exact"/>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FFCC"/>
          </w:tcPr>
          <w:p>
            <w:pPr>
              <w:jc w:val="right"/>
              <w:ind w:right="108"/>
              <w:spacing w:after="0" w:line="140" w:lineRule="exact"/>
              <w:rPr>
                <w:sz w:val="20"/>
                <w:szCs w:val="20"/>
                <w:color w:val="auto"/>
              </w:rPr>
            </w:pPr>
            <w:r>
              <w:rPr>
                <w:rFonts w:ascii="Arial" w:cs="Arial" w:eastAsia="Arial" w:hAnsi="Arial"/>
                <w:sz w:val="14"/>
                <w:szCs w:val="14"/>
                <w:color w:val="auto"/>
              </w:rPr>
              <w:t>1.27%</w:t>
            </w: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0"/>
              <w:spacing w:after="0" w:line="140" w:lineRule="exact"/>
              <w:rPr>
                <w:sz w:val="20"/>
                <w:szCs w:val="20"/>
                <w:color w:val="auto"/>
              </w:rPr>
            </w:pPr>
            <w:r>
              <w:rPr>
                <w:rFonts w:ascii="Arial" w:cs="Arial" w:eastAsia="Arial" w:hAnsi="Arial"/>
                <w:sz w:val="14"/>
                <w:szCs w:val="14"/>
                <w:color w:val="auto"/>
              </w:rPr>
              <w:t>359,765</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692,710</w:t>
            </w:r>
          </w:p>
        </w:tc>
        <w:tc>
          <w:tcPr>
            <w:tcW w:w="0" w:type="dxa"/>
            <w:vAlign w:val="bottom"/>
          </w:tcPr>
          <w:p>
            <w:pPr>
              <w:spacing w:after="0"/>
              <w:rPr>
                <w:sz w:val="1"/>
                <w:szCs w:val="1"/>
                <w:color w:val="auto"/>
              </w:rPr>
            </w:pPr>
          </w:p>
        </w:tc>
      </w:tr>
      <w:tr>
        <w:trPr>
          <w:trHeight w:val="179"/>
        </w:trPr>
        <w:tc>
          <w:tcPr>
            <w:tcW w:w="2800" w:type="dxa"/>
            <w:vAlign w:val="bottom"/>
            <w:shd w:val="clear" w:color="auto" w:fill="CCFFCC"/>
          </w:tcPr>
          <w:p>
            <w:pPr>
              <w:ind w:left="200"/>
              <w:spacing w:after="0" w:line="17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0"/>
                <w:szCs w:val="20"/>
                <w:color w:val="auto"/>
                <w:vertAlign w:val="superscript"/>
              </w:rPr>
              <w:t>(5), (9)</w:t>
            </w:r>
          </w:p>
        </w:tc>
        <w:tc>
          <w:tcPr>
            <w:tcW w:w="160" w:type="dxa"/>
            <w:vAlign w:val="bottom"/>
            <w:shd w:val="clear" w:color="auto" w:fill="CCFFCC"/>
          </w:tcPr>
          <w:p>
            <w:pPr>
              <w:spacing w:after="0"/>
              <w:rPr>
                <w:sz w:val="15"/>
                <w:szCs w:val="15"/>
                <w:color w:val="auto"/>
              </w:rPr>
            </w:pPr>
          </w:p>
        </w:tc>
        <w:tc>
          <w:tcPr>
            <w:tcW w:w="19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Media: Advertising, Printing &amp; Publishing</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Coastal Concrete Holding II,</w:t>
            </w:r>
          </w:p>
        </w:tc>
        <w:tc>
          <w:tcPr>
            <w:tcW w:w="160" w:type="dxa"/>
            <w:vAlign w:val="bottom"/>
          </w:tcPr>
          <w:p>
            <w:pPr>
              <w:spacing w:after="0"/>
              <w:rPr>
                <w:sz w:val="12"/>
                <w:szCs w:val="12"/>
                <w:color w:val="auto"/>
              </w:rPr>
            </w:pPr>
          </w:p>
        </w:tc>
        <w:tc>
          <w:tcPr>
            <w:tcW w:w="1940" w:type="dxa"/>
            <w:vAlign w:val="bottom"/>
          </w:tcPr>
          <w:p>
            <w:pPr>
              <w:ind w:left="80"/>
              <w:spacing w:after="0" w:line="140" w:lineRule="exact"/>
              <w:rPr>
                <w:sz w:val="20"/>
                <w:szCs w:val="20"/>
                <w:color w:val="auto"/>
              </w:rPr>
            </w:pPr>
            <w:r>
              <w:rPr>
                <w:rFonts w:ascii="Arial" w:cs="Arial" w:eastAsia="Arial" w:hAnsi="Arial"/>
                <w:sz w:val="14"/>
                <w:szCs w:val="14"/>
                <w:color w:val="auto"/>
              </w:rPr>
              <w:t>Class A Units</w:t>
            </w:r>
          </w:p>
        </w:tc>
        <w:tc>
          <w:tcPr>
            <w:tcW w:w="1160" w:type="dxa"/>
            <w:vAlign w:val="bottom"/>
            <w:gridSpan w:val="2"/>
          </w:tcPr>
          <w:p>
            <w:pPr>
              <w:jc w:val="right"/>
              <w:ind w:right="108"/>
              <w:spacing w:after="0" w:line="140" w:lineRule="exact"/>
              <w:rPr>
                <w:sz w:val="20"/>
                <w:szCs w:val="20"/>
                <w:color w:val="auto"/>
              </w:rPr>
            </w:pPr>
            <w:r>
              <w:rPr>
                <w:rFonts w:ascii="Arial" w:cs="Arial" w:eastAsia="Arial" w:hAnsi="Arial"/>
                <w:sz w:val="14"/>
                <w:szCs w:val="14"/>
                <w:color w:val="auto"/>
              </w:rPr>
              <w:t>10.8%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8,625,626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LLC</w:t>
            </w:r>
            <w:r>
              <w:rPr>
                <w:rFonts w:ascii="Arial" w:cs="Arial" w:eastAsia="Arial" w:hAnsi="Arial"/>
                <w:sz w:val="10"/>
                <w:szCs w:val="10"/>
                <w:color w:val="auto"/>
              </w:rPr>
              <w:t>(5), (9)</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Construction &amp; Building</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(9)</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ind w:left="80"/>
              <w:spacing w:after="0"/>
              <w:rPr>
                <w:sz w:val="20"/>
                <w:szCs w:val="20"/>
                <w:color w:val="auto"/>
              </w:rPr>
            </w:pPr>
            <w:r>
              <w:rPr>
                <w:rFonts w:ascii="Arial" w:cs="Arial" w:eastAsia="Arial" w:hAnsi="Arial"/>
                <w:sz w:val="14"/>
                <w:szCs w:val="14"/>
                <w:color w:val="auto"/>
              </w:rPr>
              <w:t>Membership Units</w:t>
            </w:r>
          </w:p>
        </w:tc>
        <w:tc>
          <w:tcPr>
            <w:tcW w:w="11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1,079,617</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8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Services: Consumer</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tcPr>
          <w:p>
            <w:pPr>
              <w:ind w:left="20"/>
              <w:spacing w:after="0" w:line="140" w:lineRule="exact"/>
              <w:rPr>
                <w:sz w:val="20"/>
                <w:szCs w:val="20"/>
                <w:color w:val="auto"/>
              </w:rPr>
            </w:pPr>
            <w:r>
              <w:rPr>
                <w:rFonts w:ascii="Arial" w:cs="Arial" w:eastAsia="Arial" w:hAnsi="Arial"/>
                <w:sz w:val="14"/>
                <w:szCs w:val="14"/>
                <w:color w:val="auto"/>
              </w:rPr>
              <w:t>FP WRCA Coinvestment Fund VII</w:t>
            </w:r>
          </w:p>
        </w:tc>
        <w:tc>
          <w:tcPr>
            <w:tcW w:w="160" w:type="dxa"/>
            <w:vAlign w:val="bottom"/>
          </w:tcPr>
          <w:p>
            <w:pPr>
              <w:spacing w:after="0"/>
              <w:rPr>
                <w:sz w:val="12"/>
                <w:szCs w:val="12"/>
                <w:color w:val="auto"/>
              </w:rPr>
            </w:pPr>
          </w:p>
        </w:tc>
        <w:tc>
          <w:tcPr>
            <w:tcW w:w="1940" w:type="dxa"/>
            <w:vAlign w:val="bottom"/>
          </w:tcPr>
          <w:p>
            <w:pPr>
              <w:ind w:left="80"/>
              <w:spacing w:after="0" w:line="140" w:lineRule="exact"/>
              <w:rPr>
                <w:sz w:val="20"/>
                <w:szCs w:val="20"/>
                <w:color w:val="auto"/>
              </w:rPr>
            </w:pPr>
            <w:r>
              <w:rPr>
                <w:rFonts w:ascii="Arial" w:cs="Arial" w:eastAsia="Arial" w:hAnsi="Arial"/>
                <w:sz w:val="14"/>
                <w:szCs w:val="14"/>
                <w:color w:val="auto"/>
              </w:rPr>
              <w:t>Class A Shares</w:t>
            </w:r>
          </w:p>
        </w:tc>
        <w:tc>
          <w:tcPr>
            <w:tcW w:w="1160" w:type="dxa"/>
            <w:vAlign w:val="bottom"/>
            <w:gridSpan w:val="2"/>
          </w:tcPr>
          <w:p>
            <w:pPr>
              <w:jc w:val="right"/>
              <w:ind w:right="228"/>
              <w:spacing w:after="0" w:line="140" w:lineRule="exact"/>
              <w:rPr>
                <w:sz w:val="20"/>
                <w:szCs w:val="20"/>
                <w:color w:val="auto"/>
              </w:rPr>
            </w:pPr>
            <w:r>
              <w:rPr>
                <w:rFonts w:ascii="Arial" w:cs="Arial" w:eastAsia="Arial" w:hAnsi="Arial"/>
                <w:sz w:val="14"/>
                <w:szCs w:val="14"/>
                <w:color w:val="auto"/>
              </w:rPr>
              <w:t>1,500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1,735,604</w:t>
            </w:r>
          </w:p>
        </w:tc>
        <w:tc>
          <w:tcPr>
            <w:tcW w:w="0" w:type="dxa"/>
            <w:vAlign w:val="bottom"/>
          </w:tcPr>
          <w:p>
            <w:pPr>
              <w:spacing w:after="0"/>
              <w:rPr>
                <w:sz w:val="1"/>
                <w:szCs w:val="1"/>
                <w:color w:val="auto"/>
              </w:rPr>
            </w:pPr>
          </w:p>
        </w:tc>
      </w:tr>
      <w:tr>
        <w:trPr>
          <w:trHeight w:val="179"/>
        </w:trPr>
        <w:tc>
          <w:tcPr>
            <w:tcW w:w="280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Ltd.</w:t>
            </w:r>
            <w:r>
              <w:rPr>
                <w:rFonts w:ascii="Arial" w:cs="Arial" w:eastAsia="Arial" w:hAnsi="Arial"/>
                <w:sz w:val="10"/>
                <w:szCs w:val="10"/>
                <w:color w:val="auto"/>
              </w:rPr>
              <w:t>(3), (5)</w:t>
            </w:r>
            <w:r>
              <w:rPr>
                <w:rFonts w:ascii="Arial" w:cs="Arial" w:eastAsia="Arial" w:hAnsi="Arial"/>
                <w:sz w:val="20"/>
                <w:szCs w:val="20"/>
                <w:color w:val="auto"/>
                <w:vertAlign w:val="subscript"/>
              </w:rPr>
              <w:t>,</w:t>
            </w:r>
          </w:p>
        </w:tc>
        <w:tc>
          <w:tcPr>
            <w:tcW w:w="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(5), (9)</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400,000</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8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1,581,481</w:t>
            </w: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Consumer goods: Durable</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(5), (9)</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ind w:left="80"/>
              <w:spacing w:after="0"/>
              <w:rPr>
                <w:sz w:val="20"/>
                <w:szCs w:val="20"/>
                <w:color w:val="auto"/>
              </w:rPr>
            </w:pPr>
            <w:r>
              <w:rPr>
                <w:rFonts w:ascii="Arial" w:cs="Arial" w:eastAsia="Arial" w:hAnsi="Arial"/>
                <w:sz w:val="14"/>
                <w:szCs w:val="14"/>
                <w:color w:val="auto"/>
              </w:rPr>
              <w:t>Preferred</w:t>
            </w:r>
          </w:p>
        </w:tc>
        <w:tc>
          <w:tcPr>
            <w:tcW w:w="1160" w:type="dxa"/>
            <w:vAlign w:val="bottom"/>
            <w:gridSpan w:val="2"/>
            <w:shd w:val="clear" w:color="auto" w:fill="CCFFCC"/>
          </w:tcPr>
          <w:p>
            <w:pPr>
              <w:jc w:val="right"/>
              <w:ind w:right="108"/>
              <w:spacing w:after="0"/>
              <w:rPr>
                <w:sz w:val="20"/>
                <w:szCs w:val="20"/>
                <w:color w:val="auto"/>
              </w:rPr>
            </w:pPr>
            <w:r>
              <w:rPr>
                <w:rFonts w:ascii="Arial" w:cs="Arial" w:eastAsia="Arial" w:hAnsi="Arial"/>
                <w:sz w:val="14"/>
                <w:szCs w:val="14"/>
                <w:color w:val="auto"/>
              </w:rPr>
              <w:t>15.5%</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3,725,390</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4,152,689</w:t>
            </w:r>
          </w:p>
        </w:tc>
        <w:tc>
          <w:tcPr>
            <w:tcW w:w="0" w:type="dxa"/>
            <w:vAlign w:val="bottom"/>
          </w:tcPr>
          <w:p>
            <w:pPr>
              <w:spacing w:after="0"/>
              <w:rPr>
                <w:sz w:val="1"/>
                <w:szCs w:val="1"/>
                <w:color w:val="auto"/>
              </w:rPr>
            </w:pPr>
          </w:p>
        </w:tc>
      </w:tr>
      <w:tr>
        <w:trPr>
          <w:trHeight w:val="167"/>
        </w:trPr>
        <w:tc>
          <w:tcPr>
            <w:tcW w:w="28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Consumer goods: Durable</w:t>
            </w:r>
          </w:p>
        </w:tc>
        <w:tc>
          <w:tcPr>
            <w:tcW w:w="160" w:type="dxa"/>
            <w:vAlign w:val="bottom"/>
            <w:shd w:val="clear" w:color="auto" w:fill="CCFFCC"/>
          </w:tcPr>
          <w:p>
            <w:pPr>
              <w:spacing w:after="0"/>
              <w:rPr>
                <w:sz w:val="14"/>
                <w:szCs w:val="14"/>
                <w:color w:val="auto"/>
              </w:rPr>
            </w:pPr>
          </w:p>
        </w:tc>
        <w:tc>
          <w:tcPr>
            <w:tcW w:w="19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tcPr>
          <w:p>
            <w:pPr>
              <w:ind w:left="20"/>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940" w:type="dxa"/>
            <w:vAlign w:val="bottom"/>
          </w:tcPr>
          <w:p>
            <w:pPr>
              <w:ind w:left="80"/>
              <w:spacing w:after="0"/>
              <w:rPr>
                <w:sz w:val="20"/>
                <w:szCs w:val="20"/>
                <w:color w:val="auto"/>
              </w:rPr>
            </w:pPr>
            <w:r>
              <w:rPr>
                <w:rFonts w:ascii="Arial" w:cs="Arial" w:eastAsia="Arial" w:hAnsi="Arial"/>
                <w:sz w:val="14"/>
                <w:szCs w:val="14"/>
                <w:color w:val="auto"/>
              </w:rPr>
              <w:t>Common Stock</w:t>
            </w: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2,322,563</w:t>
            </w:r>
          </w:p>
        </w:tc>
        <w:tc>
          <w:tcPr>
            <w:tcW w:w="0" w:type="dxa"/>
            <w:vAlign w:val="bottom"/>
          </w:tcPr>
          <w:p>
            <w:pPr>
              <w:spacing w:after="0"/>
              <w:rPr>
                <w:sz w:val="1"/>
                <w:szCs w:val="1"/>
                <w:color w:val="auto"/>
              </w:rPr>
            </w:pPr>
          </w:p>
        </w:tc>
      </w:tr>
      <w:tr>
        <w:trPr>
          <w:trHeight w:val="167"/>
        </w:trPr>
        <w:tc>
          <w:tcPr>
            <w:tcW w:w="2800" w:type="dxa"/>
            <w:vAlign w:val="bottom"/>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00" w:type="dxa"/>
            <w:vAlign w:val="bottom"/>
            <w:shd w:val="clear" w:color="auto" w:fill="CCFFCC"/>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w:t>
            </w:r>
          </w:p>
        </w:tc>
        <w:tc>
          <w:tcPr>
            <w:tcW w:w="160" w:type="dxa"/>
            <w:vAlign w:val="bottom"/>
            <w:shd w:val="clear" w:color="auto" w:fill="CCFFCC"/>
          </w:tcPr>
          <w:p>
            <w:pPr>
              <w:spacing w:after="0"/>
              <w:rPr>
                <w:sz w:val="10"/>
                <w:szCs w:val="10"/>
                <w:color w:val="auto"/>
              </w:rPr>
            </w:pPr>
          </w:p>
        </w:tc>
        <w:tc>
          <w:tcPr>
            <w:tcW w:w="19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28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18,755,684</w:t>
            </w:r>
          </w:p>
        </w:tc>
        <w:tc>
          <w:tcPr>
            <w:tcW w:w="260" w:type="dxa"/>
            <w:vAlign w:val="bottom"/>
            <w:gridSpan w:val="2"/>
            <w:shd w:val="clear" w:color="auto" w:fill="CCFFCC"/>
          </w:tcPr>
          <w:p>
            <w:pPr>
              <w:jc w:val="right"/>
              <w:ind w:right="20"/>
              <w:spacing w:after="0" w:line="119"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11,006,398</w:t>
            </w:r>
          </w:p>
        </w:tc>
        <w:tc>
          <w:tcPr>
            <w:tcW w:w="0" w:type="dxa"/>
            <w:vAlign w:val="bottom"/>
          </w:tcPr>
          <w:p>
            <w:pPr>
              <w:spacing w:after="0"/>
              <w:rPr>
                <w:sz w:val="1"/>
                <w:szCs w:val="1"/>
                <w:color w:val="auto"/>
              </w:rPr>
            </w:pPr>
          </w:p>
        </w:tc>
      </w:tr>
      <w:tr>
        <w:trPr>
          <w:trHeight w:val="171"/>
        </w:trPr>
        <w:tc>
          <w:tcPr>
            <w:tcW w:w="28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b w:val="1"/>
                <w:bCs w:val="1"/>
                <w:color w:val="auto"/>
              </w:rPr>
              <w:t>(4% of net asset value at fair value)</w:t>
            </w:r>
          </w:p>
        </w:tc>
        <w:tc>
          <w:tcPr>
            <w:tcW w:w="160" w:type="dxa"/>
            <w:vAlign w:val="bottom"/>
            <w:tcBorders>
              <w:bottom w:val="single" w:sz="8" w:color="CCFFCC"/>
            </w:tcBorders>
            <w:shd w:val="clear" w:color="auto" w:fill="CCFFCC"/>
          </w:tcPr>
          <w:p>
            <w:pPr>
              <w:spacing w:after="0"/>
              <w:rPr>
                <w:sz w:val="14"/>
                <w:szCs w:val="14"/>
                <w:color w:val="auto"/>
              </w:rPr>
            </w:pPr>
          </w:p>
        </w:tc>
        <w:tc>
          <w:tcPr>
            <w:tcW w:w="194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00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2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-4046855</wp:posOffset>
            </wp:positionV>
            <wp:extent cx="52139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6"/>
                <w:szCs w:val="16"/>
                <w:color w:val="auto"/>
              </w:rPr>
            </w:pPr>
          </w:p>
        </w:tc>
        <w:tc>
          <w:tcPr>
            <w:tcW w:w="2260" w:type="dxa"/>
            <w:vAlign w:val="bottom"/>
          </w:tcPr>
          <w:p>
            <w:pPr>
              <w:ind w:left="80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23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96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2"/>
                <w:szCs w:val="22"/>
                <w:b w:val="1"/>
                <w:bCs w:val="1"/>
                <w:color w:val="auto"/>
                <w:vertAlign w:val="superscript"/>
              </w:rPr>
              <w:t>(2)</w:t>
            </w:r>
          </w:p>
        </w:tc>
      </w:tr>
      <w:tr>
        <w:trPr>
          <w:trHeight w:val="171"/>
        </w:trPr>
        <w:tc>
          <w:tcPr>
            <w:tcW w:w="2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250"/>
        </w:trPr>
        <w:tc>
          <w:tcPr>
            <w:tcW w:w="2760" w:type="dxa"/>
            <w:vAlign w:val="bottom"/>
            <w:shd w:val="clear" w:color="auto" w:fill="CCFFCC"/>
          </w:tcPr>
          <w:p>
            <w:pPr>
              <w:ind w:left="20"/>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00" w:type="dxa"/>
            <w:vAlign w:val="bottom"/>
            <w:shd w:val="clear" w:color="auto" w:fill="CCFFCC"/>
          </w:tcPr>
          <w:p>
            <w:pPr>
              <w:spacing w:after="0"/>
              <w:rPr>
                <w:sz w:val="21"/>
                <w:szCs w:val="21"/>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22.2%</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4,715,553</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1,052,164</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 (11)</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1,618,611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(3), (11)</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3,320,000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4,499,793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1,478,978</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3,390,005</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1,230,731</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2,023,287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829,739</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8"/>
              </w:rPr>
              <w:t>11,770,993</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5,932,163</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31,064,973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27,758,379</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3,542,300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2,519,210</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 Notes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2,721,500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1,844,276</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Income Notes</w:t>
            </w:r>
          </w:p>
        </w:tc>
        <w:tc>
          <w:tcPr>
            <w:tcW w:w="10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2,784,200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1,981,948</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Income Notes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3,133,900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2,513,261</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w w:val="95"/>
              </w:rPr>
              <w:t>Catamaran CLO 2012-1 Ltd.</w:t>
            </w:r>
            <w:r>
              <w:rPr>
                <w:rFonts w:ascii="Arial" w:cs="Arial" w:eastAsia="Arial" w:hAnsi="Arial"/>
                <w:sz w:val="29"/>
                <w:szCs w:val="29"/>
                <w:color w:val="auto"/>
                <w:w w:val="95"/>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8,943,900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6,846,520</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w w:val="95"/>
              </w:rPr>
              <w:t>Catamaran CLO 2013-1 Ltd.</w:t>
            </w:r>
            <w:r>
              <w:rPr>
                <w:rFonts w:ascii="Arial" w:cs="Arial" w:eastAsia="Arial" w:hAnsi="Arial"/>
                <w:sz w:val="29"/>
                <w:szCs w:val="29"/>
                <w:color w:val="auto"/>
                <w:w w:val="95"/>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9,960,400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8,225,100</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Dryden 30 Senior Loan Fund</w:t>
            </w:r>
            <w:r>
              <w:rPr>
                <w:rFonts w:ascii="Arial" w:cs="Arial" w:eastAsia="Arial" w:hAnsi="Arial"/>
                <w:sz w:val="29"/>
                <w:szCs w:val="29"/>
                <w:color w:val="auto"/>
                <w:vertAlign w:val="superscript"/>
              </w:rPr>
              <w:t>(3)</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3,063,200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2,973,750</w:t>
            </w:r>
          </w:p>
        </w:tc>
      </w:tr>
      <w:tr>
        <w:trPr>
          <w:trHeight w:val="20"/>
        </w:trPr>
        <w:tc>
          <w:tcPr>
            <w:tcW w:w="27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r>
      <w:tr>
        <w:trPr>
          <w:trHeight w:val="191"/>
        </w:trPr>
        <w:tc>
          <w:tcPr>
            <w:tcW w:w="276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1" w:lineRule="exact"/>
              <w:rPr>
                <w:sz w:val="20"/>
                <w:szCs w:val="20"/>
                <w:color w:val="auto"/>
              </w:rPr>
            </w:pPr>
            <w:r>
              <w:rPr>
                <w:rFonts w:ascii="Arial" w:cs="Arial" w:eastAsia="Arial" w:hAnsi="Arial"/>
                <w:sz w:val="18"/>
                <w:szCs w:val="18"/>
                <w:color w:val="auto"/>
                <w:w w:val="88"/>
              </w:rPr>
              <w:t>96,552,615</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1" w:lineRule="exact"/>
              <w:rPr>
                <w:sz w:val="20"/>
                <w:szCs w:val="20"/>
                <w:color w:val="auto"/>
              </w:rPr>
            </w:pPr>
            <w:r>
              <w:rPr>
                <w:rFonts w:ascii="Arial" w:cs="Arial" w:eastAsia="Arial" w:hAnsi="Arial"/>
                <w:sz w:val="18"/>
                <w:szCs w:val="18"/>
                <w:color w:val="auto"/>
                <w:w w:val="88"/>
              </w:rPr>
              <w:t>65,512,219</w:t>
            </w:r>
          </w:p>
        </w:tc>
      </w:tr>
      <w:tr>
        <w:trPr>
          <w:trHeight w:val="216"/>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Subordinated Securities,</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Preferred Shares and Income</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-565150</wp:posOffset>
            </wp:positionV>
            <wp:extent cx="5213985" cy="5657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213985" cy="565785"/>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13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CLO Rated-Note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-52070</wp:posOffset>
            </wp:positionV>
            <wp:extent cx="16122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100965</wp:posOffset>
            </wp:positionV>
            <wp:extent cx="16122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Katonah 2007-I CLO Ltd.</w:t>
      </w:r>
      <w:r>
        <w:rPr>
          <w:rFonts w:ascii="Arial" w:cs="Arial" w:eastAsia="Arial" w:hAnsi="Arial"/>
          <w:sz w:val="28"/>
          <w:szCs w:val="28"/>
          <w:color w:val="auto"/>
          <w:vertAlign w:val="superscript"/>
        </w:rPr>
        <w:t>(3), (6)</w:t>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Catamaran CLO 2012-1 Ltd.</w:t>
      </w:r>
      <w:r>
        <w:rPr>
          <w:rFonts w:ascii="Arial" w:cs="Arial" w:eastAsia="Arial" w:hAnsi="Arial"/>
          <w:sz w:val="24"/>
          <w:szCs w:val="24"/>
          <w:color w:val="auto"/>
          <w:vertAlign w:val="superscript"/>
        </w:rPr>
        <w:t>(3), (6)</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2480" w:type="dxa"/>
            <w:vAlign w:val="bottom"/>
          </w:tcPr>
          <w:p>
            <w:pPr>
              <w:ind w:left="900"/>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r>
      <w:tr>
        <w:trPr>
          <w:trHeight w:val="171"/>
        </w:trPr>
        <w:tc>
          <w:tcPr>
            <w:tcW w:w="2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36"/>
        </w:trPr>
        <w:tc>
          <w:tcPr>
            <w:tcW w:w="2480" w:type="dxa"/>
            <w:vAlign w:val="bottom"/>
          </w:tcPr>
          <w:p>
            <w:pPr>
              <w:ind w:left="80"/>
              <w:spacing w:after="0"/>
              <w:rPr>
                <w:sz w:val="20"/>
                <w:szCs w:val="20"/>
                <w:color w:val="auto"/>
              </w:rPr>
            </w:pPr>
            <w:r>
              <w:rPr>
                <w:rFonts w:ascii="Arial" w:cs="Arial" w:eastAsia="Arial" w:hAnsi="Arial"/>
                <w:sz w:val="18"/>
                <w:szCs w:val="18"/>
                <w:color w:val="auto"/>
              </w:rPr>
              <w:t>Floating – 04/2022 – B2L –</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1,300,937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$ 9,740,000</w:t>
            </w: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48602NAA8 Par Value of</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$10,500,000</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480" w:type="dxa"/>
            <w:vAlign w:val="bottom"/>
          </w:tcPr>
          <w:p>
            <w:pPr>
              <w:ind w:left="80"/>
              <w:spacing w:after="0"/>
              <w:rPr>
                <w:sz w:val="20"/>
                <w:szCs w:val="20"/>
                <w:color w:val="auto"/>
              </w:rPr>
            </w:pPr>
            <w:r>
              <w:rPr>
                <w:rFonts w:ascii="Arial" w:cs="Arial" w:eastAsia="Arial" w:hAnsi="Arial"/>
                <w:sz w:val="18"/>
                <w:szCs w:val="18"/>
                <w:color w:val="auto"/>
              </w:rPr>
              <w:t>100.0%, Due 4/22</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2480" w:type="dxa"/>
            <w:vAlign w:val="bottom"/>
          </w:tcPr>
          <w:p>
            <w:pPr>
              <w:ind w:left="80"/>
              <w:spacing w:after="0"/>
              <w:rPr>
                <w:sz w:val="20"/>
                <w:szCs w:val="20"/>
                <w:color w:val="auto"/>
              </w:rPr>
            </w:pPr>
            <w:r>
              <w:rPr>
                <w:rFonts w:ascii="Arial" w:cs="Arial" w:eastAsia="Arial" w:hAnsi="Arial"/>
                <w:sz w:val="18"/>
                <w:szCs w:val="18"/>
                <w:color w:val="auto"/>
              </w:rPr>
              <w:t>Float – 12/2023 – F –</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42.9%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3,843,398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4,200,001</w:t>
            </w: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14889CAE0 Par Value of</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480" w:type="dxa"/>
            <w:vAlign w:val="bottom"/>
          </w:tcPr>
          <w:p>
            <w:pPr>
              <w:ind w:left="80"/>
              <w:spacing w:after="0"/>
              <w:rPr>
                <w:sz w:val="20"/>
                <w:szCs w:val="20"/>
                <w:color w:val="auto"/>
              </w:rPr>
            </w:pPr>
            <w:r>
              <w:rPr>
                <w:rFonts w:ascii="Arial" w:cs="Arial" w:eastAsia="Arial" w:hAnsi="Arial"/>
                <w:sz w:val="18"/>
                <w:szCs w:val="18"/>
                <w:color w:val="auto"/>
                <w:w w:val="99"/>
              </w:rPr>
              <w:t>$4,500,000 42.9%, Due 12/23</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-1011555</wp:posOffset>
            </wp:positionV>
            <wp:extent cx="5213985" cy="5746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3985" cy="5746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-1311275</wp:posOffset>
            </wp:positionV>
            <wp:extent cx="35502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20" w:space="100"/>
            <w:col w:w="747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760" w:type="dxa"/>
            <w:vAlign w:val="bottom"/>
            <w:shd w:val="clear" w:color="auto" w:fill="CCFFCC"/>
          </w:tcPr>
          <w:p>
            <w:pPr>
              <w:ind w:left="20"/>
              <w:spacing w:after="0" w:line="171" w:lineRule="exact"/>
              <w:rPr>
                <w:sz w:val="20"/>
                <w:szCs w:val="20"/>
                <w:color w:val="auto"/>
              </w:rPr>
            </w:pPr>
            <w:r>
              <w:rPr>
                <w:rFonts w:ascii="Arial" w:cs="Arial" w:eastAsia="Arial" w:hAnsi="Arial"/>
                <w:sz w:val="18"/>
                <w:szCs w:val="18"/>
                <w:b w:val="1"/>
                <w:bCs w:val="1"/>
                <w:color w:val="auto"/>
              </w:rPr>
              <w:t>Total Investment in CLO Rated-</w:t>
            </w:r>
          </w:p>
        </w:tc>
        <w:tc>
          <w:tcPr>
            <w:tcW w:w="10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spacing w:after="0" w:line="171" w:lineRule="exact"/>
              <w:rPr>
                <w:sz w:val="20"/>
                <w:szCs w:val="20"/>
                <w:color w:val="auto"/>
              </w:rPr>
            </w:pPr>
            <w:r>
              <w:rPr>
                <w:rFonts w:ascii="Arial" w:cs="Arial" w:eastAsia="Arial" w:hAnsi="Arial"/>
                <w:sz w:val="18"/>
                <w:szCs w:val="18"/>
                <w:color w:val="auto"/>
                <w:w w:val="99"/>
              </w:rPr>
              <w:t>$  5,144,335</w:t>
            </w:r>
          </w:p>
        </w:tc>
        <w:tc>
          <w:tcPr>
            <w:tcW w:w="140" w:type="dxa"/>
            <w:vAlign w:val="bottom"/>
            <w:tcBorders>
              <w:left w:val="single" w:sz="8" w:color="CCFFCC"/>
            </w:tcBorders>
            <w:shd w:val="clear" w:color="auto" w:fill="CCFFCC"/>
          </w:tcPr>
          <w:p>
            <w:pPr>
              <w:spacing w:after="0"/>
              <w:rPr>
                <w:sz w:val="14"/>
                <w:szCs w:val="14"/>
                <w:color w:val="auto"/>
              </w:rPr>
            </w:pPr>
          </w:p>
        </w:tc>
        <w:tc>
          <w:tcPr>
            <w:tcW w:w="960" w:type="dxa"/>
            <w:vAlign w:val="bottom"/>
            <w:gridSpan w:val="2"/>
            <w:shd w:val="clear" w:color="auto" w:fill="CCFFCC"/>
          </w:tcPr>
          <w:p>
            <w:pPr>
              <w:jc w:val="right"/>
              <w:ind w:right="40"/>
              <w:spacing w:after="0" w:line="171" w:lineRule="exact"/>
              <w:rPr>
                <w:sz w:val="20"/>
                <w:szCs w:val="20"/>
                <w:color w:val="auto"/>
              </w:rPr>
            </w:pPr>
            <w:r>
              <w:rPr>
                <w:rFonts w:ascii="Arial" w:cs="Arial" w:eastAsia="Arial" w:hAnsi="Arial"/>
                <w:sz w:val="18"/>
                <w:szCs w:val="18"/>
                <w:color w:val="auto"/>
                <w:w w:val="89"/>
              </w:rPr>
              <w:t>$13,940,001</w:t>
            </w:r>
          </w:p>
        </w:tc>
        <w:tc>
          <w:tcPr>
            <w:tcW w:w="0" w:type="dxa"/>
            <w:vAlign w:val="bottom"/>
          </w:tcPr>
          <w:p>
            <w:pPr>
              <w:spacing w:after="0"/>
              <w:rPr>
                <w:sz w:val="1"/>
                <w:szCs w:val="1"/>
                <w:color w:val="auto"/>
              </w:rPr>
            </w:pPr>
          </w:p>
        </w:tc>
      </w:tr>
      <w:tr>
        <w:trPr>
          <w:trHeight w:val="234"/>
        </w:trPr>
        <w:tc>
          <w:tcPr>
            <w:tcW w:w="27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b w:val="1"/>
                <w:bCs w:val="1"/>
                <w:color w:val="auto"/>
              </w:rPr>
              <w:t>Note</w:t>
            </w:r>
          </w:p>
        </w:tc>
        <w:tc>
          <w:tcPr>
            <w:tcW w:w="100" w:type="dxa"/>
            <w:vAlign w:val="bottom"/>
            <w:tcBorders>
              <w:bottom w:val="single" w:sz="8" w:color="CCFFCC"/>
            </w:tcBorders>
            <w:shd w:val="clear" w:color="auto" w:fill="CCFFCC"/>
          </w:tcPr>
          <w:p>
            <w:pPr>
              <w:spacing w:after="0"/>
              <w:rPr>
                <w:sz w:val="20"/>
                <w:szCs w:val="20"/>
                <w:color w:val="auto"/>
              </w:rPr>
            </w:pPr>
          </w:p>
        </w:tc>
        <w:tc>
          <w:tcPr>
            <w:tcW w:w="22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left w:val="single" w:sz="8" w:color="CCFFCC"/>
              <w:bottom w:val="single" w:sz="8" w:color="CCFFCC"/>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Total Investment in CLO Fund</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gridSpan w:val="2"/>
          </w:tcPr>
          <w:p>
            <w:pPr>
              <w:jc w:val="right"/>
              <w:spacing w:after="0" w:line="191" w:lineRule="exact"/>
              <w:rPr>
                <w:sz w:val="20"/>
                <w:szCs w:val="20"/>
                <w:color w:val="auto"/>
              </w:rPr>
            </w:pPr>
            <w:r>
              <w:rPr>
                <w:rFonts w:ascii="Arial" w:cs="Arial" w:eastAsia="Arial" w:hAnsi="Arial"/>
                <w:sz w:val="18"/>
                <w:szCs w:val="18"/>
                <w:color w:val="auto"/>
                <w:w w:val="90"/>
              </w:rPr>
              <w:t>$101,696,950</w:t>
            </w:r>
          </w:p>
        </w:tc>
        <w:tc>
          <w:tcPr>
            <w:tcW w:w="140" w:type="dxa"/>
            <w:vAlign w:val="bottom"/>
          </w:tcPr>
          <w:p>
            <w:pPr>
              <w:spacing w:after="0"/>
              <w:rPr>
                <w:sz w:val="16"/>
                <w:szCs w:val="16"/>
                <w:color w:val="auto"/>
              </w:rPr>
            </w:pPr>
          </w:p>
        </w:tc>
        <w:tc>
          <w:tcPr>
            <w:tcW w:w="960" w:type="dxa"/>
            <w:vAlign w:val="bottom"/>
            <w:gridSpan w:val="2"/>
          </w:tcPr>
          <w:p>
            <w:pPr>
              <w:jc w:val="right"/>
              <w:ind w:right="40"/>
              <w:spacing w:after="0" w:line="191" w:lineRule="exact"/>
              <w:rPr>
                <w:sz w:val="20"/>
                <w:szCs w:val="20"/>
                <w:color w:val="auto"/>
              </w:rPr>
            </w:pPr>
            <w:r>
              <w:rPr>
                <w:rFonts w:ascii="Arial" w:cs="Arial" w:eastAsia="Arial" w:hAnsi="Arial"/>
                <w:sz w:val="18"/>
                <w:szCs w:val="18"/>
                <w:color w:val="auto"/>
                <w:w w:val="89"/>
              </w:rPr>
              <w:t>$79,452,220</w:t>
            </w:r>
          </w:p>
        </w:tc>
        <w:tc>
          <w:tcPr>
            <w:tcW w:w="0" w:type="dxa"/>
            <w:vAlign w:val="bottom"/>
          </w:tcPr>
          <w:p>
            <w:pPr>
              <w:spacing w:after="0"/>
              <w:rPr>
                <w:sz w:val="1"/>
                <w:szCs w:val="1"/>
                <w:color w:val="auto"/>
              </w:rPr>
            </w:pPr>
          </w:p>
        </w:tc>
      </w:tr>
      <w:tr>
        <w:trPr>
          <w:trHeight w:val="216"/>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Securities(32% of net asset</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value at fair value)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2760" w:type="dxa"/>
            <w:vAlign w:val="bottom"/>
          </w:tcPr>
          <w:p>
            <w:pPr>
              <w:ind w:left="60"/>
              <w:spacing w:after="0"/>
              <w:rPr>
                <w:sz w:val="20"/>
                <w:szCs w:val="20"/>
                <w:color w:val="auto"/>
              </w:rPr>
            </w:pPr>
            <w:r>
              <w:rPr>
                <w:rFonts w:ascii="Arial" w:cs="Arial" w:eastAsia="Arial" w:hAnsi="Arial"/>
                <w:sz w:val="18"/>
                <w:szCs w:val="18"/>
                <w:b w:val="1"/>
                <w:bCs w:val="1"/>
                <w:color w:val="auto"/>
              </w:rPr>
              <w:t>Asset Manager Affiliates</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66"/>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Portfolio Company/Principal Business</w:t>
            </w:r>
          </w:p>
        </w:tc>
        <w:tc>
          <w:tcPr>
            <w:tcW w:w="10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c>
          <w:tcPr>
            <w:tcW w:w="1060" w:type="dxa"/>
            <w:vAlign w:val="bottom"/>
            <w:gridSpan w:val="2"/>
          </w:tcPr>
          <w:p>
            <w:pPr>
              <w:ind w:left="36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760" w:type="dxa"/>
            <w:vAlign w:val="bottom"/>
            <w:shd w:val="clear" w:color="auto" w:fill="CCFFCC"/>
          </w:tcPr>
          <w:p>
            <w:pPr>
              <w:ind w:left="20"/>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(9)</w:t>
            </w:r>
          </w:p>
        </w:tc>
        <w:tc>
          <w:tcPr>
            <w:tcW w:w="100" w:type="dxa"/>
            <w:vAlign w:val="bottom"/>
            <w:shd w:val="clear" w:color="auto" w:fill="CCFFCC"/>
          </w:tcPr>
          <w:p>
            <w:pPr>
              <w:spacing w:after="0"/>
              <w:rPr>
                <w:sz w:val="21"/>
                <w:szCs w:val="21"/>
                <w:color w:val="auto"/>
              </w:rPr>
            </w:pPr>
          </w:p>
        </w:tc>
        <w:tc>
          <w:tcPr>
            <w:tcW w:w="2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Asset Management Company</w:t>
            </w:r>
          </w:p>
        </w:tc>
        <w:tc>
          <w:tcPr>
            <w:tcW w:w="100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83,378,741</w:t>
            </w:r>
          </w:p>
        </w:tc>
        <w:tc>
          <w:tcPr>
            <w:tcW w:w="140" w:type="dxa"/>
            <w:vAlign w:val="bottom"/>
            <w:tcBorders>
              <w:left w:val="single" w:sz="8" w:color="CCFFCC"/>
            </w:tcBorders>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76,148,000</w:t>
            </w:r>
          </w:p>
        </w:tc>
        <w:tc>
          <w:tcPr>
            <w:tcW w:w="0" w:type="dxa"/>
            <w:vAlign w:val="bottom"/>
          </w:tcPr>
          <w:p>
            <w:pPr>
              <w:spacing w:after="0"/>
              <w:rPr>
                <w:sz w:val="1"/>
                <w:szCs w:val="1"/>
                <w:color w:val="auto"/>
              </w:rPr>
            </w:pPr>
          </w:p>
        </w:tc>
      </w:tr>
      <w:tr>
        <w:trPr>
          <w:trHeight w:val="20"/>
        </w:trPr>
        <w:tc>
          <w:tcPr>
            <w:tcW w:w="27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760" w:type="dxa"/>
            <w:vAlign w:val="bottom"/>
          </w:tcPr>
          <w:p>
            <w:pPr>
              <w:ind w:left="20"/>
              <w:spacing w:after="0" w:line="191" w:lineRule="exact"/>
              <w:rPr>
                <w:sz w:val="20"/>
                <w:szCs w:val="20"/>
                <w:color w:val="auto"/>
              </w:rPr>
            </w:pPr>
            <w:r>
              <w:rPr>
                <w:rFonts w:ascii="Arial" w:cs="Arial" w:eastAsia="Arial" w:hAnsi="Arial"/>
                <w:sz w:val="18"/>
                <w:szCs w:val="18"/>
                <w:b w:val="1"/>
                <w:bCs w:val="1"/>
                <w:color w:val="auto"/>
                <w:w w:val="91"/>
              </w:rPr>
              <w:t>Total Investment in Asset Manager</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8"/>
                <w:szCs w:val="18"/>
                <w:color w:val="auto"/>
                <w:w w:val="89"/>
              </w:rPr>
              <w:t>$83,378,741</w:t>
            </w:r>
          </w:p>
        </w:tc>
        <w:tc>
          <w:tcPr>
            <w:tcW w:w="140" w:type="dxa"/>
            <w:vAlign w:val="bottom"/>
          </w:tcPr>
          <w:p>
            <w:pPr>
              <w:spacing w:after="0"/>
              <w:rPr>
                <w:sz w:val="16"/>
                <w:szCs w:val="16"/>
                <w:color w:val="auto"/>
              </w:rPr>
            </w:pPr>
          </w:p>
        </w:tc>
        <w:tc>
          <w:tcPr>
            <w:tcW w:w="960" w:type="dxa"/>
            <w:vAlign w:val="bottom"/>
            <w:gridSpan w:val="2"/>
          </w:tcPr>
          <w:p>
            <w:pPr>
              <w:jc w:val="right"/>
              <w:ind w:right="40"/>
              <w:spacing w:after="0" w:line="191" w:lineRule="exact"/>
              <w:rPr>
                <w:sz w:val="20"/>
                <w:szCs w:val="20"/>
                <w:color w:val="auto"/>
              </w:rPr>
            </w:pPr>
            <w:r>
              <w:rPr>
                <w:rFonts w:ascii="Arial" w:cs="Arial" w:eastAsia="Arial" w:hAnsi="Arial"/>
                <w:sz w:val="18"/>
                <w:szCs w:val="18"/>
                <w:color w:val="auto"/>
                <w:w w:val="89"/>
              </w:rPr>
              <w:t>$76,148,000</w:t>
            </w:r>
          </w:p>
        </w:tc>
        <w:tc>
          <w:tcPr>
            <w:tcW w:w="0" w:type="dxa"/>
            <w:vAlign w:val="bottom"/>
          </w:tcPr>
          <w:p>
            <w:pPr>
              <w:spacing w:after="0"/>
              <w:rPr>
                <w:sz w:val="1"/>
                <w:szCs w:val="1"/>
                <w:color w:val="auto"/>
              </w:rPr>
            </w:pPr>
          </w:p>
        </w:tc>
      </w:tr>
      <w:tr>
        <w:trPr>
          <w:trHeight w:val="216"/>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w w:val="90"/>
              </w:rPr>
              <w:t>Affiliates (30% of net asset value</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at fair value)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-1465580</wp:posOffset>
            </wp:positionV>
            <wp:extent cx="5213985" cy="4286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-427990</wp:posOffset>
            </wp:positionV>
            <wp:extent cx="5213985" cy="4286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-891540</wp:posOffset>
            </wp:positionV>
            <wp:extent cx="520573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85" w:name="page86"/>
    <w:bookmarkEnd w:id="8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Time Deposits and Money Market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968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8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Time Deposit and Money Market Accounts</w:t>
            </w:r>
          </w:p>
        </w:tc>
        <w:tc>
          <w:tcPr>
            <w:tcW w:w="80" w:type="dxa"/>
            <w:vAlign w:val="bottom"/>
          </w:tcPr>
          <w:p>
            <w:pPr>
              <w:spacing w:after="0"/>
              <w:rPr>
                <w:sz w:val="20"/>
                <w:szCs w:val="20"/>
                <w:color w:val="auto"/>
              </w:rPr>
            </w:pPr>
          </w:p>
        </w:tc>
        <w:tc>
          <w:tcPr>
            <w:tcW w:w="22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20"/>
                <w:szCs w:val="20"/>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Yield</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Par/Cost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20"/>
              <w:spacing w:after="0" w:line="230" w:lineRule="exact"/>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b w:val="1"/>
                <w:bCs w:val="1"/>
                <w:color w:val="auto"/>
                <w:w w:val="95"/>
                <w:vertAlign w:val="superscript"/>
              </w:rPr>
              <w:t>(2)</w:t>
            </w:r>
          </w:p>
        </w:tc>
      </w:tr>
      <w:tr>
        <w:trPr>
          <w:trHeight w:val="199"/>
        </w:trPr>
        <w:tc>
          <w:tcPr>
            <w:tcW w:w="2840" w:type="dxa"/>
            <w:vAlign w:val="bottom"/>
            <w:gridSpan w:val="3"/>
            <w:shd w:val="clear" w:color="auto" w:fill="CCFFCC"/>
          </w:tcPr>
          <w:p>
            <w:pPr>
              <w:ind w:left="20"/>
              <w:spacing w:after="0" w:line="199" w:lineRule="exact"/>
              <w:rPr>
                <w:sz w:val="20"/>
                <w:szCs w:val="20"/>
                <w:color w:val="auto"/>
              </w:rPr>
            </w:pPr>
            <w:r>
              <w:rPr>
                <w:rFonts w:ascii="Arial" w:cs="Arial" w:eastAsia="Arial" w:hAnsi="Arial"/>
                <w:sz w:val="18"/>
                <w:szCs w:val="18"/>
                <w:color w:val="auto"/>
                <w:w w:val="98"/>
              </w:rPr>
              <w:t>JP Morgan Business Money Market</w:t>
            </w:r>
          </w:p>
        </w:tc>
        <w:tc>
          <w:tcPr>
            <w:tcW w:w="80" w:type="dxa"/>
            <w:vAlign w:val="bottom"/>
            <w:shd w:val="clear" w:color="auto" w:fill="CCFFCC"/>
          </w:tcPr>
          <w:p>
            <w:pPr>
              <w:spacing w:after="0"/>
              <w:rPr>
                <w:sz w:val="17"/>
                <w:szCs w:val="17"/>
                <w:color w:val="auto"/>
              </w:rPr>
            </w:pPr>
          </w:p>
        </w:tc>
        <w:tc>
          <w:tcPr>
            <w:tcW w:w="2260" w:type="dxa"/>
            <w:vAlign w:val="bottom"/>
            <w:shd w:val="clear" w:color="auto" w:fill="CCFFCC"/>
          </w:tcPr>
          <w:p>
            <w:pPr>
              <w:ind w:left="80"/>
              <w:spacing w:after="0" w:line="199" w:lineRule="exact"/>
              <w:rPr>
                <w:sz w:val="20"/>
                <w:szCs w:val="20"/>
                <w:color w:val="auto"/>
              </w:rPr>
            </w:pPr>
            <w:r>
              <w:rPr>
                <w:rFonts w:ascii="Arial" w:cs="Arial" w:eastAsia="Arial" w:hAnsi="Arial"/>
                <w:sz w:val="18"/>
                <w:szCs w:val="18"/>
                <w:color w:val="auto"/>
              </w:rPr>
              <w:t>Money Market Account</w:t>
            </w:r>
          </w:p>
        </w:tc>
        <w:tc>
          <w:tcPr>
            <w:tcW w:w="940" w:type="dxa"/>
            <w:vAlign w:val="bottom"/>
            <w:gridSpan w:val="4"/>
            <w:shd w:val="clear" w:color="auto" w:fill="CCFFCC"/>
          </w:tcPr>
          <w:p>
            <w:pPr>
              <w:jc w:val="right"/>
              <w:spacing w:after="0" w:line="199" w:lineRule="exact"/>
              <w:rPr>
                <w:sz w:val="20"/>
                <w:szCs w:val="20"/>
                <w:color w:val="auto"/>
              </w:rPr>
            </w:pPr>
            <w:r>
              <w:rPr>
                <w:rFonts w:ascii="Arial" w:cs="Arial" w:eastAsia="Arial" w:hAnsi="Arial"/>
                <w:sz w:val="18"/>
                <w:szCs w:val="18"/>
                <w:color w:val="auto"/>
              </w:rPr>
              <w:t>0.15%  $</w:t>
            </w:r>
          </w:p>
        </w:tc>
        <w:tc>
          <w:tcPr>
            <w:tcW w:w="960" w:type="dxa"/>
            <w:vAlign w:val="bottom"/>
            <w:gridSpan w:val="2"/>
            <w:shd w:val="clear" w:color="auto" w:fill="CCFFCC"/>
          </w:tcPr>
          <w:p>
            <w:pPr>
              <w:jc w:val="right"/>
              <w:ind w:right="60"/>
              <w:spacing w:after="0" w:line="199" w:lineRule="exact"/>
              <w:rPr>
                <w:sz w:val="20"/>
                <w:szCs w:val="20"/>
                <w:color w:val="auto"/>
              </w:rPr>
            </w:pPr>
            <w:r>
              <w:rPr>
                <w:rFonts w:ascii="Arial" w:cs="Arial" w:eastAsia="Arial" w:hAnsi="Arial"/>
                <w:sz w:val="18"/>
                <w:szCs w:val="18"/>
                <w:color w:val="auto"/>
              </w:rPr>
              <w:t>237,088</w:t>
            </w:r>
          </w:p>
        </w:tc>
        <w:tc>
          <w:tcPr>
            <w:tcW w:w="180" w:type="dxa"/>
            <w:vAlign w:val="bottom"/>
            <w:gridSpan w:val="2"/>
            <w:shd w:val="clear" w:color="auto" w:fill="CCFFCC"/>
          </w:tcPr>
          <w:p>
            <w:pPr>
              <w:jc w:val="right"/>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line="199" w:lineRule="exact"/>
              <w:rPr>
                <w:sz w:val="20"/>
                <w:szCs w:val="20"/>
                <w:color w:val="auto"/>
              </w:rPr>
            </w:pPr>
            <w:r>
              <w:rPr>
                <w:rFonts w:ascii="Arial" w:cs="Arial" w:eastAsia="Arial" w:hAnsi="Arial"/>
                <w:sz w:val="18"/>
                <w:szCs w:val="18"/>
                <w:color w:val="auto"/>
              </w:rPr>
              <w:t>237,088</w:t>
            </w:r>
          </w:p>
        </w:tc>
      </w:tr>
      <w:tr>
        <w:trPr>
          <w:trHeight w:val="267"/>
        </w:trPr>
        <w:tc>
          <w:tcPr>
            <w:tcW w:w="20" w:type="dxa"/>
            <w:vAlign w:val="bottom"/>
            <w:shd w:val="clear" w:color="auto" w:fill="CCFFCC"/>
          </w:tcPr>
          <w:p>
            <w:pPr>
              <w:spacing w:after="0"/>
              <w:rPr>
                <w:sz w:val="23"/>
                <w:szCs w:val="23"/>
                <w:color w:val="auto"/>
              </w:rPr>
            </w:pPr>
          </w:p>
        </w:tc>
        <w:tc>
          <w:tcPr>
            <w:tcW w:w="2820" w:type="dxa"/>
            <w:vAlign w:val="bottom"/>
            <w:gridSpan w:val="2"/>
            <w:shd w:val="clear" w:color="auto" w:fill="CCFFCC"/>
          </w:tcPr>
          <w:p>
            <w:pPr>
              <w:ind w:left="180"/>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(8), (9)</w:t>
            </w:r>
          </w:p>
        </w:tc>
        <w:tc>
          <w:tcPr>
            <w:tcW w:w="80" w:type="dxa"/>
            <w:vAlign w:val="bottom"/>
            <w:shd w:val="clear" w:color="auto" w:fill="CCFFCC"/>
          </w:tcPr>
          <w:p>
            <w:pPr>
              <w:spacing w:after="0"/>
              <w:rPr>
                <w:sz w:val="23"/>
                <w:szCs w:val="23"/>
                <w:color w:val="auto"/>
              </w:rPr>
            </w:pPr>
          </w:p>
        </w:tc>
        <w:tc>
          <w:tcPr>
            <w:tcW w:w="226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6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r>
      <w:tr>
        <w:trPr>
          <w:trHeight w:val="257"/>
        </w:trPr>
        <w:tc>
          <w:tcPr>
            <w:tcW w:w="2840" w:type="dxa"/>
            <w:vAlign w:val="bottom"/>
            <w:gridSpan w:val="3"/>
          </w:tcPr>
          <w:p>
            <w:pPr>
              <w:ind w:left="20"/>
              <w:spacing w:after="0" w:line="256" w:lineRule="exact"/>
              <w:rPr>
                <w:sz w:val="20"/>
                <w:szCs w:val="20"/>
                <w:color w:val="auto"/>
              </w:rPr>
            </w:pPr>
            <w:r>
              <w:rPr>
                <w:rFonts w:ascii="Arial" w:cs="Arial" w:eastAsia="Arial" w:hAnsi="Arial"/>
                <w:sz w:val="18"/>
                <w:szCs w:val="18"/>
                <w:color w:val="auto"/>
                <w:w w:val="98"/>
              </w:rPr>
              <w:t>US Bank Money Market Account</w:t>
            </w:r>
            <w:r>
              <w:rPr>
                <w:rFonts w:ascii="Arial" w:cs="Arial" w:eastAsia="Arial" w:hAnsi="Arial"/>
                <w:sz w:val="29"/>
                <w:szCs w:val="29"/>
                <w:color w:val="auto"/>
                <w:w w:val="98"/>
                <w:vertAlign w:val="superscript"/>
              </w:rPr>
              <w:t>(9)</w:t>
            </w:r>
          </w:p>
        </w:tc>
        <w:tc>
          <w:tcPr>
            <w:tcW w:w="8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Money Market Account</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6,875,861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6,875,861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1"/>
        </w:trPr>
        <w:tc>
          <w:tcPr>
            <w:tcW w:w="2840" w:type="dxa"/>
            <w:vAlign w:val="bottom"/>
            <w:gridSpan w:val="3"/>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w w:val="99"/>
              </w:rPr>
              <w:t>Total Investment in Time Deposit</w:t>
            </w:r>
          </w:p>
        </w:tc>
        <w:tc>
          <w:tcPr>
            <w:tcW w:w="80" w:type="dxa"/>
            <w:vAlign w:val="bottom"/>
            <w:shd w:val="clear" w:color="auto" w:fill="CCFFCC"/>
          </w:tcPr>
          <w:p>
            <w:pPr>
              <w:spacing w:after="0"/>
              <w:rPr>
                <w:sz w:val="16"/>
                <w:szCs w:val="16"/>
                <w:color w:val="auto"/>
              </w:rPr>
            </w:pPr>
          </w:p>
        </w:tc>
        <w:tc>
          <w:tcPr>
            <w:tcW w:w="2260" w:type="dxa"/>
            <w:vAlign w:val="bottom"/>
            <w:shd w:val="clear" w:color="auto" w:fill="CCFFCC"/>
          </w:tcPr>
          <w:p>
            <w:pPr>
              <w:spacing w:after="0"/>
              <w:rPr>
                <w:sz w:val="16"/>
                <w:szCs w:val="16"/>
                <w:color w:val="auto"/>
              </w:rPr>
            </w:pPr>
          </w:p>
        </w:tc>
        <w:tc>
          <w:tcPr>
            <w:tcW w:w="840" w:type="dxa"/>
            <w:vAlign w:val="bottom"/>
            <w:gridSpan w:val="3"/>
            <w:shd w:val="clear" w:color="auto" w:fill="CCFFCC"/>
          </w:tcPr>
          <w:p>
            <w:pPr>
              <w:spacing w:after="0"/>
              <w:rPr>
                <w:sz w:val="16"/>
                <w:szCs w:val="16"/>
                <w:color w:val="auto"/>
              </w:rPr>
            </w:pPr>
          </w:p>
        </w:tc>
        <w:tc>
          <w:tcPr>
            <w:tcW w:w="100" w:type="dxa"/>
            <w:vAlign w:val="bottom"/>
            <w:shd w:val="clear" w:color="auto" w:fill="CCFFCC"/>
          </w:tcPr>
          <w:p>
            <w:pPr>
              <w:jc w:val="right"/>
              <w:spacing w:after="0" w:line="191"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rPr>
              <w:t>7,112,949</w:t>
            </w:r>
          </w:p>
        </w:tc>
        <w:tc>
          <w:tcPr>
            <w:tcW w:w="180" w:type="dxa"/>
            <w:vAlign w:val="bottom"/>
            <w:gridSpan w:val="2"/>
            <w:shd w:val="clear" w:color="auto" w:fill="CCFFCC"/>
          </w:tcPr>
          <w:p>
            <w:pPr>
              <w:jc w:val="right"/>
              <w:spacing w:after="0" w:line="19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rPr>
              <w:t>7,112,949</w:t>
            </w:r>
          </w:p>
        </w:tc>
      </w:tr>
      <w:tr>
        <w:trPr>
          <w:trHeight w:val="216"/>
        </w:trPr>
        <w:tc>
          <w:tcPr>
            <w:tcW w:w="20" w:type="dxa"/>
            <w:vAlign w:val="bottom"/>
            <w:shd w:val="clear" w:color="auto" w:fill="CCFFCC"/>
          </w:tcPr>
          <w:p>
            <w:pPr>
              <w:spacing w:after="0"/>
              <w:rPr>
                <w:sz w:val="18"/>
                <w:szCs w:val="18"/>
                <w:color w:val="auto"/>
              </w:rPr>
            </w:pPr>
          </w:p>
        </w:tc>
        <w:tc>
          <w:tcPr>
            <w:tcW w:w="282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w w:val="93"/>
              </w:rPr>
              <w:t>and Money Market Accounts (3%</w:t>
            </w:r>
          </w:p>
        </w:tc>
        <w:tc>
          <w:tcPr>
            <w:tcW w:w="80" w:type="dxa"/>
            <w:vAlign w:val="bottom"/>
            <w:shd w:val="clear" w:color="auto" w:fill="CCFFCC"/>
          </w:tcPr>
          <w:p>
            <w:pPr>
              <w:spacing w:after="0"/>
              <w:rPr>
                <w:sz w:val="18"/>
                <w:szCs w:val="18"/>
                <w:color w:val="auto"/>
              </w:rPr>
            </w:pPr>
          </w:p>
        </w:tc>
        <w:tc>
          <w:tcPr>
            <w:tcW w:w="2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4"/>
        </w:trPr>
        <w:tc>
          <w:tcPr>
            <w:tcW w:w="20" w:type="dxa"/>
            <w:vAlign w:val="bottom"/>
            <w:tcBorders>
              <w:bottom w:val="single" w:sz="8" w:color="CCFFCC"/>
            </w:tcBorders>
            <w:shd w:val="clear" w:color="auto" w:fill="CCFFCC"/>
          </w:tcPr>
          <w:p>
            <w:pPr>
              <w:spacing w:after="0"/>
              <w:rPr>
                <w:sz w:val="20"/>
                <w:szCs w:val="20"/>
                <w:color w:val="auto"/>
              </w:rPr>
            </w:pPr>
          </w:p>
        </w:tc>
        <w:tc>
          <w:tcPr>
            <w:tcW w:w="28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w w:val="99"/>
              </w:rPr>
              <w:t>of net asset value at fair value)</w:t>
            </w:r>
          </w:p>
        </w:tc>
        <w:tc>
          <w:tcPr>
            <w:tcW w:w="80" w:type="dxa"/>
            <w:vAlign w:val="bottom"/>
            <w:tcBorders>
              <w:bottom w:val="single" w:sz="8" w:color="CCFFCC"/>
            </w:tcBorders>
            <w:shd w:val="clear" w:color="auto" w:fill="CCFFCC"/>
          </w:tcPr>
          <w:p>
            <w:pPr>
              <w:spacing w:after="0"/>
              <w:rPr>
                <w:sz w:val="20"/>
                <w:szCs w:val="20"/>
                <w:color w:val="auto"/>
              </w:rPr>
            </w:pPr>
          </w:p>
        </w:tc>
        <w:tc>
          <w:tcPr>
            <w:tcW w:w="226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r>
      <w:tr>
        <w:trPr>
          <w:trHeight w:val="232"/>
        </w:trPr>
        <w:tc>
          <w:tcPr>
            <w:tcW w:w="2840" w:type="dxa"/>
            <w:vAlign w:val="bottom"/>
            <w:gridSpan w:val="3"/>
          </w:tcPr>
          <w:p>
            <w:pPr>
              <w:ind w:left="20"/>
              <w:spacing w:after="0" w:line="232" w:lineRule="exact"/>
              <w:rPr>
                <w:sz w:val="20"/>
                <w:szCs w:val="20"/>
                <w:color w:val="auto"/>
              </w:rPr>
            </w:pPr>
            <w:r>
              <w:rPr>
                <w:rFonts w:ascii="Arial" w:cs="Arial" w:eastAsia="Arial" w:hAnsi="Arial"/>
                <w:sz w:val="16"/>
                <w:szCs w:val="16"/>
                <w:b w:val="1"/>
                <w:bCs w:val="1"/>
                <w:color w:val="auto"/>
              </w:rPr>
              <w:t>Total Investments</w:t>
            </w:r>
            <w:r>
              <w:rPr>
                <w:rFonts w:ascii="Arial" w:cs="Arial" w:eastAsia="Arial" w:hAnsi="Arial"/>
                <w:sz w:val="26"/>
                <w:szCs w:val="26"/>
                <w:b w:val="1"/>
                <w:bCs w:val="1"/>
                <w:color w:val="auto"/>
                <w:vertAlign w:val="superscript"/>
              </w:rPr>
              <w:t>(4)</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486,157,918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440,549,994</w:t>
            </w:r>
          </w:p>
        </w:tc>
      </w:tr>
      <w:tr>
        <w:trPr>
          <w:trHeight w:val="216"/>
        </w:trPr>
        <w:tc>
          <w:tcPr>
            <w:tcW w:w="20" w:type="dxa"/>
            <w:vAlign w:val="bottom"/>
          </w:tcPr>
          <w:p>
            <w:pPr>
              <w:spacing w:after="0"/>
              <w:rPr>
                <w:sz w:val="18"/>
                <w:szCs w:val="18"/>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(176% of net asset value at fair</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-668020</wp:posOffset>
            </wp:positionV>
            <wp:extent cx="5213985" cy="4800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3985" cy="480060"/>
                    </a:xfrm>
                    <a:prstGeom prst="rect">
                      <a:avLst/>
                    </a:prstGeom>
                    <a:noFill/>
                  </pic:spPr>
                </pic:pic>
              </a:graphicData>
            </a:graphic>
          </wp:anchor>
        </w:drawing>
      </w:r>
    </w:p>
    <w:p>
      <w:pPr>
        <w:spacing w:after="0" w:line="236" w:lineRule="exact"/>
        <w:rPr>
          <w:sz w:val="20"/>
          <w:szCs w:val="20"/>
          <w:color w:val="auto"/>
        </w:rPr>
      </w:pPr>
    </w:p>
    <w:p>
      <w:pPr>
        <w:ind w:left="300" w:right="879" w:hanging="272"/>
        <w:spacing w:after="0" w:line="259"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majority of the variable rate loans to the Company’s portfolio companies bear interest at a rate that may be determined by reference to either LIBOR or an alternate Base Rate (commonly based on the Federal Funds Rate or the Prime Rate), which typically resets semi-annually, quarterly, or monthly. For each such loan, the Company has provided the weighted average annual stated interest rate in effect at December 31, 2013.</w:t>
      </w:r>
    </w:p>
    <w:p>
      <w:pPr>
        <w:spacing w:after="0" w:line="78" w:lineRule="exact"/>
        <w:rPr>
          <w:rFonts w:ascii="Arial" w:cs="Arial" w:eastAsia="Arial" w:hAnsi="Arial"/>
          <w:sz w:val="18"/>
          <w:szCs w:val="18"/>
          <w:color w:val="auto"/>
        </w:rPr>
      </w:pPr>
    </w:p>
    <w:p>
      <w:pPr>
        <w:ind w:left="300" w:hanging="272"/>
        <w:spacing w:after="0"/>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Reflects the fair market value of all investments as of December 31, 2013, as determined by the Company’s Board of Directors.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599" w:hanging="272"/>
        <w:spacing w:after="0" w:line="264"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cost of investments for federal income tax purposes is approximately $486 million. The aggregate gross unrealized appreciation is approximately $15 million, the aggregate gross unrealized depreciation is approximately $61 million, and the net unrealized depreciation is approximately $46 million.</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 affiliate CLO Fund managed by an Asset Manager Affiliate (as such term is defined in the notes to the financial statements).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Loan or debt security is on non-accrual status and therefore is considered 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Money market account holding restricted cash and security deposits for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340" w:hanging="312"/>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As of December 31, 2013, this CLO Fund Security was not providing a dividend distribution.</w:t>
      </w:r>
    </w:p>
    <w:p>
      <w:pPr>
        <w:spacing w:after="0" w:line="129" w:lineRule="exact"/>
        <w:rPr>
          <w:sz w:val="20"/>
          <w:szCs w:val="20"/>
          <w:color w:val="auto"/>
        </w:rPr>
      </w:pPr>
    </w:p>
    <w:p>
      <w:pPr>
        <w:ind w:left="320" w:right="939" w:hanging="296"/>
        <w:spacing w:after="0" w:line="277" w:lineRule="auto"/>
        <w:rPr>
          <w:sz w:val="20"/>
          <w:szCs w:val="20"/>
          <w:color w:val="auto"/>
        </w:rPr>
      </w:pPr>
      <w:r>
        <w:rPr>
          <w:rFonts w:ascii="Arial" w:cs="Arial" w:eastAsia="Arial" w:hAnsi="Arial"/>
          <w:sz w:val="18"/>
          <w:szCs w:val="18"/>
          <w:color w:val="auto"/>
        </w:rPr>
        <w:t>(11)As of December 31, 2013, investment was owned by KCAP Senior Funding I, LLC and has been pledged to secure KCAP Senior Funding I, LLC’s obligation.</w:t>
      </w:r>
    </w:p>
    <w:p>
      <w:pPr>
        <w:spacing w:after="0" w:line="200" w:lineRule="exact"/>
        <w:rPr>
          <w:sz w:val="20"/>
          <w:szCs w:val="20"/>
          <w:color w:val="auto"/>
        </w:rPr>
      </w:pPr>
    </w:p>
    <w:p>
      <w:pPr>
        <w:spacing w:after="0" w:line="29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6" w:name="page87"/>
    <w:bookmarkEnd w:id="8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ind w:left="60"/>
              <w:spacing w:after="0"/>
              <w:rPr>
                <w:sz w:val="20"/>
                <w:szCs w:val="20"/>
                <w:color w:val="auto"/>
              </w:rPr>
            </w:pPr>
            <w:r>
              <w:rPr>
                <w:rFonts w:ascii="Arial" w:cs="Arial" w:eastAsia="Arial" w:hAnsi="Arial"/>
                <w:sz w:val="18"/>
                <w:szCs w:val="18"/>
                <w:b w:val="1"/>
                <w:bCs w:val="1"/>
                <w:color w:val="auto"/>
              </w:rPr>
              <w:t>Debt Securities Portfolio</w:t>
            </w:r>
          </w:p>
        </w:tc>
        <w:tc>
          <w:tcPr>
            <w:tcW w:w="160" w:type="dxa"/>
            <w:vAlign w:val="bottom"/>
          </w:tcPr>
          <w:p>
            <w:pPr>
              <w:spacing w:after="0"/>
              <w:rPr>
                <w:sz w:val="17"/>
                <w:szCs w:val="17"/>
                <w:color w:val="auto"/>
              </w:rPr>
            </w:pPr>
          </w:p>
        </w:tc>
        <w:tc>
          <w:tcPr>
            <w:tcW w:w="238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7"/>
                <w:szCs w:val="17"/>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7"/>
                <w:szCs w:val="17"/>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3"/>
                <w:szCs w:val="23"/>
                <w:b w:val="1"/>
                <w:bCs w:val="1"/>
                <w:color w:val="auto"/>
                <w:w w:val="91"/>
                <w:vertAlign w:val="superscript"/>
              </w:rPr>
              <w:t>(2)</w:t>
            </w:r>
          </w:p>
        </w:tc>
        <w:tc>
          <w:tcPr>
            <w:tcW w:w="0" w:type="dxa"/>
            <w:vAlign w:val="bottom"/>
          </w:tcPr>
          <w:p>
            <w:pPr>
              <w:spacing w:after="0"/>
              <w:rPr>
                <w:sz w:val="1"/>
                <w:szCs w:val="1"/>
                <w:color w:val="auto"/>
              </w:rPr>
            </w:pPr>
          </w:p>
        </w:tc>
      </w:tr>
      <w:tr>
        <w:trPr>
          <w:trHeight w:val="149"/>
        </w:trPr>
        <w:tc>
          <w:tcPr>
            <w:tcW w:w="2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380" w:type="dxa"/>
            <w:vAlign w:val="bottom"/>
            <w:tcBorders>
              <w:bottom w:val="single" w:sz="8" w:color="auto"/>
            </w:tcBorders>
          </w:tcPr>
          <w:p>
            <w:pPr>
              <w:ind w:left="42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00" w:type="dxa"/>
            <w:vAlign w:val="bottom"/>
            <w:shd w:val="clear" w:color="auto" w:fill="CCFFCC"/>
          </w:tcPr>
          <w:p>
            <w:pPr>
              <w:ind w:left="20"/>
              <w:spacing w:after="0" w:line="164" w:lineRule="exact"/>
              <w:rPr>
                <w:sz w:val="20"/>
                <w:szCs w:val="20"/>
                <w:color w:val="auto"/>
              </w:rPr>
            </w:pPr>
            <w:r>
              <w:rPr>
                <w:rFonts w:ascii="Arial" w:cs="Arial" w:eastAsia="Arial" w:hAnsi="Arial"/>
                <w:sz w:val="12"/>
                <w:szCs w:val="12"/>
                <w:color w:val="auto"/>
              </w:rPr>
              <w:t>Advanced Lighting Technologies, Inc.</w:t>
            </w:r>
            <w:r>
              <w:rPr>
                <w:rFonts w:ascii="Arial" w:cs="Arial" w:eastAsia="Arial" w:hAnsi="Arial"/>
                <w:sz w:val="18"/>
                <w:szCs w:val="18"/>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First Lien Bond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  3,000,000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  2,928,762</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Consumer goods: Non-durable</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10.5% Cash, Due 6/19</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Alaska Communications Systems</w:t>
            </w:r>
          </w:p>
        </w:tc>
        <w:tc>
          <w:tcPr>
            <w:tcW w:w="160" w:type="dxa"/>
            <w:vAlign w:val="bottom"/>
          </w:tcPr>
          <w:p>
            <w:pPr>
              <w:spacing w:after="0"/>
              <w:rPr>
                <w:sz w:val="11"/>
                <w:szCs w:val="11"/>
                <w:color w:val="auto"/>
              </w:rPr>
            </w:pPr>
          </w:p>
        </w:tc>
        <w:tc>
          <w:tcPr>
            <w:tcW w:w="2380" w:type="dxa"/>
            <w:vAlign w:val="bottom"/>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2,940,000</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2,952,655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2,783,196</w:t>
            </w:r>
          </w:p>
        </w:tc>
        <w:tc>
          <w:tcPr>
            <w:tcW w:w="0" w:type="dxa"/>
            <w:vAlign w:val="bottom"/>
          </w:tcPr>
          <w:p>
            <w:pPr>
              <w:spacing w:after="0"/>
              <w:rPr>
                <w:sz w:val="1"/>
                <w:szCs w:val="1"/>
                <w:color w:val="auto"/>
              </w:rPr>
            </w:pPr>
          </w:p>
        </w:tc>
      </w:tr>
      <w:tr>
        <w:trPr>
          <w:trHeight w:val="189"/>
        </w:trPr>
        <w:tc>
          <w:tcPr>
            <w:tcW w:w="2500" w:type="dxa"/>
            <w:vAlign w:val="bottom"/>
          </w:tcPr>
          <w:p>
            <w:pPr>
              <w:ind w:left="200"/>
              <w:spacing w:after="0" w:line="189" w:lineRule="exact"/>
              <w:rPr>
                <w:sz w:val="20"/>
                <w:szCs w:val="20"/>
                <w:color w:val="auto"/>
              </w:rPr>
            </w:pPr>
            <w:r>
              <w:rPr>
                <w:rFonts w:ascii="Arial" w:cs="Arial" w:eastAsia="Arial" w:hAnsi="Arial"/>
                <w:sz w:val="13"/>
                <w:szCs w:val="13"/>
                <w:color w:val="auto"/>
              </w:rPr>
              <w:t>Holdings, Inc.</w:t>
            </w:r>
            <w:r>
              <w:rPr>
                <w:rFonts w:ascii="Arial" w:cs="Arial" w:eastAsia="Arial" w:hAnsi="Arial"/>
                <w:sz w:val="21"/>
                <w:szCs w:val="21"/>
                <w:color w:val="auto"/>
                <w:vertAlign w:val="superscript"/>
              </w:rPr>
              <w:t>(9)</w:t>
            </w:r>
          </w:p>
        </w:tc>
        <w:tc>
          <w:tcPr>
            <w:tcW w:w="160" w:type="dxa"/>
            <w:vAlign w:val="bottom"/>
          </w:tcPr>
          <w:p>
            <w:pPr>
              <w:spacing w:after="0"/>
              <w:rPr>
                <w:sz w:val="16"/>
                <w:szCs w:val="16"/>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5.5% Cash, Due 10/16</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Telecommunications</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Allison Transmission, Inc.</w:t>
            </w:r>
          </w:p>
        </w:tc>
        <w:tc>
          <w:tcPr>
            <w:tcW w:w="160" w:type="dxa"/>
            <w:vAlign w:val="bottom"/>
            <w:shd w:val="clear" w:color="auto" w:fill="CCFFCC"/>
          </w:tcPr>
          <w:p>
            <w:pPr>
              <w:spacing w:after="0"/>
              <w:rPr>
                <w:sz w:val="11"/>
                <w:szCs w:val="11"/>
                <w:color w:val="auto"/>
              </w:rPr>
            </w:pPr>
          </w:p>
        </w:tc>
        <w:tc>
          <w:tcPr>
            <w:tcW w:w="23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Term B-2</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1,980,000</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1,969,312</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1,995,672</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Automotive</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Loan</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3.7% Cash, Due 8/17</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Aramark Corporation</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w w:val="98"/>
              </w:rPr>
              <w:t>Senior Secured Loan — LC-3 Facility</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61,707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61,579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61,910</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3.5% Cash, Due 7/16</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Aramark Corporation</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Senior Secured Loan — U.S.</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938,293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936,347</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941,390</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Term C Loan</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3.5% Cash, Due 7/16</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Asurion, LLC (fka Asurion Corporation)</w:t>
            </w:r>
          </w:p>
        </w:tc>
        <w:tc>
          <w:tcPr>
            <w:tcW w:w="160" w:type="dxa"/>
            <w:vAlign w:val="bottom"/>
          </w:tcPr>
          <w:p>
            <w:pPr>
              <w:spacing w:after="0"/>
              <w:rPr>
                <w:sz w:val="11"/>
                <w:szCs w:val="11"/>
                <w:color w:val="auto"/>
              </w:rPr>
            </w:pPr>
          </w:p>
        </w:tc>
        <w:tc>
          <w:tcPr>
            <w:tcW w:w="2380" w:type="dxa"/>
            <w:vAlign w:val="bottom"/>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2,021,506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2,023,130</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Banking, Finance, Insurance &amp; Real</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5.5% Cash, Due 5/18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Estate</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Avis Budget Car Rental, LLC</w:t>
            </w:r>
          </w:p>
        </w:tc>
        <w:tc>
          <w:tcPr>
            <w:tcW w:w="160" w:type="dxa"/>
            <w:vAlign w:val="bottom"/>
            <w:shd w:val="clear" w:color="auto" w:fill="CCFFCC"/>
          </w:tcPr>
          <w:p>
            <w:pPr>
              <w:spacing w:after="0"/>
              <w:rPr>
                <w:sz w:val="11"/>
                <w:szCs w:val="11"/>
                <w:color w:val="auto"/>
              </w:rPr>
            </w:pPr>
          </w:p>
        </w:tc>
        <w:tc>
          <w:tcPr>
            <w:tcW w:w="23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Tranche C</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1,985,007</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2,012,685</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2,005,353</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Transportation: Consumer</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4.3% Cash, Due 3/19</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Junior Secured Loan —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1,405,472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1,225,488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47,435</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Banking, Finance, Insurance &amp; Real</w:t>
            </w:r>
          </w:p>
        </w:tc>
        <w:tc>
          <w:tcPr>
            <w:tcW w:w="16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Estate</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1.2% Cash, 7.0% PIK, Due 8/15</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w w:val="97"/>
              </w:rPr>
              <w:t>Senior Secured Loan — Term Loan B</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1,439,164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1,405,984</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773,551</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Banking, Finance, Insurance &amp; Real</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6.5% Cash, 1.0% PIK, Due 8/14</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Estate</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Berry Plastics Holding Corporation</w:t>
            </w:r>
          </w:p>
        </w:tc>
        <w:tc>
          <w:tcPr>
            <w:tcW w:w="160" w:type="dxa"/>
            <w:vAlign w:val="bottom"/>
          </w:tcPr>
          <w:p>
            <w:pPr>
              <w:spacing w:after="0"/>
              <w:rPr>
                <w:sz w:val="11"/>
                <w:szCs w:val="11"/>
                <w:color w:val="auto"/>
              </w:rPr>
            </w:pPr>
          </w:p>
        </w:tc>
        <w:tc>
          <w:tcPr>
            <w:tcW w:w="2380" w:type="dxa"/>
            <w:vAlign w:val="bottom"/>
          </w:tcPr>
          <w:p>
            <w:pPr>
              <w:ind w:left="80"/>
              <w:spacing w:after="0" w:line="130" w:lineRule="exact"/>
              <w:rPr>
                <w:sz w:val="20"/>
                <w:szCs w:val="20"/>
                <w:color w:val="auto"/>
              </w:rPr>
            </w:pPr>
            <w:r>
              <w:rPr>
                <w:rFonts w:ascii="Arial" w:cs="Arial" w:eastAsia="Arial" w:hAnsi="Arial"/>
                <w:sz w:val="14"/>
                <w:szCs w:val="14"/>
                <w:color w:val="auto"/>
                <w:w w:val="97"/>
              </w:rPr>
              <w:t>Senior Secured Loan — Term C Loan</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1,979,003</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1,949,236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1,971,898</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Containers, Packaging and Glass</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2.2% Cash, Due 4/15</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Burger King Corporation</w:t>
            </w:r>
          </w:p>
        </w:tc>
        <w:tc>
          <w:tcPr>
            <w:tcW w:w="160" w:type="dxa"/>
            <w:vAlign w:val="bottom"/>
            <w:shd w:val="clear" w:color="auto" w:fill="CCFFCC"/>
          </w:tcPr>
          <w:p>
            <w:pPr>
              <w:spacing w:after="0"/>
              <w:rPr>
                <w:sz w:val="11"/>
                <w:szCs w:val="11"/>
                <w:color w:val="auto"/>
              </w:rPr>
            </w:pPr>
          </w:p>
        </w:tc>
        <w:tc>
          <w:tcPr>
            <w:tcW w:w="23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Tranche B</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1,645,875</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1,641,896</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1,657,297</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Term Loan (2012)</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3.8% Cash, Due 9/19</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w w:val="96"/>
              </w:rPr>
              <w:t>Caribe Media Inc. (fka Caribe Information</w:t>
            </w:r>
          </w:p>
        </w:tc>
        <w:tc>
          <w:tcPr>
            <w:tcW w:w="160" w:type="dxa"/>
            <w:vAlign w:val="bottom"/>
          </w:tcPr>
          <w:p>
            <w:pPr>
              <w:spacing w:after="0"/>
              <w:rPr>
                <w:sz w:val="11"/>
                <w:szCs w:val="11"/>
                <w:color w:val="auto"/>
              </w:rPr>
            </w:pPr>
          </w:p>
        </w:tc>
        <w:tc>
          <w:tcPr>
            <w:tcW w:w="2380" w:type="dxa"/>
            <w:vAlign w:val="bottom"/>
          </w:tcPr>
          <w:p>
            <w:pPr>
              <w:ind w:left="80"/>
              <w:spacing w:after="0" w:line="130" w:lineRule="exact"/>
              <w:rPr>
                <w:sz w:val="20"/>
                <w:szCs w:val="20"/>
                <w:color w:val="auto"/>
              </w:rPr>
            </w:pPr>
            <w:r>
              <w:rPr>
                <w:rFonts w:ascii="Arial" w:cs="Arial" w:eastAsia="Arial" w:hAnsi="Arial"/>
                <w:sz w:val="14"/>
                <w:szCs w:val="14"/>
                <w:color w:val="auto"/>
              </w:rPr>
              <w:t>Senior Secured Loan — Loan</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621,074</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621,074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613,373</w:t>
            </w:r>
          </w:p>
        </w:tc>
        <w:tc>
          <w:tcPr>
            <w:tcW w:w="0" w:type="dxa"/>
            <w:vAlign w:val="bottom"/>
          </w:tcPr>
          <w:p>
            <w:pPr>
              <w:spacing w:after="0"/>
              <w:rPr>
                <w:sz w:val="1"/>
                <w:szCs w:val="1"/>
                <w:color w:val="auto"/>
              </w:rPr>
            </w:pPr>
          </w:p>
        </w:tc>
      </w:tr>
      <w:tr>
        <w:trPr>
          <w:trHeight w:val="189"/>
        </w:trPr>
        <w:tc>
          <w:tcPr>
            <w:tcW w:w="2500" w:type="dxa"/>
            <w:vAlign w:val="bottom"/>
          </w:tcPr>
          <w:p>
            <w:pPr>
              <w:ind w:left="200"/>
              <w:spacing w:after="0" w:line="18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1"/>
                <w:szCs w:val="21"/>
                <w:color w:val="auto"/>
                <w:vertAlign w:val="superscript"/>
              </w:rPr>
              <w:t>(9)</w:t>
            </w:r>
          </w:p>
        </w:tc>
        <w:tc>
          <w:tcPr>
            <w:tcW w:w="160" w:type="dxa"/>
            <w:vAlign w:val="bottom"/>
          </w:tcPr>
          <w:p>
            <w:pPr>
              <w:spacing w:after="0"/>
              <w:rPr>
                <w:sz w:val="16"/>
                <w:szCs w:val="16"/>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10.0% Cash, Due 11/14</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Media: Advertising, Printing &amp;</w:t>
            </w:r>
          </w:p>
        </w:tc>
        <w:tc>
          <w:tcPr>
            <w:tcW w:w="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Publishing</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Catalina Marketing Corporation</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Senior Secured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1,704,212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1,672,227</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1,711,140</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Media: Advertising, Printing &amp;</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2017 Term Loan</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Publishing</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5.7% Cash, Due 9/17</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Chrysler Group LLC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Senior Secured Loan — Tranche B</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1,979,899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1,979,899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2,024,724</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Automotive</w:t>
            </w:r>
          </w:p>
        </w:tc>
        <w:tc>
          <w:tcPr>
            <w:tcW w:w="16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6.0% Cash, Due 5/17</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CoActive Technologies LLC (fka</w:t>
            </w:r>
          </w:p>
        </w:tc>
        <w:tc>
          <w:tcPr>
            <w:tcW w:w="160" w:type="dxa"/>
            <w:vAlign w:val="bottom"/>
            <w:shd w:val="clear" w:color="auto" w:fill="CCFFCC"/>
          </w:tcPr>
          <w:p>
            <w:pPr>
              <w:spacing w:after="0"/>
              <w:rPr>
                <w:sz w:val="11"/>
                <w:szCs w:val="11"/>
                <w:color w:val="auto"/>
              </w:rPr>
            </w:pPr>
          </w:p>
        </w:tc>
        <w:tc>
          <w:tcPr>
            <w:tcW w:w="23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Junior Secured Loan — Term Loan</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2,063,007</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1,987,358</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1,299,695</w:t>
            </w:r>
          </w:p>
        </w:tc>
        <w:tc>
          <w:tcPr>
            <w:tcW w:w="0" w:type="dxa"/>
            <w:vAlign w:val="bottom"/>
          </w:tcPr>
          <w:p>
            <w:pPr>
              <w:spacing w:after="0"/>
              <w:rPr>
                <w:sz w:val="1"/>
                <w:szCs w:val="1"/>
                <w:color w:val="auto"/>
              </w:rPr>
            </w:pPr>
          </w:p>
        </w:tc>
      </w:tr>
      <w:tr>
        <w:trPr>
          <w:trHeight w:val="181"/>
        </w:trPr>
        <w:tc>
          <w:tcPr>
            <w:tcW w:w="2500" w:type="dxa"/>
            <w:vAlign w:val="bottom"/>
            <w:shd w:val="clear" w:color="auto" w:fill="CCFFCC"/>
          </w:tcPr>
          <w:p>
            <w:pPr>
              <w:ind w:left="200"/>
              <w:spacing w:after="0" w:line="181" w:lineRule="exact"/>
              <w:rPr>
                <w:sz w:val="20"/>
                <w:szCs w:val="20"/>
                <w:color w:val="auto"/>
              </w:rPr>
            </w:pPr>
            <w:r>
              <w:rPr>
                <w:rFonts w:ascii="Arial" w:cs="Arial" w:eastAsia="Arial" w:hAnsi="Arial"/>
                <w:sz w:val="13"/>
                <w:szCs w:val="13"/>
                <w:color w:val="auto"/>
              </w:rPr>
              <w:t>CoActive Technologies, Inc.)</w:t>
            </w:r>
            <w:r>
              <w:rPr>
                <w:rFonts w:ascii="Arial" w:cs="Arial" w:eastAsia="Arial" w:hAnsi="Arial"/>
                <w:sz w:val="20"/>
                <w:szCs w:val="20"/>
                <w:color w:val="auto"/>
                <w:vertAlign w:val="superscript"/>
              </w:rPr>
              <w:t>(7), (9)</w:t>
            </w:r>
          </w:p>
        </w:tc>
        <w:tc>
          <w:tcPr>
            <w:tcW w:w="160" w:type="dxa"/>
            <w:vAlign w:val="bottom"/>
            <w:shd w:val="clear" w:color="auto" w:fill="CCFFCC"/>
          </w:tcPr>
          <w:p>
            <w:pPr>
              <w:spacing w:after="0"/>
              <w:rPr>
                <w:sz w:val="15"/>
                <w:szCs w:val="15"/>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shd w:val="clear" w:color="auto" w:fill="CCFFCC"/>
          </w:tcPr>
          <w:p>
            <w:pPr>
              <w:spacing w:after="0"/>
              <w:rPr>
                <w:sz w:val="15"/>
                <w:szCs w:val="15"/>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2.3% Cash, 4.8% PIK, Due 1/15</w:t>
            </w: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Senior Secured Loan — Initial</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949,124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950,905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952,237</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16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4.5% Cash, Due 3/18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Senior Secured Loan — Initial</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1,927,154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1,907,210</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1,933,475</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4.5% Cash, Due 3/18</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eInstruction Corporation</w:t>
            </w:r>
            <w:r>
              <w:rPr>
                <w:rFonts w:ascii="Arial" w:cs="Arial" w:eastAsia="Arial" w:hAnsi="Arial"/>
                <w:sz w:val="19"/>
                <w:szCs w:val="19"/>
                <w:color w:val="auto"/>
                <w:vertAlign w:val="superscript"/>
              </w:rPr>
              <w:t>(7), (9)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Junior Secured Loan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Services: Consumer</w:t>
            </w:r>
          </w:p>
        </w:tc>
        <w:tc>
          <w:tcPr>
            <w:tcW w:w="16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Arial" w:cs="Arial" w:eastAsia="Arial" w:hAnsi="Arial"/>
                <w:sz w:val="14"/>
                <w:szCs w:val="14"/>
                <w:color w:val="auto"/>
              </w:rPr>
              <w:t>Term 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11.5% Cash, Due 7/14</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ELO Touch Solutions, Inc.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Senior Secured Loan —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1,990,000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1,915,453</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1,989,603</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High Tech Industries</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8.0% Cash, Due 6/18</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First American Payment Systems, L.P.</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Junior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2,941,926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Banking, Finance, Insurance &amp; Real</w:t>
            </w:r>
          </w:p>
        </w:tc>
        <w:tc>
          <w:tcPr>
            <w:tcW w:w="16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Arial" w:cs="Arial" w:eastAsia="Arial" w:hAnsi="Arial"/>
                <w:sz w:val="14"/>
                <w:szCs w:val="14"/>
                <w:color w:val="auto"/>
              </w:rPr>
              <w:t>(Second Lien 2012)</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Estate</w:t>
            </w:r>
          </w:p>
        </w:tc>
        <w:tc>
          <w:tcPr>
            <w:tcW w:w="160" w:type="dxa"/>
            <w:vAlign w:val="bottom"/>
          </w:tcPr>
          <w:p>
            <w:pPr>
              <w:spacing w:after="0"/>
              <w:rPr>
                <w:sz w:val="15"/>
                <w:szCs w:val="15"/>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10.8% Cash, Due 4/19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-6269355</wp:posOffset>
            </wp:positionV>
            <wp:extent cx="521398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2500" w:type="dxa"/>
            <w:vAlign w:val="bottom"/>
          </w:tcPr>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3"/>
                <w:szCs w:val="23"/>
                <w:b w:val="1"/>
                <w:bCs w:val="1"/>
                <w:color w:val="auto"/>
                <w:w w:val="91"/>
                <w:vertAlign w:val="superscript"/>
              </w:rPr>
              <w:t>(2)</w:t>
            </w:r>
          </w:p>
        </w:tc>
        <w:tc>
          <w:tcPr>
            <w:tcW w:w="0" w:type="dxa"/>
            <w:vAlign w:val="bottom"/>
          </w:tcPr>
          <w:p>
            <w:pPr>
              <w:spacing w:after="0"/>
              <w:rPr>
                <w:sz w:val="1"/>
                <w:szCs w:val="1"/>
                <w:color w:val="auto"/>
              </w:rPr>
            </w:pPr>
          </w:p>
        </w:tc>
      </w:tr>
      <w:tr>
        <w:trPr>
          <w:trHeight w:val="112"/>
        </w:trPr>
        <w:tc>
          <w:tcPr>
            <w:tcW w:w="2500" w:type="dxa"/>
            <w:vAlign w:val="bottom"/>
          </w:tcPr>
          <w:p>
            <w:pPr>
              <w:ind w:left="20"/>
              <w:spacing w:after="0" w:line="113" w:lineRule="exact"/>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80" w:type="dxa"/>
            <w:vAlign w:val="bottom"/>
          </w:tcPr>
          <w:p>
            <w:pPr>
              <w:ind w:left="440"/>
              <w:spacing w:after="0" w:line="113" w:lineRule="exact"/>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9"/>
                <w:szCs w:val="9"/>
                <w:color w:val="auto"/>
              </w:rPr>
            </w:pPr>
          </w:p>
        </w:tc>
        <w:tc>
          <w:tcPr>
            <w:tcW w:w="860" w:type="dxa"/>
            <w:vAlign w:val="bottom"/>
          </w:tcPr>
          <w:p>
            <w:pPr>
              <w:jc w:val="right"/>
              <w:ind w:right="73"/>
              <w:spacing w:after="0" w:line="113"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9"/>
                <w:szCs w:val="9"/>
                <w:color w:val="auto"/>
              </w:rPr>
            </w:pPr>
          </w:p>
        </w:tc>
        <w:tc>
          <w:tcPr>
            <w:tcW w:w="860" w:type="dxa"/>
            <w:vAlign w:val="bottom"/>
          </w:tcPr>
          <w:p>
            <w:pPr>
              <w:jc w:val="right"/>
              <w:ind w:right="213"/>
              <w:spacing w:after="0" w:line="113" w:lineRule="exact"/>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00" w:type="dxa"/>
            <w:vAlign w:val="bottom"/>
            <w:shd w:val="clear" w:color="auto" w:fill="CCFFCC"/>
          </w:tcPr>
          <w:p>
            <w:pPr>
              <w:ind w:left="20"/>
              <w:spacing w:after="0" w:line="164" w:lineRule="exact"/>
              <w:rPr>
                <w:sz w:val="20"/>
                <w:szCs w:val="20"/>
                <w:color w:val="auto"/>
              </w:rPr>
            </w:pPr>
            <w:r>
              <w:rPr>
                <w:rFonts w:ascii="Arial" w:cs="Arial" w:eastAsia="Arial" w:hAnsi="Arial"/>
                <w:sz w:val="12"/>
                <w:szCs w:val="12"/>
                <w:color w:val="auto"/>
              </w:rPr>
              <w:t>First Data Corporation</w:t>
            </w:r>
            <w:r>
              <w:rPr>
                <w:rFonts w:ascii="Arial" w:cs="Arial" w:eastAsia="Arial" w:hAnsi="Arial"/>
                <w:sz w:val="18"/>
                <w:szCs w:val="18"/>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2018 Dollar</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  2,000,000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  1,806,842</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1,906,710</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Banking, Finance, Insurance &amp; Real</w:t>
            </w:r>
          </w:p>
        </w:tc>
        <w:tc>
          <w:tcPr>
            <w:tcW w:w="160" w:type="dxa"/>
            <w:vAlign w:val="bottom"/>
            <w:shd w:val="clear" w:color="auto" w:fill="CCFFCC"/>
          </w:tcPr>
          <w:p>
            <w:pPr>
              <w:spacing w:after="0"/>
              <w:rPr>
                <w:sz w:val="12"/>
                <w:szCs w:val="12"/>
                <w:color w:val="auto"/>
              </w:rPr>
            </w:pPr>
          </w:p>
        </w:tc>
        <w:tc>
          <w:tcPr>
            <w:tcW w:w="23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Term Loan</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Estate</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4.2%</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3/18</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Fram Group Holdings Inc./Prestone</w:t>
            </w:r>
          </w:p>
        </w:tc>
        <w:tc>
          <w:tcPr>
            <w:tcW w:w="160" w:type="dxa"/>
            <w:vAlign w:val="bottom"/>
          </w:tcPr>
          <w:p>
            <w:pPr>
              <w:spacing w:after="0"/>
              <w:rPr>
                <w:sz w:val="11"/>
                <w:szCs w:val="11"/>
                <w:color w:val="auto"/>
              </w:rPr>
            </w:pPr>
          </w:p>
        </w:tc>
        <w:tc>
          <w:tcPr>
            <w:tcW w:w="23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989,975</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996,484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991,212</w:t>
            </w:r>
          </w:p>
        </w:tc>
        <w:tc>
          <w:tcPr>
            <w:tcW w:w="0" w:type="dxa"/>
            <w:vAlign w:val="bottom"/>
          </w:tcPr>
          <w:p>
            <w:pPr>
              <w:spacing w:after="0"/>
              <w:rPr>
                <w:sz w:val="1"/>
                <w:szCs w:val="1"/>
                <w:color w:val="auto"/>
              </w:rPr>
            </w:pPr>
          </w:p>
        </w:tc>
      </w:tr>
      <w:tr>
        <w:trPr>
          <w:trHeight w:val="181"/>
        </w:trPr>
        <w:tc>
          <w:tcPr>
            <w:tcW w:w="2500" w:type="dxa"/>
            <w:vAlign w:val="bottom"/>
          </w:tcPr>
          <w:p>
            <w:pPr>
              <w:ind w:left="200"/>
              <w:spacing w:after="0" w:line="181" w:lineRule="exact"/>
              <w:rPr>
                <w:sz w:val="20"/>
                <w:szCs w:val="20"/>
                <w:color w:val="auto"/>
              </w:rPr>
            </w:pPr>
            <w:r>
              <w:rPr>
                <w:rFonts w:ascii="Arial" w:cs="Arial" w:eastAsia="Arial" w:hAnsi="Arial"/>
                <w:sz w:val="13"/>
                <w:szCs w:val="13"/>
                <w:color w:val="auto"/>
              </w:rPr>
              <w:t>Holdings Inc.</w:t>
            </w:r>
            <w:r>
              <w:rPr>
                <w:rFonts w:ascii="Arial" w:cs="Arial" w:eastAsia="Arial" w:hAnsi="Arial"/>
                <w:sz w:val="20"/>
                <w:szCs w:val="20"/>
                <w:color w:val="auto"/>
                <w:vertAlign w:val="superscript"/>
              </w:rPr>
              <w:t>(9)</w:t>
            </w:r>
          </w:p>
        </w:tc>
        <w:tc>
          <w:tcPr>
            <w:tcW w:w="160" w:type="dxa"/>
            <w:vAlign w:val="bottom"/>
          </w:tcPr>
          <w:p>
            <w:pPr>
              <w:spacing w:after="0"/>
              <w:rPr>
                <w:sz w:val="15"/>
                <w:szCs w:val="15"/>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Automotive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6.5%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7/17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Freescale Semiconductor, Inc.</w:t>
            </w:r>
          </w:p>
        </w:tc>
        <w:tc>
          <w:tcPr>
            <w:tcW w:w="160" w:type="dxa"/>
            <w:vAlign w:val="bottom"/>
            <w:shd w:val="clear" w:color="auto" w:fill="CCFFCC"/>
          </w:tcPr>
          <w:p>
            <w:pPr>
              <w:spacing w:after="0"/>
              <w:rPr>
                <w:sz w:val="11"/>
                <w:szCs w:val="11"/>
                <w:color w:val="auto"/>
              </w:rPr>
            </w:pPr>
          </w:p>
        </w:tc>
        <w:tc>
          <w:tcPr>
            <w:tcW w:w="238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Subordinated Bond —</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1,036,000</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1,038,081</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1,064,490</w:t>
            </w: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High Tech Industries</w:t>
            </w:r>
          </w:p>
        </w:tc>
        <w:tc>
          <w:tcPr>
            <w:tcW w:w="16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10.1% Cash, Due 12/16</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Getty Images, Inc.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Initial Term</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1,980,556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2,005,250</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Media: Advertising, Printing &amp;</w:t>
            </w:r>
          </w:p>
        </w:tc>
        <w:tc>
          <w:tcPr>
            <w:tcW w:w="160" w:type="dxa"/>
            <w:vAlign w:val="bottom"/>
          </w:tcPr>
          <w:p>
            <w:pPr>
              <w:spacing w:after="0"/>
              <w:rPr>
                <w:sz w:val="12"/>
                <w:szCs w:val="12"/>
                <w:color w:val="auto"/>
              </w:rPr>
            </w:pPr>
          </w:p>
        </w:tc>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(New)</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Publishing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Ginn LA Conduit Lender,</w:t>
            </w:r>
          </w:p>
        </w:tc>
        <w:tc>
          <w:tcPr>
            <w:tcW w:w="160" w:type="dxa"/>
            <w:vAlign w:val="bottom"/>
            <w:shd w:val="clear" w:color="auto" w:fill="CCFFCC"/>
          </w:tcPr>
          <w:p>
            <w:pPr>
              <w:spacing w:after="0"/>
              <w:rPr>
                <w:sz w:val="11"/>
                <w:szCs w:val="11"/>
                <w:color w:val="auto"/>
              </w:rPr>
            </w:pPr>
          </w:p>
        </w:tc>
        <w:tc>
          <w:tcPr>
            <w:tcW w:w="238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First Lien</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1,257,143</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1,224,101</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38,506</w:t>
            </w:r>
          </w:p>
        </w:tc>
        <w:tc>
          <w:tcPr>
            <w:tcW w:w="0" w:type="dxa"/>
            <w:vAlign w:val="bottom"/>
          </w:tcPr>
          <w:p>
            <w:pPr>
              <w:spacing w:after="0"/>
              <w:rPr>
                <w:sz w:val="1"/>
                <w:szCs w:val="1"/>
                <w:color w:val="auto"/>
              </w:rPr>
            </w:pPr>
          </w:p>
        </w:tc>
      </w:tr>
      <w:tr>
        <w:trPr>
          <w:trHeight w:val="161"/>
        </w:trPr>
        <w:tc>
          <w:tcPr>
            <w:tcW w:w="2500" w:type="dxa"/>
            <w:vAlign w:val="bottom"/>
            <w:shd w:val="clear" w:color="auto" w:fill="CCFFCC"/>
          </w:tcPr>
          <w:p>
            <w:pPr>
              <w:ind w:left="200"/>
              <w:spacing w:after="0" w:line="161" w:lineRule="exact"/>
              <w:rPr>
                <w:sz w:val="20"/>
                <w:szCs w:val="20"/>
                <w:color w:val="auto"/>
              </w:rPr>
            </w:pPr>
            <w:r>
              <w:rPr>
                <w:rFonts w:ascii="Arial" w:cs="Arial" w:eastAsia="Arial" w:hAnsi="Arial"/>
                <w:sz w:val="18"/>
                <w:szCs w:val="18"/>
                <w:color w:val="auto"/>
                <w:vertAlign w:val="subscript"/>
              </w:rPr>
              <w:t>Inc.</w:t>
            </w:r>
            <w:r>
              <w:rPr>
                <w:rFonts w:ascii="Arial" w:cs="Arial" w:eastAsia="Arial" w:hAnsi="Arial"/>
                <w:sz w:val="9"/>
                <w:szCs w:val="9"/>
                <w:color w:val="auto"/>
              </w:rPr>
              <w:t>(7), (9)</w:t>
            </w:r>
          </w:p>
        </w:tc>
        <w:tc>
          <w:tcPr>
            <w:tcW w:w="160" w:type="dxa"/>
            <w:vAlign w:val="bottom"/>
            <w:shd w:val="clear" w:color="auto" w:fill="CCFFCC"/>
          </w:tcPr>
          <w:p>
            <w:pPr>
              <w:spacing w:after="0"/>
              <w:rPr>
                <w:sz w:val="13"/>
                <w:szCs w:val="13"/>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Tranche A Credit-Linked Deposit</w:t>
            </w:r>
          </w:p>
        </w:tc>
        <w:tc>
          <w:tcPr>
            <w:tcW w:w="16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Construction &amp; Building</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7.8%</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6/11</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Ginn LA Conduit Lender,</w:t>
            </w:r>
          </w:p>
        </w:tc>
        <w:tc>
          <w:tcPr>
            <w:tcW w:w="160" w:type="dxa"/>
            <w:vAlign w:val="bottom"/>
          </w:tcPr>
          <w:p>
            <w:pPr>
              <w:spacing w:after="0"/>
              <w:rPr>
                <w:sz w:val="11"/>
                <w:szCs w:val="11"/>
                <w:color w:val="auto"/>
              </w:rPr>
            </w:pPr>
          </w:p>
        </w:tc>
        <w:tc>
          <w:tcPr>
            <w:tcW w:w="23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Senior Secured Loan — First Lien</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2,694,857</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2,624,028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82,543</w:t>
            </w:r>
          </w:p>
        </w:tc>
        <w:tc>
          <w:tcPr>
            <w:tcW w:w="0" w:type="dxa"/>
            <w:vAlign w:val="bottom"/>
          </w:tcPr>
          <w:p>
            <w:pPr>
              <w:spacing w:after="0"/>
              <w:rPr>
                <w:sz w:val="1"/>
                <w:szCs w:val="1"/>
                <w:color w:val="auto"/>
              </w:rPr>
            </w:pPr>
          </w:p>
        </w:tc>
      </w:tr>
      <w:tr>
        <w:trPr>
          <w:trHeight w:val="181"/>
        </w:trPr>
        <w:tc>
          <w:tcPr>
            <w:tcW w:w="2500" w:type="dxa"/>
            <w:vAlign w:val="bottom"/>
          </w:tcPr>
          <w:p>
            <w:pPr>
              <w:ind w:left="200"/>
              <w:spacing w:after="0" w:line="181"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(7), (9)</w:t>
            </w:r>
          </w:p>
        </w:tc>
        <w:tc>
          <w:tcPr>
            <w:tcW w:w="160" w:type="dxa"/>
            <w:vAlign w:val="bottom"/>
          </w:tcPr>
          <w:p>
            <w:pPr>
              <w:spacing w:after="0"/>
              <w:rPr>
                <w:sz w:val="15"/>
                <w:szCs w:val="15"/>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Tranche B Term Loan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Construction &amp; Building</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7.8%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6/11</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Ginn LA Conduit Lender,</w:t>
            </w:r>
          </w:p>
        </w:tc>
        <w:tc>
          <w:tcPr>
            <w:tcW w:w="160" w:type="dxa"/>
            <w:vAlign w:val="bottom"/>
            <w:shd w:val="clear" w:color="auto" w:fill="CCFFCC"/>
          </w:tcPr>
          <w:p>
            <w:pPr>
              <w:spacing w:after="0"/>
              <w:rPr>
                <w:sz w:val="11"/>
                <w:szCs w:val="11"/>
                <w:color w:val="auto"/>
              </w:rPr>
            </w:pPr>
          </w:p>
        </w:tc>
        <w:tc>
          <w:tcPr>
            <w:tcW w:w="238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Junior Secured Loan —</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3,000,000</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2,715,997</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30,015</w:t>
            </w:r>
          </w:p>
        </w:tc>
        <w:tc>
          <w:tcPr>
            <w:tcW w:w="0" w:type="dxa"/>
            <w:vAlign w:val="bottom"/>
          </w:tcPr>
          <w:p>
            <w:pPr>
              <w:spacing w:after="0"/>
              <w:rPr>
                <w:sz w:val="1"/>
                <w:szCs w:val="1"/>
                <w:color w:val="auto"/>
              </w:rPr>
            </w:pPr>
          </w:p>
        </w:tc>
      </w:tr>
      <w:tr>
        <w:trPr>
          <w:trHeight w:val="161"/>
        </w:trPr>
        <w:tc>
          <w:tcPr>
            <w:tcW w:w="2500" w:type="dxa"/>
            <w:vAlign w:val="bottom"/>
            <w:shd w:val="clear" w:color="auto" w:fill="CCFFCC"/>
          </w:tcPr>
          <w:p>
            <w:pPr>
              <w:ind w:left="200"/>
              <w:spacing w:after="0" w:line="161" w:lineRule="exact"/>
              <w:rPr>
                <w:sz w:val="20"/>
                <w:szCs w:val="20"/>
                <w:color w:val="auto"/>
              </w:rPr>
            </w:pPr>
            <w:r>
              <w:rPr>
                <w:rFonts w:ascii="Arial" w:cs="Arial" w:eastAsia="Arial" w:hAnsi="Arial"/>
                <w:sz w:val="18"/>
                <w:szCs w:val="18"/>
                <w:color w:val="auto"/>
                <w:vertAlign w:val="subscript"/>
              </w:rPr>
              <w:t>Inc.</w:t>
            </w:r>
            <w:r>
              <w:rPr>
                <w:rFonts w:ascii="Arial" w:cs="Arial" w:eastAsia="Arial" w:hAnsi="Arial"/>
                <w:sz w:val="9"/>
                <w:szCs w:val="9"/>
                <w:color w:val="auto"/>
              </w:rPr>
              <w:t>(7), (9)</w:t>
            </w:r>
          </w:p>
        </w:tc>
        <w:tc>
          <w:tcPr>
            <w:tcW w:w="160" w:type="dxa"/>
            <w:vAlign w:val="bottom"/>
            <w:shd w:val="clear" w:color="auto" w:fill="CCFFCC"/>
          </w:tcPr>
          <w:p>
            <w:pPr>
              <w:spacing w:after="0"/>
              <w:rPr>
                <w:sz w:val="13"/>
                <w:szCs w:val="13"/>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Loan (Second Lien)</w:t>
            </w:r>
          </w:p>
        </w:tc>
        <w:tc>
          <w:tcPr>
            <w:tcW w:w="16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Construction &amp; Building</w:t>
            </w:r>
          </w:p>
        </w:tc>
        <w:tc>
          <w:tcPr>
            <w:tcW w:w="160" w:type="dxa"/>
            <w:vAlign w:val="bottom"/>
            <w:shd w:val="clear" w:color="auto" w:fill="CCFFCC"/>
          </w:tcPr>
          <w:p>
            <w:pPr>
              <w:spacing w:after="0"/>
              <w:rPr>
                <w:sz w:val="17"/>
                <w:szCs w:val="17"/>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11.8% Cash, Due 6/12</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Gymboree Corporation., The</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1,421,105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1,355,901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1,312,746</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Retail</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HMSC Corporation (aka Swett and</w:t>
            </w:r>
          </w:p>
        </w:tc>
        <w:tc>
          <w:tcPr>
            <w:tcW w:w="160" w:type="dxa"/>
            <w:vAlign w:val="bottom"/>
            <w:shd w:val="clear" w:color="auto" w:fill="CCFFCC"/>
          </w:tcPr>
          <w:p>
            <w:pPr>
              <w:spacing w:after="0"/>
              <w:rPr>
                <w:sz w:val="11"/>
                <w:szCs w:val="11"/>
                <w:color w:val="auto"/>
              </w:rPr>
            </w:pPr>
          </w:p>
        </w:tc>
        <w:tc>
          <w:tcPr>
            <w:tcW w:w="238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Junior Secured Loan —</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5,000,000</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4,948,801</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4,410,000</w:t>
            </w:r>
          </w:p>
        </w:tc>
        <w:tc>
          <w:tcPr>
            <w:tcW w:w="0" w:type="dxa"/>
            <w:vAlign w:val="bottom"/>
          </w:tcPr>
          <w:p>
            <w:pPr>
              <w:spacing w:after="0"/>
              <w:rPr>
                <w:sz w:val="1"/>
                <w:szCs w:val="1"/>
                <w:color w:val="auto"/>
              </w:rPr>
            </w:pPr>
          </w:p>
        </w:tc>
      </w:tr>
      <w:tr>
        <w:trPr>
          <w:trHeight w:val="181"/>
        </w:trPr>
        <w:tc>
          <w:tcPr>
            <w:tcW w:w="2500" w:type="dxa"/>
            <w:vAlign w:val="bottom"/>
            <w:shd w:val="clear" w:color="auto" w:fill="CCFFCC"/>
          </w:tcPr>
          <w:p>
            <w:pPr>
              <w:ind w:left="200"/>
              <w:spacing w:after="0" w:line="181" w:lineRule="exact"/>
              <w:rPr>
                <w:sz w:val="20"/>
                <w:szCs w:val="20"/>
                <w:color w:val="auto"/>
              </w:rPr>
            </w:pPr>
            <w:r>
              <w:rPr>
                <w:rFonts w:ascii="Arial" w:cs="Arial" w:eastAsia="Arial" w:hAnsi="Arial"/>
                <w:sz w:val="13"/>
                <w:szCs w:val="13"/>
                <w:color w:val="auto"/>
              </w:rPr>
              <w:t>Crawford)</w:t>
            </w:r>
            <w:r>
              <w:rPr>
                <w:rFonts w:ascii="Arial" w:cs="Arial" w:eastAsia="Arial" w:hAnsi="Arial"/>
                <w:sz w:val="20"/>
                <w:szCs w:val="20"/>
                <w:color w:val="auto"/>
                <w:vertAlign w:val="superscript"/>
              </w:rPr>
              <w:t>(9)</w:t>
            </w:r>
          </w:p>
        </w:tc>
        <w:tc>
          <w:tcPr>
            <w:tcW w:w="160" w:type="dxa"/>
            <w:vAlign w:val="bottom"/>
            <w:shd w:val="clear" w:color="auto" w:fill="CCFFCC"/>
          </w:tcPr>
          <w:p>
            <w:pPr>
              <w:spacing w:after="0"/>
              <w:rPr>
                <w:sz w:val="15"/>
                <w:szCs w:val="15"/>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Loan (Second Lien)</w:t>
            </w: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00" w:type="dxa"/>
            <w:vAlign w:val="bottom"/>
            <w:shd w:val="clear" w:color="auto" w:fill="CCFFCC"/>
          </w:tcPr>
          <w:p>
            <w:pPr>
              <w:ind w:left="200"/>
              <w:spacing w:after="0" w:line="157" w:lineRule="exact"/>
              <w:rPr>
                <w:sz w:val="20"/>
                <w:szCs w:val="20"/>
                <w:color w:val="auto"/>
              </w:rPr>
            </w:pPr>
            <w:r>
              <w:rPr>
                <w:rFonts w:ascii="Arial" w:cs="Arial" w:eastAsia="Arial" w:hAnsi="Arial"/>
                <w:sz w:val="14"/>
                <w:szCs w:val="14"/>
                <w:i w:val="1"/>
                <w:iCs w:val="1"/>
                <w:color w:val="auto"/>
              </w:rPr>
              <w:t>Banking, Finance, Insurance &amp; Real</w:t>
            </w:r>
          </w:p>
        </w:tc>
        <w:tc>
          <w:tcPr>
            <w:tcW w:w="560" w:type="dxa"/>
            <w:vAlign w:val="bottom"/>
            <w:gridSpan w:val="2"/>
            <w:shd w:val="clear" w:color="auto" w:fill="CCFFCC"/>
          </w:tcPr>
          <w:p>
            <w:pPr>
              <w:ind w:left="240"/>
              <w:spacing w:after="0" w:line="157" w:lineRule="exact"/>
              <w:rPr>
                <w:sz w:val="20"/>
                <w:szCs w:val="20"/>
                <w:color w:val="auto"/>
              </w:rPr>
            </w:pPr>
            <w:r>
              <w:rPr>
                <w:rFonts w:ascii="Arial" w:cs="Arial" w:eastAsia="Arial" w:hAnsi="Arial"/>
                <w:sz w:val="14"/>
                <w:szCs w:val="14"/>
                <w:color w:val="auto"/>
                <w:w w:val="93"/>
              </w:rPr>
              <w:t>5.7%</w:t>
            </w:r>
          </w:p>
        </w:tc>
        <w:tc>
          <w:tcPr>
            <w:tcW w:w="1980" w:type="dxa"/>
            <w:vAlign w:val="bottom"/>
            <w:shd w:val="clear" w:color="auto" w:fill="CCFFCC"/>
          </w:tcPr>
          <w:p>
            <w:pPr>
              <w:ind w:left="20"/>
              <w:spacing w:after="0" w:line="157" w:lineRule="exact"/>
              <w:rPr>
                <w:sz w:val="20"/>
                <w:szCs w:val="20"/>
                <w:color w:val="auto"/>
              </w:rPr>
            </w:pPr>
            <w:r>
              <w:rPr>
                <w:rFonts w:ascii="Arial" w:cs="Arial" w:eastAsia="Arial" w:hAnsi="Arial"/>
                <w:sz w:val="14"/>
                <w:szCs w:val="14"/>
                <w:color w:val="auto"/>
              </w:rPr>
              <w:t>Cash, Due 10/14</w:t>
            </w:r>
          </w:p>
        </w:tc>
        <w:tc>
          <w:tcPr>
            <w:tcW w:w="16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Estate</w:t>
            </w:r>
          </w:p>
        </w:tc>
        <w:tc>
          <w:tcPr>
            <w:tcW w:w="16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Hunter Defense Technologies,</w:t>
            </w:r>
          </w:p>
        </w:tc>
        <w:tc>
          <w:tcPr>
            <w:tcW w:w="160" w:type="dxa"/>
            <w:vAlign w:val="bottom"/>
          </w:tcPr>
          <w:p>
            <w:pPr>
              <w:spacing w:after="0"/>
              <w:rPr>
                <w:sz w:val="11"/>
                <w:szCs w:val="11"/>
                <w:color w:val="auto"/>
              </w:rPr>
            </w:pPr>
          </w:p>
        </w:tc>
        <w:tc>
          <w:tcPr>
            <w:tcW w:w="23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Junior Secured Loan — Term Loan</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4,074,074</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4,027,935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3,829,630</w:t>
            </w:r>
          </w:p>
        </w:tc>
        <w:tc>
          <w:tcPr>
            <w:tcW w:w="0" w:type="dxa"/>
            <w:vAlign w:val="bottom"/>
          </w:tcPr>
          <w:p>
            <w:pPr>
              <w:spacing w:after="0"/>
              <w:rPr>
                <w:sz w:val="1"/>
                <w:szCs w:val="1"/>
                <w:color w:val="auto"/>
              </w:rPr>
            </w:pPr>
          </w:p>
        </w:tc>
      </w:tr>
      <w:tr>
        <w:trPr>
          <w:trHeight w:val="161"/>
        </w:trPr>
        <w:tc>
          <w:tcPr>
            <w:tcW w:w="2500" w:type="dxa"/>
            <w:vAlign w:val="bottom"/>
          </w:tcPr>
          <w:p>
            <w:pPr>
              <w:ind w:left="200"/>
              <w:spacing w:after="0" w:line="161" w:lineRule="exact"/>
              <w:rPr>
                <w:sz w:val="20"/>
                <w:szCs w:val="20"/>
                <w:color w:val="auto"/>
              </w:rPr>
            </w:pPr>
            <w:r>
              <w:rPr>
                <w:rFonts w:ascii="Arial" w:cs="Arial" w:eastAsia="Arial" w:hAnsi="Arial"/>
                <w:sz w:val="12"/>
                <w:szCs w:val="12"/>
                <w:color w:val="auto"/>
              </w:rPr>
              <w:t>Inc.</w:t>
            </w:r>
            <w:r>
              <w:rPr>
                <w:rFonts w:ascii="Arial" w:cs="Arial" w:eastAsia="Arial" w:hAnsi="Arial"/>
                <w:sz w:val="18"/>
                <w:szCs w:val="18"/>
                <w:color w:val="auto"/>
                <w:vertAlign w:val="superscript"/>
              </w:rPr>
              <w:t>(9)</w:t>
            </w:r>
          </w:p>
        </w:tc>
        <w:tc>
          <w:tcPr>
            <w:tcW w:w="160" w:type="dxa"/>
            <w:vAlign w:val="bottom"/>
          </w:tcPr>
          <w:p>
            <w:pPr>
              <w:spacing w:after="0"/>
              <w:rPr>
                <w:sz w:val="13"/>
                <w:szCs w:val="13"/>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7.0%</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2/15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Iasis Healthcare LLC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Unsecured Bond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2,877,729</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2,865,000</w:t>
            </w: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Healthcare &amp; Pharmaceuticals</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8.4%</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5/19</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w w:val="99"/>
              </w:rPr>
              <w:t>International Architectural Products, Inc.</w:t>
            </w:r>
          </w:p>
        </w:tc>
        <w:tc>
          <w:tcPr>
            <w:tcW w:w="160" w:type="dxa"/>
            <w:vAlign w:val="bottom"/>
          </w:tcPr>
          <w:p>
            <w:pPr>
              <w:spacing w:after="0"/>
              <w:rPr>
                <w:sz w:val="11"/>
                <w:szCs w:val="11"/>
                <w:color w:val="auto"/>
              </w:rPr>
            </w:pPr>
          </w:p>
        </w:tc>
        <w:tc>
          <w:tcPr>
            <w:tcW w:w="238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507,431</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480,868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263,864</w:t>
            </w:r>
          </w:p>
        </w:tc>
        <w:tc>
          <w:tcPr>
            <w:tcW w:w="0" w:type="dxa"/>
            <w:vAlign w:val="bottom"/>
          </w:tcPr>
          <w:p>
            <w:pPr>
              <w:spacing w:after="0"/>
              <w:rPr>
                <w:sz w:val="1"/>
                <w:szCs w:val="1"/>
                <w:color w:val="auto"/>
              </w:rPr>
            </w:pPr>
          </w:p>
        </w:tc>
      </w:tr>
      <w:tr>
        <w:trPr>
          <w:trHeight w:val="182"/>
        </w:trPr>
        <w:tc>
          <w:tcPr>
            <w:tcW w:w="2500" w:type="dxa"/>
            <w:vAlign w:val="bottom"/>
          </w:tcPr>
          <w:p>
            <w:pPr>
              <w:ind w:left="200"/>
              <w:spacing w:after="0"/>
              <w:rPr>
                <w:sz w:val="20"/>
                <w:szCs w:val="20"/>
                <w:color w:val="auto"/>
              </w:rPr>
            </w:pPr>
            <w:r>
              <w:rPr>
                <w:rFonts w:ascii="Arial" w:cs="Arial" w:eastAsia="Arial" w:hAnsi="Arial"/>
                <w:sz w:val="12"/>
                <w:szCs w:val="12"/>
                <w:color w:val="auto"/>
              </w:rPr>
              <w:t>(7), (9)</w:t>
            </w:r>
          </w:p>
        </w:tc>
        <w:tc>
          <w:tcPr>
            <w:tcW w:w="160" w:type="dxa"/>
            <w:vAlign w:val="bottom"/>
          </w:tcPr>
          <w:p>
            <w:pPr>
              <w:spacing w:after="0"/>
              <w:rPr>
                <w:sz w:val="15"/>
                <w:szCs w:val="15"/>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12.0% Cash, Due 5/15</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Metals &amp; Mining</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Jones Stephens Corp.</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4,280,147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4,280,147</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4,280,147</w:t>
            </w: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Consumer goods: Non-durable</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7.0%</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9/15</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KIK Custom Products Inc.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Junior Secured Loan —</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5,000,000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3,977,100</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Consumer goods: Non-durable</w:t>
            </w:r>
          </w:p>
        </w:tc>
        <w:tc>
          <w:tcPr>
            <w:tcW w:w="160" w:type="dxa"/>
            <w:vAlign w:val="bottom"/>
          </w:tcPr>
          <w:p>
            <w:pPr>
              <w:spacing w:after="0"/>
              <w:rPr>
                <w:sz w:val="12"/>
                <w:szCs w:val="12"/>
                <w:color w:val="auto"/>
              </w:rPr>
            </w:pPr>
          </w:p>
        </w:tc>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Loan (Second Lien)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5.3%</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12/14</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LBREP/L-Suncal Master I</w:t>
            </w:r>
          </w:p>
        </w:tc>
        <w:tc>
          <w:tcPr>
            <w:tcW w:w="160" w:type="dxa"/>
            <w:vAlign w:val="bottom"/>
            <w:shd w:val="clear" w:color="auto" w:fill="CCFFCC"/>
          </w:tcPr>
          <w:p>
            <w:pPr>
              <w:spacing w:after="0"/>
              <w:rPr>
                <w:sz w:val="11"/>
                <w:szCs w:val="11"/>
                <w:color w:val="auto"/>
              </w:rPr>
            </w:pPr>
          </w:p>
        </w:tc>
        <w:tc>
          <w:tcPr>
            <w:tcW w:w="238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3,345,759</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3,345,759</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303,460</w:t>
            </w:r>
          </w:p>
        </w:tc>
        <w:tc>
          <w:tcPr>
            <w:tcW w:w="0" w:type="dxa"/>
            <w:vAlign w:val="bottom"/>
          </w:tcPr>
          <w:p>
            <w:pPr>
              <w:spacing w:after="0"/>
              <w:rPr>
                <w:sz w:val="1"/>
                <w:szCs w:val="1"/>
                <w:color w:val="auto"/>
              </w:rPr>
            </w:pPr>
          </w:p>
        </w:tc>
      </w:tr>
      <w:tr>
        <w:trPr>
          <w:trHeight w:val="161"/>
        </w:trPr>
        <w:tc>
          <w:tcPr>
            <w:tcW w:w="2500" w:type="dxa"/>
            <w:vAlign w:val="bottom"/>
            <w:shd w:val="clear" w:color="auto" w:fill="CCFFCC"/>
          </w:tcPr>
          <w:p>
            <w:pPr>
              <w:ind w:left="200"/>
              <w:spacing w:after="0" w:line="161" w:lineRule="exact"/>
              <w:rPr>
                <w:sz w:val="20"/>
                <w:szCs w:val="20"/>
                <w:color w:val="auto"/>
              </w:rPr>
            </w:pPr>
            <w:r>
              <w:rPr>
                <w:rFonts w:ascii="Arial" w:cs="Arial" w:eastAsia="Arial" w:hAnsi="Arial"/>
                <w:sz w:val="18"/>
                <w:szCs w:val="18"/>
                <w:color w:val="auto"/>
                <w:vertAlign w:val="subscript"/>
              </w:rPr>
              <w:t>LLC</w:t>
            </w:r>
            <w:r>
              <w:rPr>
                <w:rFonts w:ascii="Arial" w:cs="Arial" w:eastAsia="Arial" w:hAnsi="Arial"/>
                <w:sz w:val="9"/>
                <w:szCs w:val="9"/>
                <w:color w:val="auto"/>
              </w:rPr>
              <w:t>(7), (9)</w:t>
            </w:r>
          </w:p>
        </w:tc>
        <w:tc>
          <w:tcPr>
            <w:tcW w:w="160" w:type="dxa"/>
            <w:vAlign w:val="bottom"/>
            <w:shd w:val="clear" w:color="auto" w:fill="CCFFCC"/>
          </w:tcPr>
          <w:p>
            <w:pPr>
              <w:spacing w:after="0"/>
              <w:rPr>
                <w:sz w:val="13"/>
                <w:szCs w:val="13"/>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86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Construction &amp; Building</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7.5%</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1/10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Legacy Cabinets, Inc.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524,571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463,380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447,040</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Consumer goods: Durable</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1.0%</w:t>
            </w:r>
          </w:p>
        </w:tc>
        <w:tc>
          <w:tcPr>
            <w:tcW w:w="1980" w:type="dxa"/>
            <w:vAlign w:val="bottom"/>
          </w:tcPr>
          <w:p>
            <w:pPr>
              <w:ind w:left="20"/>
              <w:spacing w:after="0"/>
              <w:rPr>
                <w:sz w:val="20"/>
                <w:szCs w:val="20"/>
                <w:color w:val="auto"/>
              </w:rPr>
            </w:pPr>
            <w:r>
              <w:rPr>
                <w:rFonts w:ascii="Arial" w:cs="Arial" w:eastAsia="Arial" w:hAnsi="Arial"/>
                <w:sz w:val="14"/>
                <w:szCs w:val="14"/>
                <w:color w:val="auto"/>
              </w:rPr>
              <w:t>Cash, 6.3% PIK, Due 5/14</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Lord &amp; Taylor Holdings LLC</w:t>
            </w:r>
          </w:p>
        </w:tc>
        <w:tc>
          <w:tcPr>
            <w:tcW w:w="160" w:type="dxa"/>
            <w:vAlign w:val="bottom"/>
            <w:shd w:val="clear" w:color="auto" w:fill="CCFFCC"/>
          </w:tcPr>
          <w:p>
            <w:pPr>
              <w:spacing w:after="0"/>
              <w:rPr>
                <w:sz w:val="11"/>
                <w:szCs w:val="11"/>
                <w:color w:val="auto"/>
              </w:rPr>
            </w:pPr>
          </w:p>
        </w:tc>
        <w:tc>
          <w:tcPr>
            <w:tcW w:w="238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430,951</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439,877</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436,002</w:t>
            </w:r>
          </w:p>
        </w:tc>
        <w:tc>
          <w:tcPr>
            <w:tcW w:w="0" w:type="dxa"/>
            <w:vAlign w:val="bottom"/>
          </w:tcPr>
          <w:p>
            <w:pPr>
              <w:spacing w:after="0"/>
              <w:rPr>
                <w:sz w:val="1"/>
                <w:szCs w:val="1"/>
                <w:color w:val="auto"/>
              </w:rPr>
            </w:pPr>
          </w:p>
        </w:tc>
      </w:tr>
      <w:tr>
        <w:trPr>
          <w:trHeight w:val="189"/>
        </w:trPr>
        <w:tc>
          <w:tcPr>
            <w:tcW w:w="2500" w:type="dxa"/>
            <w:vAlign w:val="bottom"/>
            <w:shd w:val="clear" w:color="auto" w:fill="CCFFCC"/>
          </w:tcPr>
          <w:p>
            <w:pPr>
              <w:ind w:left="200"/>
              <w:spacing w:after="0" w:line="189" w:lineRule="exact"/>
              <w:rPr>
                <w:sz w:val="20"/>
                <w:szCs w:val="20"/>
                <w:color w:val="auto"/>
              </w:rPr>
            </w:pPr>
            <w:r>
              <w:rPr>
                <w:rFonts w:ascii="Arial" w:cs="Arial" w:eastAsia="Arial" w:hAnsi="Arial"/>
                <w:sz w:val="13"/>
                <w:szCs w:val="13"/>
                <w:color w:val="auto"/>
              </w:rPr>
              <w:t>(LT Propco LLC)</w:t>
            </w:r>
            <w:r>
              <w:rPr>
                <w:rFonts w:ascii="Arial" w:cs="Arial" w:eastAsia="Arial" w:hAnsi="Arial"/>
                <w:sz w:val="21"/>
                <w:szCs w:val="21"/>
                <w:color w:val="auto"/>
                <w:vertAlign w:val="superscript"/>
              </w:rPr>
              <w:t>(9)</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5.8%</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1/19</w:t>
            </w:r>
          </w:p>
        </w:tc>
        <w:tc>
          <w:tcPr>
            <w:tcW w:w="16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Retail</w:t>
            </w:r>
          </w:p>
        </w:tc>
        <w:tc>
          <w:tcPr>
            <w:tcW w:w="16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19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Merisant Company</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4,547,032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4,538,541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4,547,032</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7.5%</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1/14</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Michael Foods Group, Inc. (f/k/a</w:t>
            </w:r>
          </w:p>
        </w:tc>
        <w:tc>
          <w:tcPr>
            <w:tcW w:w="160" w:type="dxa"/>
            <w:vAlign w:val="bottom"/>
            <w:shd w:val="clear" w:color="auto" w:fill="CCFFCC"/>
          </w:tcPr>
          <w:p>
            <w:pPr>
              <w:spacing w:after="0"/>
              <w:rPr>
                <w:sz w:val="11"/>
                <w:szCs w:val="11"/>
                <w:color w:val="auto"/>
              </w:rPr>
            </w:pPr>
          </w:p>
        </w:tc>
        <w:tc>
          <w:tcPr>
            <w:tcW w:w="238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 Term B</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1,825,626</w:t>
            </w:r>
          </w:p>
        </w:tc>
        <w:tc>
          <w:tcPr>
            <w:tcW w:w="1020" w:type="dxa"/>
            <w:vAlign w:val="bottom"/>
            <w:gridSpan w:val="2"/>
            <w:shd w:val="clear" w:color="auto" w:fill="CCFFCC"/>
          </w:tcPr>
          <w:p>
            <w:pPr>
              <w:jc w:val="right"/>
              <w:spacing w:after="0" w:line="130" w:lineRule="exact"/>
              <w:rPr>
                <w:sz w:val="20"/>
                <w:szCs w:val="20"/>
                <w:color w:val="auto"/>
              </w:rPr>
            </w:pPr>
            <w:r>
              <w:rPr>
                <w:rFonts w:ascii="Arial" w:cs="Arial" w:eastAsia="Arial" w:hAnsi="Arial"/>
                <w:sz w:val="14"/>
                <w:szCs w:val="14"/>
                <w:color w:val="auto"/>
              </w:rPr>
              <w:t>1,828,589</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1,838,934</w:t>
            </w:r>
          </w:p>
        </w:tc>
        <w:tc>
          <w:tcPr>
            <w:tcW w:w="0" w:type="dxa"/>
            <w:vAlign w:val="bottom"/>
          </w:tcPr>
          <w:p>
            <w:pPr>
              <w:spacing w:after="0"/>
              <w:rPr>
                <w:sz w:val="1"/>
                <w:szCs w:val="1"/>
                <w:color w:val="auto"/>
              </w:rPr>
            </w:pPr>
          </w:p>
        </w:tc>
      </w:tr>
      <w:tr>
        <w:trPr>
          <w:trHeight w:val="181"/>
        </w:trPr>
        <w:tc>
          <w:tcPr>
            <w:tcW w:w="2500" w:type="dxa"/>
            <w:vAlign w:val="bottom"/>
            <w:shd w:val="clear" w:color="auto" w:fill="CCFFCC"/>
          </w:tcPr>
          <w:p>
            <w:pPr>
              <w:ind w:left="200"/>
              <w:spacing w:after="0" w:line="181" w:lineRule="exact"/>
              <w:rPr>
                <w:sz w:val="20"/>
                <w:szCs w:val="20"/>
                <w:color w:val="auto"/>
              </w:rPr>
            </w:pPr>
            <w:r>
              <w:rPr>
                <w:rFonts w:ascii="Arial" w:cs="Arial" w:eastAsia="Arial" w:hAnsi="Arial"/>
                <w:sz w:val="13"/>
                <w:szCs w:val="13"/>
                <w:color w:val="auto"/>
              </w:rPr>
              <w:t>M-Foods Holdings, Inc.)</w:t>
            </w:r>
            <w:r>
              <w:rPr>
                <w:rFonts w:ascii="Arial" w:cs="Arial" w:eastAsia="Arial" w:hAnsi="Arial"/>
                <w:sz w:val="20"/>
                <w:szCs w:val="20"/>
                <w:color w:val="auto"/>
                <w:vertAlign w:val="superscript"/>
              </w:rPr>
              <w:t>(9)</w:t>
            </w:r>
          </w:p>
        </w:tc>
        <w:tc>
          <w:tcPr>
            <w:tcW w:w="160" w:type="dxa"/>
            <w:vAlign w:val="bottom"/>
            <w:shd w:val="clear" w:color="auto" w:fill="CCFFCC"/>
          </w:tcPr>
          <w:p>
            <w:pPr>
              <w:spacing w:after="0"/>
              <w:rPr>
                <w:sz w:val="15"/>
                <w:szCs w:val="15"/>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Facility</w:t>
            </w: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4.3%</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Neiman Marcus Group Inc., The</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Term Loan</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1,985,894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2,005,800</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Retail</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4.8%</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Pegasus Solutions, Inc.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Subordinated Bond — Senior</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1,691,007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1,691,007</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1,671,391</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Hotel, Gaming &amp; Leisure</w:t>
            </w:r>
          </w:p>
        </w:tc>
        <w:tc>
          <w:tcPr>
            <w:tcW w:w="160" w:type="dxa"/>
            <w:vAlign w:val="bottom"/>
            <w:shd w:val="clear" w:color="auto" w:fill="CCFFCC"/>
          </w:tcPr>
          <w:p>
            <w:pPr>
              <w:spacing w:after="0"/>
              <w:rPr>
                <w:sz w:val="12"/>
                <w:szCs w:val="12"/>
                <w:color w:val="auto"/>
              </w:rPr>
            </w:pPr>
          </w:p>
        </w:tc>
        <w:tc>
          <w:tcPr>
            <w:tcW w:w="23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w w:val="98"/>
              </w:rPr>
              <w:t>Subordinated Second Lien PIK Notes</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13.0% PIK, Due 4/14</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Preferred Stock — Preferred Stock</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371,160</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14.0% PIK, Due 4/14</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PetCo Animal Supplies, Inc.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New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2,018,220</w:t>
            </w: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Retail</w:t>
            </w: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4.5%</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Pinnacle Foods Finance LLC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gridSpan w:val="2"/>
          </w:tcPr>
          <w:p>
            <w:pPr>
              <w:ind w:left="80"/>
              <w:spacing w:after="0"/>
              <w:rPr>
                <w:sz w:val="20"/>
                <w:szCs w:val="20"/>
                <w:color w:val="auto"/>
              </w:rPr>
            </w:pPr>
            <w:r>
              <w:rPr>
                <w:rFonts w:ascii="Arial" w:cs="Arial" w:eastAsia="Arial" w:hAnsi="Arial"/>
                <w:sz w:val="14"/>
                <w:szCs w:val="14"/>
                <w:color w:val="auto"/>
              </w:rPr>
              <w:t>Senior Secured Loan — Extended</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293,014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293,014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295,025</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160" w:type="dxa"/>
            <w:vAlign w:val="bottom"/>
          </w:tcPr>
          <w:p>
            <w:pPr>
              <w:spacing w:after="0"/>
              <w:rPr>
                <w:sz w:val="12"/>
                <w:szCs w:val="12"/>
                <w:color w:val="auto"/>
              </w:rPr>
            </w:pPr>
          </w:p>
        </w:tc>
        <w:tc>
          <w:tcPr>
            <w:tcW w:w="23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w w:val="93"/>
              </w:rPr>
              <w:t>3.7%</w:t>
            </w:r>
          </w:p>
        </w:tc>
        <w:tc>
          <w:tcPr>
            <w:tcW w:w="1980" w:type="dxa"/>
            <w:vAlign w:val="bottom"/>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Pinnacle Foods Finance LLC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ind w:left="80"/>
              <w:spacing w:after="0"/>
              <w:rPr>
                <w:sz w:val="20"/>
                <w:szCs w:val="20"/>
                <w:color w:val="auto"/>
              </w:rPr>
            </w:pPr>
            <w:r>
              <w:rPr>
                <w:rFonts w:ascii="Arial" w:cs="Arial" w:eastAsia="Arial" w:hAnsi="Arial"/>
                <w:sz w:val="14"/>
                <w:szCs w:val="14"/>
                <w:color w:val="auto"/>
              </w:rPr>
              <w:t>Senior Secured Loan — Extended</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1,989,975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1,988,656</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2,003,636</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160" w:type="dxa"/>
            <w:vAlign w:val="bottom"/>
            <w:shd w:val="clear" w:color="auto" w:fill="CCFFCC"/>
          </w:tcPr>
          <w:p>
            <w:pPr>
              <w:spacing w:after="0"/>
              <w:rPr>
                <w:sz w:val="12"/>
                <w:szCs w:val="12"/>
                <w:color w:val="auto"/>
              </w:rPr>
            </w:pPr>
          </w:p>
        </w:tc>
        <w:tc>
          <w:tcPr>
            <w:tcW w:w="23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Initial Term Loan</w:t>
            </w: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56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w w:val="93"/>
              </w:rPr>
              <w:t>3.7%</w:t>
            </w:r>
          </w:p>
        </w:tc>
        <w:tc>
          <w:tcPr>
            <w:tcW w:w="1980" w:type="dxa"/>
            <w:vAlign w:val="bottom"/>
            <w:shd w:val="clear" w:color="auto" w:fill="CCFFCC"/>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-7237095</wp:posOffset>
            </wp:positionV>
            <wp:extent cx="5213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75"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2500" w:type="dxa"/>
            <w:vAlign w:val="bottom"/>
          </w:tcPr>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Fair Value</w:t>
            </w:r>
            <w:r>
              <w:rPr>
                <w:rFonts w:ascii="Arial" w:cs="Arial" w:eastAsia="Arial" w:hAnsi="Arial"/>
                <w:sz w:val="23"/>
                <w:szCs w:val="23"/>
                <w:b w:val="1"/>
                <w:bCs w:val="1"/>
                <w:color w:val="auto"/>
                <w:w w:val="91"/>
                <w:vertAlign w:val="superscript"/>
              </w:rPr>
              <w:t>(2)</w:t>
            </w:r>
          </w:p>
        </w:tc>
        <w:tc>
          <w:tcPr>
            <w:tcW w:w="0" w:type="dxa"/>
            <w:vAlign w:val="bottom"/>
          </w:tcPr>
          <w:p>
            <w:pPr>
              <w:spacing w:after="0"/>
              <w:rPr>
                <w:sz w:val="1"/>
                <w:szCs w:val="1"/>
                <w:color w:val="auto"/>
              </w:rPr>
            </w:pPr>
          </w:p>
        </w:tc>
      </w:tr>
      <w:tr>
        <w:trPr>
          <w:trHeight w:val="112"/>
        </w:trPr>
        <w:tc>
          <w:tcPr>
            <w:tcW w:w="2500" w:type="dxa"/>
            <w:vAlign w:val="bottom"/>
          </w:tcPr>
          <w:p>
            <w:pPr>
              <w:ind w:left="20"/>
              <w:spacing w:after="0" w:line="113" w:lineRule="exact"/>
              <w:rPr>
                <w:sz w:val="20"/>
                <w:szCs w:val="20"/>
                <w:color w:val="auto"/>
              </w:rPr>
            </w:pPr>
            <w:r>
              <w:rPr>
                <w:rFonts w:ascii="Arial" w:cs="Arial" w:eastAsia="Arial" w:hAnsi="Arial"/>
                <w:sz w:val="13"/>
                <w:szCs w:val="13"/>
                <w:b w:val="1"/>
                <w:bCs w:val="1"/>
                <w:color w:val="auto"/>
              </w:rPr>
              <w:t>Portfolio Company/</w:t>
            </w:r>
          </w:p>
        </w:tc>
        <w:tc>
          <w:tcPr>
            <w:tcW w:w="160" w:type="dxa"/>
            <w:vAlign w:val="bottom"/>
          </w:tcPr>
          <w:p>
            <w:pPr>
              <w:spacing w:after="0"/>
              <w:rPr>
                <w:sz w:val="9"/>
                <w:szCs w:val="9"/>
                <w:color w:val="auto"/>
              </w:rPr>
            </w:pPr>
          </w:p>
        </w:tc>
        <w:tc>
          <w:tcPr>
            <w:tcW w:w="2380" w:type="dxa"/>
            <w:vAlign w:val="bottom"/>
          </w:tcPr>
          <w:p>
            <w:pPr>
              <w:ind w:left="840"/>
              <w:spacing w:after="0" w:line="113" w:lineRule="exact"/>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right"/>
              <w:ind w:right="140"/>
              <w:spacing w:after="0" w:line="113"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ind w:left="220"/>
              <w:spacing w:after="0" w:line="113" w:lineRule="exact"/>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380" w:type="dxa"/>
            <w:vAlign w:val="bottom"/>
            <w:tcBorders>
              <w:bottom w:val="single" w:sz="8" w:color="auto"/>
            </w:tcBorders>
          </w:tcPr>
          <w:p>
            <w:pPr>
              <w:ind w:left="42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00" w:type="dxa"/>
            <w:vAlign w:val="bottom"/>
            <w:shd w:val="clear" w:color="auto" w:fill="CCFFCC"/>
          </w:tcPr>
          <w:p>
            <w:pPr>
              <w:ind w:left="20"/>
              <w:spacing w:after="0" w:line="164" w:lineRule="exact"/>
              <w:rPr>
                <w:sz w:val="20"/>
                <w:szCs w:val="20"/>
                <w:color w:val="auto"/>
              </w:rPr>
            </w:pPr>
            <w:r>
              <w:rPr>
                <w:rFonts w:ascii="Arial" w:cs="Arial" w:eastAsia="Arial" w:hAnsi="Arial"/>
                <w:sz w:val="12"/>
                <w:szCs w:val="12"/>
                <w:color w:val="auto"/>
              </w:rPr>
              <w:t>TPF Generation Holdings, LLC</w:t>
            </w:r>
            <w:r>
              <w:rPr>
                <w:rFonts w:ascii="Arial" w:cs="Arial" w:eastAsia="Arial" w:hAnsi="Arial"/>
                <w:sz w:val="18"/>
                <w:szCs w:val="18"/>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w w:val="97"/>
              </w:rPr>
              <w:t>Senior Secured Loan — Synthetic LC</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169,532</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169,280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169,956</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Utilities: Electric</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Deposit (First Lien)</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2.3% Cash, Due 12/13</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tcPr>
          <w:p>
            <w:pPr>
              <w:ind w:left="20"/>
              <w:spacing w:after="0" w:line="130" w:lineRule="exact"/>
              <w:rPr>
                <w:sz w:val="20"/>
                <w:szCs w:val="20"/>
                <w:color w:val="auto"/>
              </w:rPr>
            </w:pPr>
            <w:r>
              <w:rPr>
                <w:rFonts w:ascii="Arial" w:cs="Arial" w:eastAsia="Arial" w:hAnsi="Arial"/>
                <w:sz w:val="14"/>
                <w:szCs w:val="14"/>
                <w:color w:val="auto"/>
              </w:rPr>
              <w:t>TriZetto Group, Inc. (TZ Merger Sub,</w:t>
            </w:r>
          </w:p>
        </w:tc>
        <w:tc>
          <w:tcPr>
            <w:tcW w:w="160" w:type="dxa"/>
            <w:vAlign w:val="bottom"/>
          </w:tcPr>
          <w:p>
            <w:pPr>
              <w:spacing w:after="0"/>
              <w:rPr>
                <w:sz w:val="11"/>
                <w:szCs w:val="11"/>
                <w:color w:val="auto"/>
              </w:rPr>
            </w:pPr>
          </w:p>
        </w:tc>
        <w:tc>
          <w:tcPr>
            <w:tcW w:w="2380" w:type="dxa"/>
            <w:vAlign w:val="bottom"/>
          </w:tcPr>
          <w:p>
            <w:pPr>
              <w:ind w:left="80"/>
              <w:spacing w:after="0" w:line="130" w:lineRule="exact"/>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1,959,860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1,951,082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1,948,013</w:t>
            </w:r>
          </w:p>
        </w:tc>
        <w:tc>
          <w:tcPr>
            <w:tcW w:w="0" w:type="dxa"/>
            <w:vAlign w:val="bottom"/>
          </w:tcPr>
          <w:p>
            <w:pPr>
              <w:spacing w:after="0"/>
              <w:rPr>
                <w:sz w:val="1"/>
                <w:szCs w:val="1"/>
                <w:color w:val="auto"/>
              </w:rPr>
            </w:pPr>
          </w:p>
        </w:tc>
      </w:tr>
      <w:tr>
        <w:trPr>
          <w:trHeight w:val="189"/>
        </w:trPr>
        <w:tc>
          <w:tcPr>
            <w:tcW w:w="2500" w:type="dxa"/>
            <w:vAlign w:val="bottom"/>
          </w:tcPr>
          <w:p>
            <w:pPr>
              <w:ind w:left="200"/>
              <w:spacing w:after="0" w:line="189" w:lineRule="exact"/>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(9)</w:t>
            </w:r>
          </w:p>
        </w:tc>
        <w:tc>
          <w:tcPr>
            <w:tcW w:w="160" w:type="dxa"/>
            <w:vAlign w:val="bottom"/>
          </w:tcPr>
          <w:p>
            <w:pPr>
              <w:spacing w:after="0"/>
              <w:rPr>
                <w:sz w:val="16"/>
                <w:szCs w:val="16"/>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4.8% Cash, Due 5/18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High Tech Industries</w:t>
            </w: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TRSO I, Inc.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Junior Secured Loan — Term Loan</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10,400,000</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10,192,913</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10,192,000</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Energy: Oil &amp; Gas</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(Second Lien)</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11.0% Cash, Due 12/17</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TUI University, LLC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2,051,442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2,024,477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1,751,521</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Services: Consumer</w:t>
            </w:r>
          </w:p>
        </w:tc>
        <w:tc>
          <w:tcPr>
            <w:tcW w:w="16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7.3% Cash, Due 10/14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TWCC Holding Corp.</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1,966,350</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1,978,846</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1,990,930</w:t>
            </w: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Media: Broadcasting &amp; Subscription</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4.3% Cash, Due 2/17</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Univar Inc.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w w:val="97"/>
              </w:rPr>
              <w:t>Senior Secured Loan — Term B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2,954,773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2,954,773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2,950,577</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Chemicals, Plastics and Rubber</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5.0% Cash, Due 6/17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0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US Foods, Inc. (aka U.S. Foodservice,</w:t>
            </w:r>
          </w:p>
        </w:tc>
        <w:tc>
          <w:tcPr>
            <w:tcW w:w="160" w:type="dxa"/>
            <w:vAlign w:val="bottom"/>
            <w:shd w:val="clear" w:color="auto" w:fill="CCFFCC"/>
          </w:tcPr>
          <w:p>
            <w:pPr>
              <w:spacing w:after="0"/>
              <w:rPr>
                <w:sz w:val="11"/>
                <w:szCs w:val="11"/>
                <w:color w:val="auto"/>
              </w:rPr>
            </w:pPr>
          </w:p>
        </w:tc>
        <w:tc>
          <w:tcPr>
            <w:tcW w:w="2380" w:type="dxa"/>
            <w:vAlign w:val="bottom"/>
            <w:shd w:val="clear" w:color="auto" w:fill="CCFFCC"/>
          </w:tcPr>
          <w:p>
            <w:pPr>
              <w:ind w:left="80"/>
              <w:spacing w:after="0" w:line="130" w:lineRule="exact"/>
              <w:rPr>
                <w:sz w:val="20"/>
                <w:szCs w:val="20"/>
                <w:color w:val="auto"/>
              </w:rPr>
            </w:pPr>
            <w:r>
              <w:rPr>
                <w:rFonts w:ascii="Arial" w:cs="Arial" w:eastAsia="Arial" w:hAnsi="Arial"/>
                <w:sz w:val="14"/>
                <w:szCs w:val="14"/>
                <w:color w:val="auto"/>
              </w:rPr>
              <w:t>Senior Secured Loan —</w:t>
            </w:r>
          </w:p>
        </w:tc>
        <w:tc>
          <w:tcPr>
            <w:tcW w:w="1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1,978,284</w:t>
            </w:r>
          </w:p>
        </w:tc>
        <w:tc>
          <w:tcPr>
            <w:tcW w:w="1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1,932,524</w:t>
            </w:r>
          </w:p>
        </w:tc>
        <w:tc>
          <w:tcPr>
            <w:tcW w:w="1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1,983,536</w:t>
            </w:r>
          </w:p>
        </w:tc>
        <w:tc>
          <w:tcPr>
            <w:tcW w:w="0" w:type="dxa"/>
            <w:vAlign w:val="bottom"/>
          </w:tcPr>
          <w:p>
            <w:pPr>
              <w:spacing w:after="0"/>
              <w:rPr>
                <w:sz w:val="1"/>
                <w:szCs w:val="1"/>
                <w:color w:val="auto"/>
              </w:rPr>
            </w:pPr>
          </w:p>
        </w:tc>
      </w:tr>
      <w:tr>
        <w:trPr>
          <w:trHeight w:val="181"/>
        </w:trPr>
        <w:tc>
          <w:tcPr>
            <w:tcW w:w="2500" w:type="dxa"/>
            <w:vAlign w:val="bottom"/>
            <w:shd w:val="clear" w:color="auto" w:fill="CCFFCC"/>
          </w:tcPr>
          <w:p>
            <w:pPr>
              <w:ind w:left="200"/>
              <w:spacing w:after="0" w:line="181" w:lineRule="exact"/>
              <w:rPr>
                <w:sz w:val="20"/>
                <w:szCs w:val="20"/>
                <w:color w:val="auto"/>
              </w:rPr>
            </w:pPr>
            <w:r>
              <w:rPr>
                <w:rFonts w:ascii="Arial" w:cs="Arial" w:eastAsia="Arial" w:hAnsi="Arial"/>
                <w:sz w:val="13"/>
                <w:szCs w:val="13"/>
                <w:color w:val="auto"/>
              </w:rPr>
              <w:t>Inc.)</w:t>
            </w:r>
            <w:r>
              <w:rPr>
                <w:rFonts w:ascii="Arial" w:cs="Arial" w:eastAsia="Arial" w:hAnsi="Arial"/>
                <w:sz w:val="20"/>
                <w:szCs w:val="20"/>
                <w:color w:val="auto"/>
                <w:vertAlign w:val="superscript"/>
              </w:rPr>
              <w:t>(9)</w:t>
            </w:r>
          </w:p>
        </w:tc>
        <w:tc>
          <w:tcPr>
            <w:tcW w:w="160" w:type="dxa"/>
            <w:vAlign w:val="bottom"/>
            <w:shd w:val="clear" w:color="auto" w:fill="CCFFCC"/>
          </w:tcPr>
          <w:p>
            <w:pPr>
              <w:spacing w:after="0"/>
              <w:rPr>
                <w:sz w:val="15"/>
                <w:szCs w:val="15"/>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Extended Term Loan</w:t>
            </w:r>
          </w:p>
        </w:tc>
        <w:tc>
          <w:tcPr>
            <w:tcW w:w="1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Beverage, Food and Tobacco</w:t>
            </w:r>
          </w:p>
        </w:tc>
        <w:tc>
          <w:tcPr>
            <w:tcW w:w="160" w:type="dxa"/>
            <w:vAlign w:val="bottom"/>
            <w:shd w:val="clear" w:color="auto" w:fill="CCFFCC"/>
          </w:tcPr>
          <w:p>
            <w:pPr>
              <w:spacing w:after="0"/>
              <w:rPr>
                <w:sz w:val="15"/>
                <w:szCs w:val="15"/>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5.8% Cash, Due 3/17</w:t>
            </w:r>
          </w:p>
        </w:tc>
        <w:tc>
          <w:tcPr>
            <w:tcW w:w="1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Vertafore, Inc.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1,237,381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1,232,977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1,250,275</w:t>
            </w:r>
          </w:p>
        </w:tc>
        <w:tc>
          <w:tcPr>
            <w:tcW w:w="0" w:type="dxa"/>
            <w:vAlign w:val="bottom"/>
          </w:tcPr>
          <w:p>
            <w:pPr>
              <w:spacing w:after="0"/>
              <w:rPr>
                <w:sz w:val="1"/>
                <w:szCs w:val="1"/>
                <w:color w:val="auto"/>
              </w:rPr>
            </w:pPr>
          </w:p>
        </w:tc>
      </w:tr>
      <w:tr>
        <w:trPr>
          <w:trHeight w:val="149"/>
        </w:trPr>
        <w:tc>
          <w:tcPr>
            <w:tcW w:w="250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High Tech Industries</w:t>
            </w:r>
          </w:p>
        </w:tc>
        <w:tc>
          <w:tcPr>
            <w:tcW w:w="160" w:type="dxa"/>
            <w:vAlign w:val="bottom"/>
          </w:tcPr>
          <w:p>
            <w:pPr>
              <w:spacing w:after="0"/>
              <w:rPr>
                <w:sz w:val="12"/>
                <w:szCs w:val="12"/>
                <w:color w:val="auto"/>
              </w:rPr>
            </w:pPr>
          </w:p>
        </w:tc>
        <w:tc>
          <w:tcPr>
            <w:tcW w:w="2380" w:type="dxa"/>
            <w:vAlign w:val="bottom"/>
          </w:tcPr>
          <w:p>
            <w:pPr>
              <w:ind w:left="80"/>
              <w:spacing w:after="0" w:line="149"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5.3% Cash, Due 7/16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Wholesome Sweeteners, Inc.</w:t>
            </w:r>
            <w:r>
              <w:rPr>
                <w:rFonts w:ascii="Arial" w:cs="Arial" w:eastAsia="Arial" w:hAnsi="Arial"/>
                <w:sz w:val="19"/>
                <w:szCs w:val="19"/>
                <w:color w:val="auto"/>
                <w:vertAlign w:val="superscript"/>
              </w:rPr>
              <w:t>(9)</w:t>
            </w: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Junior Secured Loan —</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6,648,596</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6,605,857</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6,715,082</w:t>
            </w:r>
          </w:p>
        </w:tc>
        <w:tc>
          <w:tcPr>
            <w:tcW w:w="0" w:type="dxa"/>
            <w:vAlign w:val="bottom"/>
          </w:tcPr>
          <w:p>
            <w:pPr>
              <w:spacing w:after="0"/>
              <w:rPr>
                <w:sz w:val="1"/>
                <w:szCs w:val="1"/>
                <w:color w:val="auto"/>
              </w:rPr>
            </w:pPr>
          </w:p>
        </w:tc>
      </w:tr>
      <w:tr>
        <w:trPr>
          <w:trHeight w:val="149"/>
        </w:trPr>
        <w:tc>
          <w:tcPr>
            <w:tcW w:w="250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160" w:type="dxa"/>
            <w:vAlign w:val="bottom"/>
            <w:shd w:val="clear" w:color="auto" w:fill="CCFFCC"/>
          </w:tcPr>
          <w:p>
            <w:pPr>
              <w:spacing w:after="0"/>
              <w:rPr>
                <w:sz w:val="12"/>
                <w:szCs w:val="12"/>
                <w:color w:val="auto"/>
              </w:rPr>
            </w:pPr>
          </w:p>
        </w:tc>
        <w:tc>
          <w:tcPr>
            <w:tcW w:w="2380" w:type="dxa"/>
            <w:vAlign w:val="bottom"/>
            <w:shd w:val="clear" w:color="auto" w:fill="CCFFCC"/>
          </w:tcPr>
          <w:p>
            <w:pPr>
              <w:ind w:left="80"/>
              <w:spacing w:after="0" w:line="149" w:lineRule="exact"/>
              <w:rPr>
                <w:sz w:val="20"/>
                <w:szCs w:val="20"/>
                <w:color w:val="auto"/>
              </w:rPr>
            </w:pPr>
            <w:r>
              <w:rPr>
                <w:rFonts w:ascii="Arial" w:cs="Arial" w:eastAsia="Arial" w:hAnsi="Arial"/>
                <w:sz w:val="14"/>
                <w:szCs w:val="14"/>
                <w:color w:val="auto"/>
              </w:rPr>
              <w:t>Subordinated Note (Second Lien)</w:t>
            </w: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2380" w:type="dxa"/>
            <w:vAlign w:val="bottom"/>
            <w:shd w:val="clear" w:color="auto" w:fill="CCFFCC"/>
          </w:tcPr>
          <w:p>
            <w:pPr>
              <w:ind w:left="80"/>
              <w:spacing w:after="0"/>
              <w:rPr>
                <w:sz w:val="20"/>
                <w:szCs w:val="20"/>
                <w:color w:val="auto"/>
              </w:rPr>
            </w:pPr>
            <w:r>
              <w:rPr>
                <w:rFonts w:ascii="Arial" w:cs="Arial" w:eastAsia="Arial" w:hAnsi="Arial"/>
                <w:sz w:val="14"/>
                <w:szCs w:val="14"/>
                <w:color w:val="auto"/>
              </w:rPr>
              <w:t>14.0% Cash, Due 10/17</w:t>
            </w: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1" w:lineRule="exact"/>
              <w:rPr>
                <w:sz w:val="20"/>
                <w:szCs w:val="20"/>
                <w:color w:val="auto"/>
              </w:rPr>
            </w:pPr>
            <w:r>
              <w:rPr>
                <w:rFonts w:ascii="Arial" w:cs="Arial" w:eastAsia="Arial" w:hAnsi="Arial"/>
                <w:sz w:val="12"/>
                <w:szCs w:val="12"/>
                <w:color w:val="auto"/>
              </w:rPr>
              <w:t>WireCo WorldGroup Inc.</w:t>
            </w:r>
            <w:r>
              <w:rPr>
                <w:rFonts w:ascii="Arial" w:cs="Arial" w:eastAsia="Arial" w:hAnsi="Arial"/>
                <w:sz w:val="19"/>
                <w:szCs w:val="19"/>
                <w:color w:val="auto"/>
                <w:vertAlign w:val="superscript"/>
              </w:rPr>
              <w:t>(9)</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Senior Unsecured Bond —</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8,000,000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7,920,733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8,320,000</w:t>
            </w:r>
          </w:p>
        </w:tc>
        <w:tc>
          <w:tcPr>
            <w:tcW w:w="0" w:type="dxa"/>
            <w:vAlign w:val="bottom"/>
          </w:tcPr>
          <w:p>
            <w:pPr>
              <w:spacing w:after="0"/>
              <w:rPr>
                <w:sz w:val="1"/>
                <w:szCs w:val="1"/>
                <w:color w:val="auto"/>
              </w:rPr>
            </w:pPr>
          </w:p>
        </w:tc>
      </w:tr>
      <w:tr>
        <w:trPr>
          <w:trHeight w:val="167"/>
        </w:trPr>
        <w:tc>
          <w:tcPr>
            <w:tcW w:w="2500" w:type="dxa"/>
            <w:vAlign w:val="bottom"/>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tcPr>
          <w:p>
            <w:pPr>
              <w:spacing w:after="0"/>
              <w:rPr>
                <w:sz w:val="14"/>
                <w:szCs w:val="14"/>
                <w:color w:val="auto"/>
              </w:rPr>
            </w:pPr>
          </w:p>
        </w:tc>
        <w:tc>
          <w:tcPr>
            <w:tcW w:w="2380" w:type="dxa"/>
            <w:vAlign w:val="bottom"/>
          </w:tcPr>
          <w:p>
            <w:pPr>
              <w:ind w:left="80"/>
              <w:spacing w:after="0"/>
              <w:rPr>
                <w:sz w:val="20"/>
                <w:szCs w:val="20"/>
                <w:color w:val="auto"/>
              </w:rPr>
            </w:pPr>
            <w:r>
              <w:rPr>
                <w:rFonts w:ascii="Arial" w:cs="Arial" w:eastAsia="Arial" w:hAnsi="Arial"/>
                <w:sz w:val="14"/>
                <w:szCs w:val="14"/>
                <w:color w:val="auto"/>
              </w:rPr>
              <w:t>11.8% Cash, Due 5/17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00" w:type="dxa"/>
            <w:vAlign w:val="bottom"/>
            <w:shd w:val="clear" w:color="auto" w:fill="CCFFCC"/>
          </w:tcPr>
          <w:p>
            <w:pPr>
              <w:ind w:left="20"/>
              <w:spacing w:after="0" w:line="119" w:lineRule="exact"/>
              <w:rPr>
                <w:sz w:val="20"/>
                <w:szCs w:val="20"/>
                <w:color w:val="auto"/>
              </w:rPr>
            </w:pPr>
            <w:r>
              <w:rPr>
                <w:rFonts w:ascii="Arial" w:cs="Arial" w:eastAsia="Arial" w:hAnsi="Arial"/>
                <w:sz w:val="13"/>
                <w:szCs w:val="13"/>
                <w:b w:val="1"/>
                <w:bCs w:val="1"/>
                <w:color w:val="auto"/>
              </w:rPr>
              <w:t>Total Investment in Debt Securities</w:t>
            </w:r>
          </w:p>
        </w:tc>
        <w:tc>
          <w:tcPr>
            <w:tcW w:w="160" w:type="dxa"/>
            <w:vAlign w:val="bottom"/>
            <w:shd w:val="clear" w:color="auto" w:fill="CCFFCC"/>
          </w:tcPr>
          <w:p>
            <w:pPr>
              <w:spacing w:after="0"/>
              <w:rPr>
                <w:sz w:val="10"/>
                <w:szCs w:val="10"/>
                <w:color w:val="auto"/>
              </w:rPr>
            </w:pPr>
          </w:p>
        </w:tc>
        <w:tc>
          <w:tcPr>
            <w:tcW w:w="238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spacing w:after="0" w:line="119"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w w:val="99"/>
              </w:rPr>
              <w:t>136,283,876</w:t>
            </w:r>
          </w:p>
        </w:tc>
        <w:tc>
          <w:tcPr>
            <w:tcW w:w="240" w:type="dxa"/>
            <w:vAlign w:val="bottom"/>
            <w:gridSpan w:val="2"/>
            <w:shd w:val="clear" w:color="auto" w:fill="CCFFCC"/>
          </w:tcPr>
          <w:p>
            <w:pPr>
              <w:jc w:val="right"/>
              <w:spacing w:after="0" w:line="119"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w w:val="99"/>
              </w:rPr>
              <w:t>134,377,151</w:t>
            </w:r>
          </w:p>
        </w:tc>
        <w:tc>
          <w:tcPr>
            <w:tcW w:w="260" w:type="dxa"/>
            <w:vAlign w:val="bottom"/>
            <w:gridSpan w:val="2"/>
            <w:shd w:val="clear" w:color="auto" w:fill="CCFFCC"/>
          </w:tcPr>
          <w:p>
            <w:pPr>
              <w:jc w:val="right"/>
              <w:ind w:right="20"/>
              <w:spacing w:after="0" w:line="119"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111,037,882</w:t>
            </w:r>
          </w:p>
        </w:tc>
        <w:tc>
          <w:tcPr>
            <w:tcW w:w="0" w:type="dxa"/>
            <w:vAlign w:val="bottom"/>
          </w:tcPr>
          <w:p>
            <w:pPr>
              <w:spacing w:after="0"/>
              <w:rPr>
                <w:sz w:val="1"/>
                <w:szCs w:val="1"/>
                <w:color w:val="auto"/>
              </w:rPr>
            </w:pPr>
          </w:p>
        </w:tc>
      </w:tr>
      <w:tr>
        <w:trPr>
          <w:trHeight w:val="171"/>
        </w:trPr>
        <w:tc>
          <w:tcPr>
            <w:tcW w:w="25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b w:val="1"/>
                <w:bCs w:val="1"/>
                <w:color w:val="auto"/>
                <w:w w:val="94"/>
              </w:rPr>
              <w:t>(53% of net asset value at fair value)</w:t>
            </w:r>
          </w:p>
        </w:tc>
        <w:tc>
          <w:tcPr>
            <w:tcW w:w="160" w:type="dxa"/>
            <w:vAlign w:val="bottom"/>
            <w:tcBorders>
              <w:bottom w:val="single" w:sz="8" w:color="CCFFCC"/>
            </w:tcBorders>
            <w:shd w:val="clear" w:color="auto" w:fill="CCFFCC"/>
          </w:tcPr>
          <w:p>
            <w:pPr>
              <w:spacing w:after="0"/>
              <w:rPr>
                <w:sz w:val="14"/>
                <w:szCs w:val="14"/>
                <w:color w:val="auto"/>
              </w:rPr>
            </w:pPr>
          </w:p>
        </w:tc>
        <w:tc>
          <w:tcPr>
            <w:tcW w:w="238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2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-3309620</wp:posOffset>
            </wp:positionV>
            <wp:extent cx="52139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ind w:left="60"/>
              <w:spacing w:after="0"/>
              <w:rPr>
                <w:sz w:val="20"/>
                <w:szCs w:val="20"/>
                <w:color w:val="auto"/>
              </w:rPr>
            </w:pPr>
            <w:r>
              <w:rPr>
                <w:rFonts w:ascii="Arial" w:cs="Arial" w:eastAsia="Arial" w:hAnsi="Arial"/>
                <w:sz w:val="18"/>
                <w:szCs w:val="18"/>
                <w:b w:val="1"/>
                <w:bCs w:val="1"/>
                <w:color w:val="auto"/>
              </w:rPr>
              <w:t>Equity Securities Portfolio</w:t>
            </w:r>
          </w:p>
        </w:tc>
        <w:tc>
          <w:tcPr>
            <w:tcW w:w="160" w:type="dxa"/>
            <w:vAlign w:val="bottom"/>
          </w:tcPr>
          <w:p>
            <w:pPr>
              <w:spacing w:after="0"/>
              <w:rPr>
                <w:sz w:val="17"/>
                <w:szCs w:val="17"/>
                <w:color w:val="auto"/>
              </w:rPr>
            </w:pPr>
          </w:p>
        </w:tc>
        <w:tc>
          <w:tcPr>
            <w:tcW w:w="17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7"/>
                <w:szCs w:val="17"/>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49"/>
        </w:trPr>
        <w:tc>
          <w:tcPr>
            <w:tcW w:w="29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Portfolio Company/Principal Business</w:t>
            </w:r>
          </w:p>
        </w:tc>
        <w:tc>
          <w:tcPr>
            <w:tcW w:w="16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Interest/Shares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20" w:type="dxa"/>
            <w:vAlign w:val="bottom"/>
            <w:shd w:val="clear" w:color="auto" w:fill="CCFFCC"/>
          </w:tcPr>
          <w:p>
            <w:pPr>
              <w:ind w:left="20"/>
              <w:spacing w:after="0" w:line="163"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(5), (9)</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Partnership Interests</w:t>
            </w:r>
          </w:p>
        </w:tc>
        <w:tc>
          <w:tcPr>
            <w:tcW w:w="124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1.2%</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1,000,000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92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color w:val="auto"/>
                <w:w w:val="93"/>
              </w:rPr>
              <w:t>Series A Preferred Interests</w:t>
            </w: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250,961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44,112</w:t>
            </w:r>
          </w:p>
        </w:tc>
        <w:tc>
          <w:tcPr>
            <w:tcW w:w="0" w:type="dxa"/>
            <w:vAlign w:val="bottom"/>
          </w:tcPr>
          <w:p>
            <w:pPr>
              <w:spacing w:after="0"/>
              <w:rPr>
                <w:sz w:val="1"/>
                <w:szCs w:val="1"/>
                <w:color w:val="auto"/>
              </w:rPr>
            </w:pPr>
          </w:p>
        </w:tc>
      </w:tr>
      <w:tr>
        <w:trPr>
          <w:trHeight w:val="167"/>
        </w:trPr>
        <w:tc>
          <w:tcPr>
            <w:tcW w:w="2920" w:type="dxa"/>
            <w:vAlign w:val="bottom"/>
          </w:tcPr>
          <w:p>
            <w:pPr>
              <w:ind w:left="200"/>
              <w:spacing w:after="0"/>
              <w:rPr>
                <w:sz w:val="20"/>
                <w:szCs w:val="20"/>
                <w:color w:val="auto"/>
              </w:rPr>
            </w:pPr>
            <w:r>
              <w:rPr>
                <w:rFonts w:ascii="Arial" w:cs="Arial" w:eastAsia="Arial" w:hAnsi="Arial"/>
                <w:sz w:val="14"/>
                <w:szCs w:val="14"/>
                <w:i w:val="1"/>
                <w:iCs w:val="1"/>
                <w:color w:val="auto"/>
              </w:rPr>
              <w:t>Aerospace and Defense</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Common Stock</w:t>
            </w:r>
          </w:p>
        </w:tc>
        <w:tc>
          <w:tcPr>
            <w:tcW w:w="124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218,592</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92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color w:val="auto"/>
              </w:rPr>
              <w:t>Warrants</w:t>
            </w: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920" w:type="dxa"/>
            <w:vAlign w:val="bottom"/>
          </w:tcPr>
          <w:p>
            <w:pPr>
              <w:ind w:left="200"/>
              <w:spacing w:after="0"/>
              <w:rPr>
                <w:sz w:val="20"/>
                <w:szCs w:val="20"/>
                <w:color w:val="auto"/>
              </w:rPr>
            </w:pPr>
            <w:r>
              <w:rPr>
                <w:rFonts w:ascii="Arial" w:cs="Arial" w:eastAsia="Arial" w:hAnsi="Arial"/>
                <w:sz w:val="14"/>
                <w:szCs w:val="14"/>
                <w:i w:val="1"/>
                <w:iCs w:val="1"/>
                <w:color w:val="auto"/>
              </w:rPr>
              <w:t>Banking, Finance, Insurance &amp; Real Estate</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Coastal Concrete Holding II, LLC</w:t>
            </w:r>
            <w:r>
              <w:rPr>
                <w:rFonts w:ascii="Arial" w:cs="Arial" w:eastAsia="Arial" w:hAnsi="Arial"/>
                <w:sz w:val="19"/>
                <w:szCs w:val="19"/>
                <w:color w:val="auto"/>
                <w:vertAlign w:val="superscript"/>
              </w:rPr>
              <w:t>(5), (9)</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Class A Units</w:t>
            </w:r>
          </w:p>
        </w:tc>
        <w:tc>
          <w:tcPr>
            <w:tcW w:w="124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8,625,626</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92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Construction &amp; Building</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color w:val="auto"/>
              </w:rPr>
              <w:t>Membership Units</w:t>
            </w: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1,079,617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920" w:type="dxa"/>
            <w:vAlign w:val="bottom"/>
          </w:tcPr>
          <w:p>
            <w:pPr>
              <w:ind w:left="200"/>
              <w:spacing w:after="0"/>
              <w:rPr>
                <w:sz w:val="20"/>
                <w:szCs w:val="20"/>
                <w:color w:val="auto"/>
              </w:rPr>
            </w:pPr>
            <w:r>
              <w:rPr>
                <w:rFonts w:ascii="Arial" w:cs="Arial" w:eastAsia="Arial" w:hAnsi="Arial"/>
                <w:sz w:val="14"/>
                <w:szCs w:val="14"/>
                <w:i w:val="1"/>
                <w:iCs w:val="1"/>
                <w:color w:val="auto"/>
              </w:rPr>
              <w:t>Services: Consumer</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20" w:type="dxa"/>
            <w:vAlign w:val="bottom"/>
            <w:shd w:val="clear" w:color="auto" w:fill="CCFFCC"/>
          </w:tcPr>
          <w:p>
            <w:pPr>
              <w:ind w:left="20"/>
              <w:spacing w:after="0" w:line="140" w:lineRule="exact"/>
              <w:rPr>
                <w:sz w:val="20"/>
                <w:szCs w:val="20"/>
                <w:color w:val="auto"/>
              </w:rPr>
            </w:pPr>
            <w:r>
              <w:rPr>
                <w:rFonts w:ascii="Arial" w:cs="Arial" w:eastAsia="Arial" w:hAnsi="Arial"/>
                <w:sz w:val="14"/>
                <w:szCs w:val="14"/>
                <w:color w:val="auto"/>
              </w:rPr>
              <w:t>FP WRCA Coinvestment Fund VII,</w:t>
            </w:r>
          </w:p>
        </w:tc>
        <w:tc>
          <w:tcPr>
            <w:tcW w:w="160" w:type="dxa"/>
            <w:vAlign w:val="bottom"/>
            <w:shd w:val="clear" w:color="auto" w:fill="CCFFCC"/>
          </w:tcPr>
          <w:p>
            <w:pPr>
              <w:spacing w:after="0"/>
              <w:rPr>
                <w:sz w:val="12"/>
                <w:szCs w:val="12"/>
                <w:color w:val="auto"/>
              </w:rPr>
            </w:pPr>
          </w:p>
        </w:tc>
        <w:tc>
          <w:tcPr>
            <w:tcW w:w="1740" w:type="dxa"/>
            <w:vAlign w:val="bottom"/>
            <w:shd w:val="clear" w:color="auto" w:fill="CCFFCC"/>
          </w:tcPr>
          <w:p>
            <w:pPr>
              <w:ind w:left="100"/>
              <w:spacing w:after="0" w:line="140" w:lineRule="exact"/>
              <w:rPr>
                <w:sz w:val="20"/>
                <w:szCs w:val="20"/>
                <w:color w:val="auto"/>
              </w:rPr>
            </w:pPr>
            <w:r>
              <w:rPr>
                <w:rFonts w:ascii="Arial" w:cs="Arial" w:eastAsia="Arial" w:hAnsi="Arial"/>
                <w:sz w:val="14"/>
                <w:szCs w:val="14"/>
                <w:color w:val="auto"/>
              </w:rPr>
              <w:t>Class A Shares</w:t>
            </w:r>
          </w:p>
        </w:tc>
        <w:tc>
          <w:tcPr>
            <w:tcW w:w="1240" w:type="dxa"/>
            <w:vAlign w:val="bottom"/>
            <w:gridSpan w:val="2"/>
            <w:shd w:val="clear" w:color="auto" w:fill="CCFFCC"/>
          </w:tcPr>
          <w:p>
            <w:pPr>
              <w:jc w:val="right"/>
              <w:ind w:right="268"/>
              <w:spacing w:after="0" w:line="140" w:lineRule="exact"/>
              <w:rPr>
                <w:sz w:val="20"/>
                <w:szCs w:val="20"/>
                <w:color w:val="auto"/>
              </w:rPr>
            </w:pPr>
            <w:r>
              <w:rPr>
                <w:rFonts w:ascii="Arial" w:cs="Arial" w:eastAsia="Arial" w:hAnsi="Arial"/>
                <w:sz w:val="14"/>
                <w:szCs w:val="14"/>
                <w:color w:val="auto"/>
              </w:rPr>
              <w:t>1,500</w:t>
            </w: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0"/>
              <w:spacing w:after="0" w:line="140" w:lineRule="exact"/>
              <w:rPr>
                <w:sz w:val="20"/>
                <w:szCs w:val="20"/>
                <w:color w:val="auto"/>
              </w:rPr>
            </w:pPr>
            <w:r>
              <w:rPr>
                <w:rFonts w:ascii="Arial" w:cs="Arial" w:eastAsia="Arial" w:hAnsi="Arial"/>
                <w:sz w:val="14"/>
                <w:szCs w:val="14"/>
                <w:color w:val="auto"/>
              </w:rPr>
              <w:t>1,500,000</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1,961,550</w:t>
            </w:r>
          </w:p>
        </w:tc>
        <w:tc>
          <w:tcPr>
            <w:tcW w:w="0" w:type="dxa"/>
            <w:vAlign w:val="bottom"/>
          </w:tcPr>
          <w:p>
            <w:pPr>
              <w:spacing w:after="0"/>
              <w:rPr>
                <w:sz w:val="1"/>
                <w:szCs w:val="1"/>
                <w:color w:val="auto"/>
              </w:rPr>
            </w:pPr>
          </w:p>
        </w:tc>
      </w:tr>
      <w:tr>
        <w:trPr>
          <w:trHeight w:val="179"/>
        </w:trPr>
        <w:tc>
          <w:tcPr>
            <w:tcW w:w="2920" w:type="dxa"/>
            <w:vAlign w:val="bottom"/>
            <w:shd w:val="clear" w:color="auto" w:fill="CCFFCC"/>
          </w:tcPr>
          <w:p>
            <w:pPr>
              <w:ind w:left="200"/>
              <w:spacing w:after="0" w:line="179" w:lineRule="exact"/>
              <w:rPr>
                <w:sz w:val="20"/>
                <w:szCs w:val="20"/>
                <w:color w:val="auto"/>
              </w:rPr>
            </w:pPr>
            <w:r>
              <w:rPr>
                <w:rFonts w:ascii="Arial" w:cs="Arial" w:eastAsia="Arial" w:hAnsi="Arial"/>
                <w:sz w:val="20"/>
                <w:szCs w:val="20"/>
                <w:color w:val="auto"/>
                <w:vertAlign w:val="subscript"/>
              </w:rPr>
              <w:t>Ltd.</w:t>
            </w:r>
            <w:r>
              <w:rPr>
                <w:rFonts w:ascii="Arial" w:cs="Arial" w:eastAsia="Arial" w:hAnsi="Arial"/>
                <w:sz w:val="10"/>
                <w:szCs w:val="10"/>
                <w:color w:val="auto"/>
              </w:rPr>
              <w:t>(3), (5)</w:t>
            </w:r>
          </w:p>
        </w:tc>
        <w:tc>
          <w:tcPr>
            <w:tcW w:w="16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92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Capital Equipment</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20" w:type="dxa"/>
            <w:vAlign w:val="bottom"/>
          </w:tcPr>
          <w:p>
            <w:pPr>
              <w:ind w:left="20"/>
              <w:spacing w:after="0" w:line="140" w:lineRule="exact"/>
              <w:rPr>
                <w:sz w:val="20"/>
                <w:szCs w:val="20"/>
                <w:color w:val="auto"/>
              </w:rPr>
            </w:pPr>
            <w:r>
              <w:rPr>
                <w:rFonts w:ascii="Arial" w:cs="Arial" w:eastAsia="Arial" w:hAnsi="Arial"/>
                <w:sz w:val="14"/>
                <w:szCs w:val="14"/>
                <w:color w:val="auto"/>
              </w:rPr>
              <w:t>International Architectural Products,</w:t>
            </w:r>
          </w:p>
        </w:tc>
        <w:tc>
          <w:tcPr>
            <w:tcW w:w="160" w:type="dxa"/>
            <w:vAlign w:val="bottom"/>
          </w:tcPr>
          <w:p>
            <w:pPr>
              <w:spacing w:after="0"/>
              <w:rPr>
                <w:sz w:val="12"/>
                <w:szCs w:val="12"/>
                <w:color w:val="auto"/>
              </w:rPr>
            </w:pPr>
          </w:p>
        </w:tc>
        <w:tc>
          <w:tcPr>
            <w:tcW w:w="1740" w:type="dxa"/>
            <w:vAlign w:val="bottom"/>
          </w:tcPr>
          <w:p>
            <w:pPr>
              <w:ind w:left="100"/>
              <w:spacing w:after="0" w:line="140" w:lineRule="exact"/>
              <w:rPr>
                <w:sz w:val="20"/>
                <w:szCs w:val="20"/>
                <w:color w:val="auto"/>
              </w:rPr>
            </w:pPr>
            <w:r>
              <w:rPr>
                <w:rFonts w:ascii="Arial" w:cs="Arial" w:eastAsia="Arial" w:hAnsi="Arial"/>
                <w:sz w:val="14"/>
                <w:szCs w:val="14"/>
                <w:color w:val="auto"/>
              </w:rPr>
              <w:t>Common Stock</w:t>
            </w:r>
          </w:p>
        </w:tc>
        <w:tc>
          <w:tcPr>
            <w:tcW w:w="1240" w:type="dxa"/>
            <w:vAlign w:val="bottom"/>
            <w:gridSpan w:val="2"/>
          </w:tcPr>
          <w:p>
            <w:pPr>
              <w:jc w:val="right"/>
              <w:ind w:right="148"/>
              <w:spacing w:after="0" w:line="140"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292,851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0"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9"/>
        </w:trPr>
        <w:tc>
          <w:tcPr>
            <w:tcW w:w="2920" w:type="dxa"/>
            <w:vAlign w:val="bottom"/>
          </w:tcPr>
          <w:p>
            <w:pPr>
              <w:ind w:left="200"/>
              <w:spacing w:after="0" w:line="179" w:lineRule="exact"/>
              <w:rPr>
                <w:sz w:val="20"/>
                <w:szCs w:val="20"/>
                <w:color w:val="auto"/>
              </w:rPr>
            </w:pPr>
            <w:r>
              <w:rPr>
                <w:rFonts w:ascii="Arial" w:cs="Arial" w:eastAsia="Arial" w:hAnsi="Arial"/>
                <w:sz w:val="20"/>
                <w:szCs w:val="20"/>
                <w:color w:val="auto"/>
                <w:vertAlign w:val="subscript"/>
              </w:rPr>
              <w:t>Inc.</w:t>
            </w:r>
            <w:r>
              <w:rPr>
                <w:rFonts w:ascii="Arial" w:cs="Arial" w:eastAsia="Arial" w:hAnsi="Arial"/>
                <w:sz w:val="10"/>
                <w:szCs w:val="10"/>
                <w:color w:val="auto"/>
              </w:rPr>
              <w:t>(5), (9)</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920" w:type="dxa"/>
            <w:vAlign w:val="bottom"/>
          </w:tcPr>
          <w:p>
            <w:pPr>
              <w:ind w:left="200"/>
              <w:spacing w:after="0"/>
              <w:rPr>
                <w:sz w:val="20"/>
                <w:szCs w:val="20"/>
                <w:color w:val="auto"/>
              </w:rPr>
            </w:pPr>
            <w:r>
              <w:rPr>
                <w:rFonts w:ascii="Arial" w:cs="Arial" w:eastAsia="Arial" w:hAnsi="Arial"/>
                <w:sz w:val="14"/>
                <w:szCs w:val="14"/>
                <w:i w:val="1"/>
                <w:iCs w:val="1"/>
                <w:color w:val="auto"/>
              </w:rPr>
              <w:t>Metals &amp; Mining</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Legacy Cabinets, Inc.</w:t>
            </w:r>
            <w:r>
              <w:rPr>
                <w:rFonts w:ascii="Arial" w:cs="Arial" w:eastAsia="Arial" w:hAnsi="Arial"/>
                <w:sz w:val="19"/>
                <w:szCs w:val="19"/>
                <w:color w:val="auto"/>
                <w:vertAlign w:val="superscript"/>
              </w:rPr>
              <w:t>(5), (9)</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Equity</w:t>
            </w:r>
          </w:p>
        </w:tc>
        <w:tc>
          <w:tcPr>
            <w:tcW w:w="124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115,580</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7"/>
        </w:trPr>
        <w:tc>
          <w:tcPr>
            <w:tcW w:w="292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Consumer goods: Durable</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color w:val="auto"/>
              </w:rPr>
              <w:t>Common Stock</w:t>
            </w: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10,930</w:t>
            </w:r>
          </w:p>
        </w:tc>
        <w:tc>
          <w:tcPr>
            <w:tcW w:w="0" w:type="dxa"/>
            <w:vAlign w:val="bottom"/>
          </w:tcPr>
          <w:p>
            <w:pPr>
              <w:spacing w:after="0"/>
              <w:rPr>
                <w:sz w:val="1"/>
                <w:szCs w:val="1"/>
                <w:color w:val="auto"/>
              </w:rPr>
            </w:pPr>
          </w:p>
        </w:tc>
      </w:tr>
      <w:tr>
        <w:trPr>
          <w:trHeight w:val="167"/>
        </w:trPr>
        <w:tc>
          <w:tcPr>
            <w:tcW w:w="2920" w:type="dxa"/>
            <w:vAlign w:val="bottom"/>
          </w:tcPr>
          <w:p>
            <w:pPr>
              <w:ind w:left="200"/>
              <w:spacing w:after="0"/>
              <w:rPr>
                <w:sz w:val="20"/>
                <w:szCs w:val="20"/>
                <w:color w:val="auto"/>
              </w:rPr>
            </w:pPr>
            <w:r>
              <w:rPr>
                <w:rFonts w:ascii="Arial" w:cs="Arial" w:eastAsia="Arial" w:hAnsi="Arial"/>
                <w:sz w:val="14"/>
                <w:szCs w:val="14"/>
                <w:i w:val="1"/>
                <w:iCs w:val="1"/>
                <w:color w:val="auto"/>
              </w:rPr>
              <w:t>Hotel, Gaming &amp; Leisure</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shd w:val="clear" w:color="auto" w:fill="CCFFCC"/>
          </w:tcPr>
          <w:p>
            <w:pPr>
              <w:ind w:left="20"/>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(5), (9)</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Common Stock</w:t>
            </w:r>
          </w:p>
        </w:tc>
        <w:tc>
          <w:tcPr>
            <w:tcW w:w="124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7.8%</w:t>
            </w: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644,937</w:t>
            </w:r>
          </w:p>
        </w:tc>
        <w:tc>
          <w:tcPr>
            <w:tcW w:w="0" w:type="dxa"/>
            <w:vAlign w:val="bottom"/>
          </w:tcPr>
          <w:p>
            <w:pPr>
              <w:spacing w:after="0"/>
              <w:rPr>
                <w:sz w:val="1"/>
                <w:szCs w:val="1"/>
                <w:color w:val="auto"/>
              </w:rPr>
            </w:pPr>
          </w:p>
        </w:tc>
      </w:tr>
      <w:tr>
        <w:trPr>
          <w:trHeight w:val="167"/>
        </w:trPr>
        <w:tc>
          <w:tcPr>
            <w:tcW w:w="292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Consumer goods: Durable</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color w:val="auto"/>
              </w:rPr>
              <w:t>Preferred Stock</w:t>
            </w: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9.0%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3,032,596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3,240,496</w:t>
            </w:r>
          </w:p>
        </w:tc>
        <w:tc>
          <w:tcPr>
            <w:tcW w:w="0" w:type="dxa"/>
            <w:vAlign w:val="bottom"/>
          </w:tcPr>
          <w:p>
            <w:pPr>
              <w:spacing w:after="0"/>
              <w:rPr>
                <w:sz w:val="1"/>
                <w:szCs w:val="1"/>
                <w:color w:val="auto"/>
              </w:rPr>
            </w:pPr>
          </w:p>
        </w:tc>
      </w:tr>
      <w:tr>
        <w:trPr>
          <w:trHeight w:val="167"/>
        </w:trPr>
        <w:tc>
          <w:tcPr>
            <w:tcW w:w="2920" w:type="dxa"/>
            <w:vAlign w:val="bottom"/>
          </w:tcPr>
          <w:p>
            <w:pPr>
              <w:ind w:left="200"/>
              <w:spacing w:after="0"/>
              <w:rPr>
                <w:sz w:val="20"/>
                <w:szCs w:val="20"/>
                <w:color w:val="auto"/>
              </w:rPr>
            </w:pPr>
            <w:r>
              <w:rPr>
                <w:rFonts w:ascii="Arial" w:cs="Arial" w:eastAsia="Arial" w:hAnsi="Arial"/>
                <w:sz w:val="14"/>
                <w:szCs w:val="14"/>
                <w:i w:val="1"/>
                <w:iCs w:val="1"/>
                <w:color w:val="auto"/>
              </w:rPr>
              <w:t>Consumer goods: Durable</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20" w:type="dxa"/>
            <w:vAlign w:val="bottom"/>
            <w:shd w:val="clear" w:color="auto" w:fill="CCFFCC"/>
          </w:tcPr>
          <w:p>
            <w:pPr>
              <w:ind w:left="20"/>
              <w:spacing w:after="0" w:line="140" w:lineRule="exact"/>
              <w:rPr>
                <w:sz w:val="20"/>
                <w:szCs w:val="20"/>
                <w:color w:val="auto"/>
              </w:rPr>
            </w:pPr>
            <w:r>
              <w:rPr>
                <w:rFonts w:ascii="Arial" w:cs="Arial" w:eastAsia="Arial" w:hAnsi="Arial"/>
                <w:sz w:val="14"/>
                <w:szCs w:val="14"/>
                <w:color w:val="auto"/>
              </w:rPr>
              <w:t>Caribe Media Inc. (fka Caribe Information</w:t>
            </w:r>
          </w:p>
        </w:tc>
        <w:tc>
          <w:tcPr>
            <w:tcW w:w="160" w:type="dxa"/>
            <w:vAlign w:val="bottom"/>
            <w:shd w:val="clear" w:color="auto" w:fill="CCFFCC"/>
          </w:tcPr>
          <w:p>
            <w:pPr>
              <w:spacing w:after="0"/>
              <w:rPr>
                <w:sz w:val="12"/>
                <w:szCs w:val="12"/>
                <w:color w:val="auto"/>
              </w:rPr>
            </w:pPr>
          </w:p>
        </w:tc>
        <w:tc>
          <w:tcPr>
            <w:tcW w:w="1740" w:type="dxa"/>
            <w:vAlign w:val="bottom"/>
            <w:shd w:val="clear" w:color="auto" w:fill="CCFFCC"/>
          </w:tcPr>
          <w:p>
            <w:pPr>
              <w:ind w:left="100"/>
              <w:spacing w:after="0" w:line="140" w:lineRule="exact"/>
              <w:rPr>
                <w:sz w:val="20"/>
                <w:szCs w:val="20"/>
                <w:color w:val="auto"/>
              </w:rPr>
            </w:pPr>
            <w:r>
              <w:rPr>
                <w:rFonts w:ascii="Arial" w:cs="Arial" w:eastAsia="Arial" w:hAnsi="Arial"/>
                <w:sz w:val="14"/>
                <w:szCs w:val="14"/>
                <w:color w:val="auto"/>
              </w:rPr>
              <w:t>Common Stock</w:t>
            </w:r>
          </w:p>
        </w:tc>
        <w:tc>
          <w:tcPr>
            <w:tcW w:w="1240" w:type="dxa"/>
            <w:vAlign w:val="bottom"/>
            <w:gridSpan w:val="2"/>
            <w:shd w:val="clear" w:color="auto" w:fill="CCFFCC"/>
          </w:tcPr>
          <w:p>
            <w:pPr>
              <w:jc w:val="right"/>
              <w:ind w:right="148"/>
              <w:spacing w:after="0" w:line="140" w:lineRule="exact"/>
              <w:rPr>
                <w:sz w:val="20"/>
                <w:szCs w:val="20"/>
                <w:color w:val="auto"/>
              </w:rPr>
            </w:pPr>
            <w:r>
              <w:rPr>
                <w:rFonts w:ascii="Arial" w:cs="Arial" w:eastAsia="Arial" w:hAnsi="Arial"/>
                <w:sz w:val="14"/>
                <w:szCs w:val="14"/>
                <w:color w:val="auto"/>
              </w:rPr>
              <w:t>1.3%</w:t>
            </w: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40"/>
              <w:spacing w:after="0" w:line="140" w:lineRule="exact"/>
              <w:rPr>
                <w:sz w:val="20"/>
                <w:szCs w:val="20"/>
                <w:color w:val="auto"/>
              </w:rPr>
            </w:pPr>
            <w:r>
              <w:rPr>
                <w:rFonts w:ascii="Arial" w:cs="Arial" w:eastAsia="Arial" w:hAnsi="Arial"/>
                <w:sz w:val="14"/>
                <w:szCs w:val="14"/>
                <w:color w:val="auto"/>
              </w:rPr>
              <w:t>359,765</w:t>
            </w: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60"/>
              <w:spacing w:after="0" w:line="140" w:lineRule="exact"/>
              <w:rPr>
                <w:sz w:val="20"/>
                <w:szCs w:val="20"/>
                <w:color w:val="auto"/>
              </w:rPr>
            </w:pPr>
            <w:r>
              <w:rPr>
                <w:rFonts w:ascii="Arial" w:cs="Arial" w:eastAsia="Arial" w:hAnsi="Arial"/>
                <w:sz w:val="14"/>
                <w:szCs w:val="14"/>
                <w:color w:val="auto"/>
              </w:rPr>
              <w:t>612,691</w:t>
            </w:r>
          </w:p>
        </w:tc>
        <w:tc>
          <w:tcPr>
            <w:tcW w:w="0" w:type="dxa"/>
            <w:vAlign w:val="bottom"/>
          </w:tcPr>
          <w:p>
            <w:pPr>
              <w:spacing w:after="0"/>
              <w:rPr>
                <w:sz w:val="1"/>
                <w:szCs w:val="1"/>
                <w:color w:val="auto"/>
              </w:rPr>
            </w:pPr>
          </w:p>
        </w:tc>
      </w:tr>
      <w:tr>
        <w:trPr>
          <w:trHeight w:val="179"/>
        </w:trPr>
        <w:tc>
          <w:tcPr>
            <w:tcW w:w="2920" w:type="dxa"/>
            <w:vAlign w:val="bottom"/>
            <w:shd w:val="clear" w:color="auto" w:fill="CCFFCC"/>
          </w:tcPr>
          <w:p>
            <w:pPr>
              <w:ind w:left="200"/>
              <w:spacing w:after="0" w:line="179" w:lineRule="exact"/>
              <w:rPr>
                <w:sz w:val="20"/>
                <w:szCs w:val="20"/>
                <w:color w:val="auto"/>
              </w:rPr>
            </w:pPr>
            <w:r>
              <w:rPr>
                <w:rFonts w:ascii="Arial" w:cs="Arial" w:eastAsia="Arial" w:hAnsi="Arial"/>
                <w:sz w:val="13"/>
                <w:szCs w:val="13"/>
                <w:color w:val="auto"/>
              </w:rPr>
              <w:t>Investments Incorporated)</w:t>
            </w:r>
            <w:r>
              <w:rPr>
                <w:rFonts w:ascii="Arial" w:cs="Arial" w:eastAsia="Arial" w:hAnsi="Arial"/>
                <w:sz w:val="20"/>
                <w:szCs w:val="20"/>
                <w:color w:val="auto"/>
                <w:vertAlign w:val="superscript"/>
              </w:rPr>
              <w:t>(5), (9)</w:t>
            </w:r>
          </w:p>
        </w:tc>
        <w:tc>
          <w:tcPr>
            <w:tcW w:w="16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i w:val="1"/>
                <w:iCs w:val="1"/>
                <w:color w:val="auto"/>
              </w:rPr>
              <w:t>Media: Advertising, Printing &amp;</w:t>
            </w:r>
          </w:p>
        </w:tc>
        <w:tc>
          <w:tcPr>
            <w:tcW w:w="160" w:type="dxa"/>
            <w:vAlign w:val="bottom"/>
            <w:shd w:val="clear" w:color="auto" w:fill="CCFFCC"/>
          </w:tcPr>
          <w:p>
            <w:pPr>
              <w:spacing w:after="0"/>
              <w:rPr>
                <w:sz w:val="12"/>
                <w:szCs w:val="12"/>
                <w:color w:val="auto"/>
              </w:rPr>
            </w:pPr>
          </w:p>
        </w:tc>
        <w:tc>
          <w:tcPr>
            <w:tcW w:w="17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20" w:type="dxa"/>
            <w:vAlign w:val="bottom"/>
            <w:shd w:val="clear" w:color="auto" w:fill="CCFFCC"/>
          </w:tcPr>
          <w:p>
            <w:pPr>
              <w:ind w:left="200"/>
              <w:spacing w:after="0"/>
              <w:rPr>
                <w:sz w:val="20"/>
                <w:szCs w:val="20"/>
                <w:color w:val="auto"/>
              </w:rPr>
            </w:pPr>
            <w:r>
              <w:rPr>
                <w:rFonts w:ascii="Arial" w:cs="Arial" w:eastAsia="Arial" w:hAnsi="Arial"/>
                <w:sz w:val="14"/>
                <w:szCs w:val="14"/>
                <w:i w:val="1"/>
                <w:iCs w:val="1"/>
                <w:color w:val="auto"/>
              </w:rPr>
              <w:t>Publishing</w:t>
            </w:r>
          </w:p>
        </w:tc>
        <w:tc>
          <w:tcPr>
            <w:tcW w:w="160" w:type="dxa"/>
            <w:vAlign w:val="bottom"/>
            <w:shd w:val="clear" w:color="auto" w:fill="CCFFCC"/>
          </w:tcPr>
          <w:p>
            <w:pPr>
              <w:spacing w:after="0"/>
              <w:rPr>
                <w:sz w:val="14"/>
                <w:szCs w:val="14"/>
                <w:color w:val="auto"/>
              </w:rPr>
            </w:pPr>
          </w:p>
        </w:tc>
        <w:tc>
          <w:tcPr>
            <w:tcW w:w="17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(5), (9)</w:t>
            </w:r>
          </w:p>
        </w:tc>
        <w:tc>
          <w:tcPr>
            <w:tcW w:w="16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Arial" w:cs="Arial" w:eastAsia="Arial" w:hAnsi="Arial"/>
                <w:sz w:val="14"/>
                <w:szCs w:val="14"/>
                <w:color w:val="auto"/>
              </w:rPr>
              <w:t>Common Stock</w:t>
            </w:r>
          </w:p>
        </w:tc>
        <w:tc>
          <w:tcPr>
            <w:tcW w:w="1240" w:type="dxa"/>
            <w:vAlign w:val="bottom"/>
            <w:gridSpan w:val="2"/>
          </w:tcPr>
          <w:p>
            <w:pPr>
              <w:jc w:val="right"/>
              <w:ind w:right="148"/>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67"/>
        </w:trPr>
        <w:tc>
          <w:tcPr>
            <w:tcW w:w="2920" w:type="dxa"/>
            <w:vAlign w:val="bottom"/>
          </w:tcPr>
          <w:p>
            <w:pPr>
              <w:ind w:left="200"/>
              <w:spacing w:after="0"/>
              <w:rPr>
                <w:sz w:val="20"/>
                <w:szCs w:val="20"/>
                <w:color w:val="auto"/>
              </w:rPr>
            </w:pPr>
            <w:r>
              <w:rPr>
                <w:rFonts w:ascii="Arial" w:cs="Arial" w:eastAsia="Arial" w:hAnsi="Arial"/>
                <w:sz w:val="14"/>
                <w:szCs w:val="14"/>
                <w:i w:val="1"/>
                <w:iCs w:val="1"/>
                <w:color w:val="auto"/>
              </w:rPr>
              <w:t>Energy: Oil &amp; Gas</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20" w:type="dxa"/>
            <w:vAlign w:val="bottom"/>
            <w:shd w:val="clear" w:color="auto" w:fill="CCFFCC"/>
          </w:tcPr>
          <w:p>
            <w:pPr>
              <w:ind w:left="20"/>
              <w:spacing w:after="0" w:line="119" w:lineRule="exact"/>
              <w:rPr>
                <w:sz w:val="20"/>
                <w:szCs w:val="20"/>
                <w:color w:val="auto"/>
              </w:rPr>
            </w:pPr>
            <w:r>
              <w:rPr>
                <w:rFonts w:ascii="Arial" w:cs="Arial" w:eastAsia="Arial" w:hAnsi="Arial"/>
                <w:sz w:val="13"/>
                <w:szCs w:val="13"/>
                <w:b w:val="1"/>
                <w:bCs w:val="1"/>
                <w:color w:val="auto"/>
              </w:rPr>
              <w:t>Total Investment in Equity Securities</w:t>
            </w:r>
          </w:p>
        </w:tc>
        <w:tc>
          <w:tcPr>
            <w:tcW w:w="160" w:type="dxa"/>
            <w:vAlign w:val="bottom"/>
            <w:shd w:val="clear" w:color="auto" w:fill="CCFFCC"/>
          </w:tcPr>
          <w:p>
            <w:pPr>
              <w:spacing w:after="0"/>
              <w:rPr>
                <w:sz w:val="10"/>
                <w:szCs w:val="10"/>
                <w:color w:val="auto"/>
              </w:rPr>
            </w:pPr>
          </w:p>
        </w:tc>
        <w:tc>
          <w:tcPr>
            <w:tcW w:w="17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1080" w:type="dxa"/>
            <w:vAlign w:val="bottom"/>
            <w:shd w:val="clear" w:color="auto" w:fill="CCFFCC"/>
          </w:tcPr>
          <w:p>
            <w:pPr>
              <w:spacing w:after="0"/>
              <w:rPr>
                <w:sz w:val="10"/>
                <w:szCs w:val="10"/>
                <w:color w:val="auto"/>
              </w:rPr>
            </w:pPr>
          </w:p>
        </w:tc>
        <w:tc>
          <w:tcPr>
            <w:tcW w:w="28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FFCC"/>
          </w:tcPr>
          <w:p>
            <w:pPr>
              <w:jc w:val="right"/>
              <w:ind w:right="40"/>
              <w:spacing w:after="0" w:line="119" w:lineRule="exact"/>
              <w:rPr>
                <w:sz w:val="20"/>
                <w:szCs w:val="20"/>
                <w:color w:val="auto"/>
              </w:rPr>
            </w:pPr>
            <w:r>
              <w:rPr>
                <w:rFonts w:ascii="Arial" w:cs="Arial" w:eastAsia="Arial" w:hAnsi="Arial"/>
                <w:sz w:val="13"/>
                <w:szCs w:val="13"/>
                <w:color w:val="auto"/>
              </w:rPr>
              <w:t>18,375,588</w:t>
            </w:r>
          </w:p>
        </w:tc>
        <w:tc>
          <w:tcPr>
            <w:tcW w:w="260" w:type="dxa"/>
            <w:vAlign w:val="bottom"/>
            <w:gridSpan w:val="2"/>
            <w:shd w:val="clear" w:color="auto" w:fill="CCFFCC"/>
          </w:tcPr>
          <w:p>
            <w:pPr>
              <w:jc w:val="right"/>
              <w:ind w:right="20"/>
              <w:spacing w:after="0" w:line="119"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color w:val="auto"/>
              </w:rPr>
              <w:t>8,020,716</w:t>
            </w:r>
          </w:p>
        </w:tc>
        <w:tc>
          <w:tcPr>
            <w:tcW w:w="0" w:type="dxa"/>
            <w:vAlign w:val="bottom"/>
          </w:tcPr>
          <w:p>
            <w:pPr>
              <w:spacing w:after="0"/>
              <w:rPr>
                <w:sz w:val="1"/>
                <w:szCs w:val="1"/>
                <w:color w:val="auto"/>
              </w:rPr>
            </w:pPr>
          </w:p>
        </w:tc>
      </w:tr>
      <w:tr>
        <w:trPr>
          <w:trHeight w:val="171"/>
        </w:trPr>
        <w:tc>
          <w:tcPr>
            <w:tcW w:w="29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b w:val="1"/>
                <w:bCs w:val="1"/>
                <w:color w:val="auto"/>
              </w:rPr>
              <w:t>(4% of net asset value at fair value)</w:t>
            </w:r>
          </w:p>
        </w:tc>
        <w:tc>
          <w:tcPr>
            <w:tcW w:w="160" w:type="dxa"/>
            <w:vAlign w:val="bottom"/>
            <w:tcBorders>
              <w:bottom w:val="single" w:sz="8" w:color="CCFFCC"/>
            </w:tcBorders>
            <w:shd w:val="clear" w:color="auto" w:fill="CCFFCC"/>
          </w:tcPr>
          <w:p>
            <w:pPr>
              <w:spacing w:after="0"/>
              <w:rPr>
                <w:sz w:val="14"/>
                <w:szCs w:val="14"/>
                <w:color w:val="auto"/>
              </w:rPr>
            </w:pPr>
          </w:p>
        </w:tc>
        <w:tc>
          <w:tcPr>
            <w:tcW w:w="174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08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700" w:type="dxa"/>
            <w:vAlign w:val="bottom"/>
            <w:tcBorders>
              <w:bottom w:val="single" w:sz="8" w:color="auto"/>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20" w:type="dxa"/>
            <w:vAlign w:val="bottom"/>
            <w:tcBorders>
              <w:bottom w:val="single" w:sz="8" w:color="auto"/>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-3858260</wp:posOffset>
            </wp:positionV>
            <wp:extent cx="5213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75" w:right="1440"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Fund Securities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Subordinated Securities, Preferred</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 and Income Notes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5"/>
                <w:szCs w:val="15"/>
                <w:color w:val="auto"/>
              </w:rPr>
            </w:pPr>
          </w:p>
        </w:tc>
        <w:tc>
          <w:tcPr>
            <w:tcW w:w="2260" w:type="dxa"/>
            <w:vAlign w:val="bottom"/>
          </w:tcPr>
          <w:p>
            <w:pPr>
              <w:ind w:left="80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31"/>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96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rPr>
              <w:t>Fair Value</w:t>
            </w:r>
            <w:r>
              <w:rPr>
                <w:rFonts w:ascii="Arial" w:cs="Arial" w:eastAsia="Arial" w:hAnsi="Arial"/>
                <w:sz w:val="20"/>
                <w:szCs w:val="20"/>
                <w:b w:val="1"/>
                <w:bCs w:val="1"/>
                <w:color w:val="auto"/>
                <w:vertAlign w:val="superscript"/>
              </w:rPr>
              <w:t>(2)</w:t>
            </w:r>
          </w:p>
        </w:tc>
      </w:tr>
      <w:tr>
        <w:trPr>
          <w:trHeight w:val="171"/>
        </w:trPr>
        <w:tc>
          <w:tcPr>
            <w:tcW w:w="2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250"/>
        </w:trPr>
        <w:tc>
          <w:tcPr>
            <w:tcW w:w="2760" w:type="dxa"/>
            <w:vAlign w:val="bottom"/>
            <w:shd w:val="clear" w:color="auto" w:fill="CCFFCC"/>
          </w:tcPr>
          <w:p>
            <w:pPr>
              <w:ind w:left="20"/>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00" w:type="dxa"/>
            <w:vAlign w:val="bottom"/>
            <w:shd w:val="clear" w:color="auto" w:fill="CCFFCC"/>
          </w:tcPr>
          <w:p>
            <w:pPr>
              <w:spacing w:after="0"/>
              <w:rPr>
                <w:sz w:val="21"/>
                <w:szCs w:val="21"/>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22.2%</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4,925,009</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3,124,924</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 (10)</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2,242,014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(3), (10)</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3,320,000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4,574,393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2,120,168</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3,450,705</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2,171,998</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2,082,987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1,488,895</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 xml:space="preserve">Katonah X CLO Ltd </w:t>
            </w:r>
            <w:r>
              <w:rPr>
                <w:rFonts w:ascii="Arial" w:cs="Arial" w:eastAsia="Arial" w:hAnsi="Arial"/>
                <w:sz w:val="29"/>
                <w:szCs w:val="29"/>
                <w:color w:val="auto"/>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Securities</w:t>
            </w:r>
          </w:p>
        </w:tc>
        <w:tc>
          <w:tcPr>
            <w:tcW w:w="100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8"/>
              </w:rPr>
              <w:t>11,934,600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9,455,511</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31,189,147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30,091,886</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Preferred Shares</w:t>
            </w:r>
          </w:p>
        </w:tc>
        <w:tc>
          <w:tcPr>
            <w:tcW w:w="100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3,616,600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3,575,571</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Subordinate Notes</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2,757,100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2,930,004</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Income Notes</w:t>
            </w:r>
          </w:p>
        </w:tc>
        <w:tc>
          <w:tcPr>
            <w:tcW w:w="100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2,894,700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2,936,626</w:t>
            </w:r>
          </w:p>
        </w:tc>
      </w:tr>
      <w:tr>
        <w:trPr>
          <w:trHeight w:val="257"/>
        </w:trPr>
        <w:tc>
          <w:tcPr>
            <w:tcW w:w="2760" w:type="dxa"/>
            <w:vAlign w:val="bottom"/>
          </w:tcPr>
          <w:p>
            <w:pPr>
              <w:ind w:left="20"/>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(3), (6)</w:t>
            </w:r>
          </w:p>
        </w:tc>
        <w:tc>
          <w:tcPr>
            <w:tcW w:w="100" w:type="dxa"/>
            <w:vAlign w:val="bottom"/>
          </w:tcPr>
          <w:p>
            <w:pPr>
              <w:spacing w:after="0"/>
              <w:rPr>
                <w:sz w:val="22"/>
                <w:szCs w:val="22"/>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Income Notes</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3,146,900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3,357,924</w:t>
            </w:r>
          </w:p>
        </w:tc>
      </w:tr>
      <w:tr>
        <w:trPr>
          <w:trHeight w:val="257"/>
        </w:trPr>
        <w:tc>
          <w:tcPr>
            <w:tcW w:w="276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w w:val="95"/>
              </w:rPr>
              <w:t>Catamaran CLO 2012-1 Ltd.</w:t>
            </w:r>
            <w:r>
              <w:rPr>
                <w:rFonts w:ascii="Arial" w:cs="Arial" w:eastAsia="Arial" w:hAnsi="Arial"/>
                <w:sz w:val="29"/>
                <w:szCs w:val="29"/>
                <w:color w:val="auto"/>
                <w:w w:val="95"/>
                <w:vertAlign w:val="superscript"/>
              </w:rPr>
              <w:t>(3), (6)</w:t>
            </w:r>
          </w:p>
        </w:tc>
        <w:tc>
          <w:tcPr>
            <w:tcW w:w="100" w:type="dxa"/>
            <w:vAlign w:val="bottom"/>
            <w:shd w:val="clear" w:color="auto" w:fill="CCFFCC"/>
          </w:tcPr>
          <w:p>
            <w:pPr>
              <w:spacing w:after="0"/>
              <w:rPr>
                <w:sz w:val="22"/>
                <w:szCs w:val="22"/>
                <w:color w:val="auto"/>
              </w:rPr>
            </w:pPr>
          </w:p>
        </w:tc>
        <w:tc>
          <w:tcPr>
            <w:tcW w:w="2260" w:type="dxa"/>
            <w:vAlign w:val="bottom"/>
            <w:shd w:val="clear" w:color="auto" w:fill="CCFFCC"/>
          </w:tcPr>
          <w:p>
            <w:pPr>
              <w:ind w:left="80"/>
              <w:spacing w:after="0"/>
              <w:rPr>
                <w:sz w:val="20"/>
                <w:szCs w:val="20"/>
                <w:color w:val="auto"/>
              </w:rPr>
            </w:pPr>
            <w:r>
              <w:rPr>
                <w:rFonts w:ascii="Arial" w:cs="Arial" w:eastAsia="Arial" w:hAnsi="Arial"/>
                <w:sz w:val="18"/>
                <w:szCs w:val="18"/>
                <w:color w:val="auto"/>
              </w:rPr>
              <w:t>Subordinated Notes</w:t>
            </w:r>
          </w:p>
        </w:tc>
        <w:tc>
          <w:tcPr>
            <w:tcW w:w="100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8,982,400</w:t>
            </w:r>
          </w:p>
        </w:tc>
        <w:tc>
          <w:tcPr>
            <w:tcW w:w="1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8,493,000</w:t>
            </w:r>
          </w:p>
        </w:tc>
      </w:tr>
      <w:tr>
        <w:trPr>
          <w:trHeight w:val="20"/>
        </w:trPr>
        <w:tc>
          <w:tcPr>
            <w:tcW w:w="27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r>
      <w:tr>
        <w:trPr>
          <w:trHeight w:val="191"/>
        </w:trPr>
        <w:tc>
          <w:tcPr>
            <w:tcW w:w="276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1" w:lineRule="exact"/>
              <w:rPr>
                <w:sz w:val="20"/>
                <w:szCs w:val="20"/>
                <w:color w:val="auto"/>
              </w:rPr>
            </w:pPr>
            <w:r>
              <w:rPr>
                <w:rFonts w:ascii="Arial" w:cs="Arial" w:eastAsia="Arial" w:hAnsi="Arial"/>
                <w:sz w:val="18"/>
                <w:szCs w:val="18"/>
                <w:color w:val="auto"/>
                <w:w w:val="88"/>
              </w:rPr>
              <w:t>85,116,555</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1" w:lineRule="exact"/>
              <w:rPr>
                <w:sz w:val="20"/>
                <w:szCs w:val="20"/>
                <w:color w:val="auto"/>
              </w:rPr>
            </w:pPr>
            <w:r>
              <w:rPr>
                <w:rFonts w:ascii="Arial" w:cs="Arial" w:eastAsia="Arial" w:hAnsi="Arial"/>
                <w:sz w:val="18"/>
                <w:szCs w:val="18"/>
                <w:color w:val="auto"/>
                <w:w w:val="88"/>
              </w:rPr>
              <w:t>70,347,507</w:t>
            </w: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Subordinated Securities,</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-282575</wp:posOffset>
            </wp:positionV>
            <wp:extent cx="5213985" cy="5657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3985" cy="56578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Preferred Shares and Income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5715</wp:posOffset>
            </wp:positionV>
            <wp:extent cx="12433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15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CLO Rated-Note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-44450</wp:posOffset>
            </wp:positionV>
            <wp:extent cx="16122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Portfolio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100965</wp:posOffset>
            </wp:positionV>
            <wp:extent cx="161226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Katonah 2007-I CLO Ltd.</w:t>
      </w:r>
      <w:r>
        <w:rPr>
          <w:rFonts w:ascii="Arial" w:cs="Arial" w:eastAsia="Arial" w:hAnsi="Arial"/>
          <w:sz w:val="26"/>
          <w:szCs w:val="26"/>
          <w:color w:val="auto"/>
          <w:vertAlign w:val="superscript"/>
        </w:rPr>
        <w:t>(3), (6)</w:t>
      </w: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Catamaran CLO 2012-1</w:t>
      </w:r>
    </w:p>
    <w:p>
      <w:pPr>
        <w:ind w:left="200"/>
        <w:spacing w:after="0" w:line="182" w:lineRule="auto"/>
        <w:rPr>
          <w:sz w:val="20"/>
          <w:szCs w:val="20"/>
          <w:color w:val="auto"/>
        </w:rPr>
      </w:pPr>
      <w:r>
        <w:rPr>
          <w:rFonts w:ascii="Arial" w:cs="Arial" w:eastAsia="Arial" w:hAnsi="Arial"/>
          <w:sz w:val="32"/>
          <w:szCs w:val="32"/>
          <w:color w:val="auto"/>
          <w:vertAlign w:val="subscript"/>
        </w:rPr>
        <w:t>Ltd.</w:t>
      </w:r>
      <w:r>
        <w:rPr>
          <w:rFonts w:ascii="Arial" w:cs="Arial" w:eastAsia="Arial" w:hAnsi="Arial"/>
          <w:sz w:val="14"/>
          <w:szCs w:val="14"/>
          <w:color w:val="auto"/>
        </w:rPr>
        <w:t>(3), (6)</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2480" w:type="dxa"/>
            <w:vAlign w:val="bottom"/>
          </w:tcPr>
          <w:p>
            <w:pPr>
              <w:ind w:left="90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23"/>
                <w:szCs w:val="23"/>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r>
      <w:tr>
        <w:trPr>
          <w:trHeight w:val="171"/>
        </w:trPr>
        <w:tc>
          <w:tcPr>
            <w:tcW w:w="2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236"/>
        </w:trPr>
        <w:tc>
          <w:tcPr>
            <w:tcW w:w="2480" w:type="dxa"/>
            <w:vAlign w:val="bottom"/>
          </w:tcPr>
          <w:p>
            <w:pPr>
              <w:ind w:left="80"/>
              <w:spacing w:after="0"/>
              <w:rPr>
                <w:sz w:val="20"/>
                <w:szCs w:val="20"/>
                <w:color w:val="auto"/>
              </w:rPr>
            </w:pPr>
            <w:r>
              <w:rPr>
                <w:rFonts w:ascii="Arial" w:cs="Arial" w:eastAsia="Arial" w:hAnsi="Arial"/>
                <w:sz w:val="18"/>
                <w:szCs w:val="18"/>
                <w:color w:val="auto"/>
                <w:w w:val="97"/>
              </w:rPr>
              <w:t>Class B-2L Notes Par Value of</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$ 1,252,191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$ 9,140,000</w:t>
            </w: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$10,500,000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5.32%, Due 4/22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Class F Notes Par Value of</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42.9%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3,777,664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3,770,000</w:t>
            </w:r>
          </w:p>
        </w:tc>
      </w:tr>
      <w:tr>
        <w:trPr>
          <w:trHeight w:val="216"/>
        </w:trPr>
        <w:tc>
          <w:tcPr>
            <w:tcW w:w="2480" w:type="dxa"/>
            <w:vAlign w:val="bottom"/>
          </w:tcPr>
          <w:p>
            <w:pPr>
              <w:ind w:left="80"/>
              <w:spacing w:after="0"/>
              <w:rPr>
                <w:sz w:val="20"/>
                <w:szCs w:val="20"/>
                <w:color w:val="auto"/>
              </w:rPr>
            </w:pPr>
            <w:r>
              <w:rPr>
                <w:rFonts w:ascii="Arial" w:cs="Arial" w:eastAsia="Arial" w:hAnsi="Arial"/>
                <w:sz w:val="18"/>
                <w:szCs w:val="18"/>
                <w:color w:val="auto"/>
              </w:rPr>
              <w:t>$4,500,000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480" w:type="dxa"/>
            <w:vAlign w:val="bottom"/>
          </w:tcPr>
          <w:p>
            <w:pPr>
              <w:ind w:left="80"/>
              <w:spacing w:after="0"/>
              <w:rPr>
                <w:sz w:val="20"/>
                <w:szCs w:val="20"/>
                <w:color w:val="auto"/>
              </w:rPr>
            </w:pPr>
            <w:r>
              <w:rPr>
                <w:rFonts w:ascii="Arial" w:cs="Arial" w:eastAsia="Arial" w:hAnsi="Arial"/>
                <w:sz w:val="18"/>
                <w:szCs w:val="18"/>
                <w:color w:val="auto"/>
              </w:rPr>
              <w:t>6.8%, Due 12/23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-848360</wp:posOffset>
            </wp:positionV>
            <wp:extent cx="5213985" cy="43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213985" cy="4375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-1148715</wp:posOffset>
            </wp:positionV>
            <wp:extent cx="35331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60" w:space="280"/>
            <w:col w:w="745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760" w:type="dxa"/>
            <w:vAlign w:val="bottom"/>
            <w:shd w:val="clear" w:color="auto" w:fill="CCFFCC"/>
          </w:tcPr>
          <w:p>
            <w:pPr>
              <w:ind w:left="20"/>
              <w:spacing w:after="0" w:line="171" w:lineRule="exact"/>
              <w:rPr>
                <w:sz w:val="20"/>
                <w:szCs w:val="20"/>
                <w:color w:val="auto"/>
              </w:rPr>
            </w:pPr>
            <w:r>
              <w:rPr>
                <w:rFonts w:ascii="Arial" w:cs="Arial" w:eastAsia="Arial" w:hAnsi="Arial"/>
                <w:sz w:val="18"/>
                <w:szCs w:val="18"/>
                <w:b w:val="1"/>
                <w:bCs w:val="1"/>
                <w:color w:val="auto"/>
              </w:rPr>
              <w:t>Total Investment in CLO Rated-</w:t>
            </w:r>
          </w:p>
        </w:tc>
        <w:tc>
          <w:tcPr>
            <w:tcW w:w="100" w:type="dxa"/>
            <w:vAlign w:val="bottom"/>
            <w:shd w:val="clear" w:color="auto" w:fill="CCFFCC"/>
          </w:tcPr>
          <w:p>
            <w:pPr>
              <w:spacing w:after="0"/>
              <w:rPr>
                <w:sz w:val="14"/>
                <w:szCs w:val="14"/>
                <w:color w:val="auto"/>
              </w:rPr>
            </w:pPr>
          </w:p>
        </w:tc>
        <w:tc>
          <w:tcPr>
            <w:tcW w:w="2260" w:type="dxa"/>
            <w:vAlign w:val="bottom"/>
            <w:shd w:val="clear" w:color="auto" w:fill="CCFFCC"/>
          </w:tcPr>
          <w:p>
            <w:pPr>
              <w:spacing w:after="0"/>
              <w:rPr>
                <w:sz w:val="14"/>
                <w:szCs w:val="14"/>
                <w:color w:val="auto"/>
              </w:rPr>
            </w:pPr>
          </w:p>
        </w:tc>
        <w:tc>
          <w:tcPr>
            <w:tcW w:w="1080" w:type="dxa"/>
            <w:vAlign w:val="bottom"/>
            <w:gridSpan w:val="3"/>
            <w:shd w:val="clear" w:color="auto" w:fill="CCFFCC"/>
          </w:tcPr>
          <w:p>
            <w:pPr>
              <w:spacing w:after="0"/>
              <w:rPr>
                <w:sz w:val="14"/>
                <w:szCs w:val="14"/>
                <w:color w:val="auto"/>
              </w:rPr>
            </w:pPr>
          </w:p>
        </w:tc>
        <w:tc>
          <w:tcPr>
            <w:tcW w:w="100" w:type="dxa"/>
            <w:vAlign w:val="bottom"/>
            <w:shd w:val="clear" w:color="auto" w:fill="CCFFCC"/>
          </w:tcPr>
          <w:p>
            <w:pPr>
              <w:jc w:val="right"/>
              <w:spacing w:after="0" w:line="17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FFCC"/>
          </w:tcPr>
          <w:p>
            <w:pPr>
              <w:jc w:val="right"/>
              <w:spacing w:after="0" w:line="171" w:lineRule="exact"/>
              <w:rPr>
                <w:sz w:val="20"/>
                <w:szCs w:val="20"/>
                <w:color w:val="auto"/>
              </w:rPr>
            </w:pPr>
            <w:r>
              <w:rPr>
                <w:rFonts w:ascii="Arial" w:cs="Arial" w:eastAsia="Arial" w:hAnsi="Arial"/>
                <w:sz w:val="18"/>
                <w:szCs w:val="18"/>
                <w:color w:val="auto"/>
                <w:w w:val="99"/>
              </w:rPr>
              <w:t>5,029,855</w:t>
            </w:r>
          </w:p>
        </w:tc>
        <w:tc>
          <w:tcPr>
            <w:tcW w:w="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40"/>
              <w:spacing w:after="0" w:line="171" w:lineRule="exact"/>
              <w:rPr>
                <w:sz w:val="20"/>
                <w:szCs w:val="20"/>
                <w:color w:val="auto"/>
              </w:rPr>
            </w:pPr>
            <w:r>
              <w:rPr>
                <w:rFonts w:ascii="Arial" w:cs="Arial" w:eastAsia="Arial" w:hAnsi="Arial"/>
                <w:sz w:val="18"/>
                <w:szCs w:val="18"/>
                <w:color w:val="auto"/>
                <w:w w:val="89"/>
              </w:rPr>
              <w:t>$12,910,000</w:t>
            </w:r>
          </w:p>
        </w:tc>
        <w:tc>
          <w:tcPr>
            <w:tcW w:w="0" w:type="dxa"/>
            <w:vAlign w:val="bottom"/>
          </w:tcPr>
          <w:p>
            <w:pPr>
              <w:spacing w:after="0"/>
              <w:rPr>
                <w:sz w:val="1"/>
                <w:szCs w:val="1"/>
                <w:color w:val="auto"/>
              </w:rPr>
            </w:pPr>
          </w:p>
        </w:tc>
      </w:tr>
      <w:tr>
        <w:trPr>
          <w:trHeight w:val="234"/>
        </w:trPr>
        <w:tc>
          <w:tcPr>
            <w:tcW w:w="27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b w:val="1"/>
                <w:bCs w:val="1"/>
                <w:color w:val="auto"/>
              </w:rPr>
              <w:t>Note</w:t>
            </w:r>
          </w:p>
        </w:tc>
        <w:tc>
          <w:tcPr>
            <w:tcW w:w="100" w:type="dxa"/>
            <w:vAlign w:val="bottom"/>
            <w:tcBorders>
              <w:bottom w:val="single" w:sz="8" w:color="CCFFCC"/>
            </w:tcBorders>
            <w:shd w:val="clear" w:color="auto" w:fill="CCFFCC"/>
          </w:tcPr>
          <w:p>
            <w:pPr>
              <w:spacing w:after="0"/>
              <w:rPr>
                <w:sz w:val="20"/>
                <w:szCs w:val="20"/>
                <w:color w:val="auto"/>
              </w:rPr>
            </w:pPr>
          </w:p>
        </w:tc>
        <w:tc>
          <w:tcPr>
            <w:tcW w:w="22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spacing w:after="0"/>
              <w:rPr>
                <w:sz w:val="20"/>
                <w:szCs w:val="20"/>
                <w:color w:val="auto"/>
              </w:rPr>
            </w:pPr>
          </w:p>
        </w:tc>
        <w:tc>
          <w:tcPr>
            <w:tcW w:w="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6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Total Investment in CLO Fund</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80" w:type="dxa"/>
            <w:vAlign w:val="bottom"/>
            <w:gridSpan w:val="4"/>
          </w:tcPr>
          <w:p>
            <w:pPr>
              <w:jc w:val="right"/>
              <w:spacing w:after="0" w:line="19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line="191" w:lineRule="exact"/>
              <w:rPr>
                <w:sz w:val="20"/>
                <w:szCs w:val="20"/>
                <w:color w:val="auto"/>
              </w:rPr>
            </w:pPr>
            <w:r>
              <w:rPr>
                <w:rFonts w:ascii="Arial" w:cs="Arial" w:eastAsia="Arial" w:hAnsi="Arial"/>
                <w:sz w:val="18"/>
                <w:szCs w:val="18"/>
                <w:color w:val="auto"/>
                <w:w w:val="88"/>
              </w:rPr>
              <w:t>90,146,410</w:t>
            </w:r>
          </w:p>
        </w:tc>
        <w:tc>
          <w:tcPr>
            <w:tcW w:w="100" w:type="dxa"/>
            <w:vAlign w:val="bottom"/>
          </w:tcPr>
          <w:p>
            <w:pPr>
              <w:spacing w:after="0"/>
              <w:rPr>
                <w:sz w:val="16"/>
                <w:szCs w:val="16"/>
                <w:color w:val="auto"/>
              </w:rPr>
            </w:pPr>
          </w:p>
        </w:tc>
        <w:tc>
          <w:tcPr>
            <w:tcW w:w="960" w:type="dxa"/>
            <w:vAlign w:val="bottom"/>
            <w:gridSpan w:val="2"/>
          </w:tcPr>
          <w:p>
            <w:pPr>
              <w:jc w:val="right"/>
              <w:ind w:right="40"/>
              <w:spacing w:after="0" w:line="191" w:lineRule="exact"/>
              <w:rPr>
                <w:sz w:val="20"/>
                <w:szCs w:val="20"/>
                <w:color w:val="auto"/>
              </w:rPr>
            </w:pPr>
            <w:r>
              <w:rPr>
                <w:rFonts w:ascii="Arial" w:cs="Arial" w:eastAsia="Arial" w:hAnsi="Arial"/>
                <w:sz w:val="18"/>
                <w:szCs w:val="18"/>
                <w:color w:val="auto"/>
                <w:w w:val="89"/>
              </w:rPr>
              <w:t>$83,257,507</w:t>
            </w:r>
          </w:p>
        </w:tc>
        <w:tc>
          <w:tcPr>
            <w:tcW w:w="0" w:type="dxa"/>
            <w:vAlign w:val="bottom"/>
          </w:tcPr>
          <w:p>
            <w:pPr>
              <w:spacing w:after="0"/>
              <w:rPr>
                <w:sz w:val="1"/>
                <w:szCs w:val="1"/>
                <w:color w:val="auto"/>
              </w:rPr>
            </w:pPr>
          </w:p>
        </w:tc>
      </w:tr>
      <w:tr>
        <w:trPr>
          <w:trHeight w:val="216"/>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Securities (40% of net asset</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value at fair value)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2760" w:type="dxa"/>
            <w:vAlign w:val="bottom"/>
          </w:tcPr>
          <w:p>
            <w:pPr>
              <w:ind w:left="60"/>
              <w:spacing w:after="0"/>
              <w:rPr>
                <w:sz w:val="20"/>
                <w:szCs w:val="20"/>
                <w:color w:val="auto"/>
              </w:rPr>
            </w:pPr>
            <w:r>
              <w:rPr>
                <w:rFonts w:ascii="Arial" w:cs="Arial" w:eastAsia="Arial" w:hAnsi="Arial"/>
                <w:sz w:val="18"/>
                <w:szCs w:val="18"/>
                <w:b w:val="1"/>
                <w:bCs w:val="1"/>
                <w:color w:val="auto"/>
              </w:rPr>
              <w:t>Asset Manager Affiliates</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66"/>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Portfolio Company/Principal Business</w:t>
            </w:r>
          </w:p>
        </w:tc>
        <w:tc>
          <w:tcPr>
            <w:tcW w:w="10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4"/>
                <w:szCs w:val="14"/>
                <w:color w:val="auto"/>
              </w:rPr>
            </w:pPr>
          </w:p>
        </w:tc>
        <w:tc>
          <w:tcPr>
            <w:tcW w:w="108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w w:val="90"/>
              </w:rPr>
              <w:t>Percentage</w:t>
            </w:r>
          </w:p>
        </w:tc>
        <w:tc>
          <w:tcPr>
            <w:tcW w:w="960" w:type="dxa"/>
            <w:vAlign w:val="bottom"/>
            <w:gridSpan w:val="3"/>
          </w:tcPr>
          <w:p>
            <w:pPr>
              <w:ind w:left="26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760" w:type="dxa"/>
            <w:vAlign w:val="bottom"/>
            <w:shd w:val="clear" w:color="auto" w:fill="CCFFCC"/>
          </w:tcPr>
          <w:p>
            <w:pPr>
              <w:ind w:left="20"/>
              <w:spacing w:after="0" w:line="250" w:lineRule="exact"/>
              <w:rPr>
                <w:sz w:val="20"/>
                <w:szCs w:val="20"/>
                <w:color w:val="auto"/>
              </w:rPr>
            </w:pPr>
            <w:r>
              <w:rPr>
                <w:rFonts w:ascii="Arial" w:cs="Arial" w:eastAsia="Arial" w:hAnsi="Arial"/>
                <w:sz w:val="17"/>
                <w:szCs w:val="17"/>
                <w:color w:val="auto"/>
              </w:rPr>
              <w:t>Asset Manager Affiliates</w:t>
            </w:r>
            <w:r>
              <w:rPr>
                <w:rFonts w:ascii="Arial" w:cs="Arial" w:eastAsia="Arial" w:hAnsi="Arial"/>
                <w:sz w:val="28"/>
                <w:szCs w:val="28"/>
                <w:color w:val="auto"/>
                <w:vertAlign w:val="superscript"/>
              </w:rPr>
              <w:t>(9)</w:t>
            </w:r>
          </w:p>
        </w:tc>
        <w:tc>
          <w:tcPr>
            <w:tcW w:w="100" w:type="dxa"/>
            <w:vAlign w:val="bottom"/>
            <w:shd w:val="clear" w:color="auto" w:fill="CCFFCC"/>
          </w:tcPr>
          <w:p>
            <w:pPr>
              <w:spacing w:after="0"/>
              <w:rPr>
                <w:sz w:val="21"/>
                <w:szCs w:val="21"/>
                <w:color w:val="auto"/>
              </w:rPr>
            </w:pPr>
          </w:p>
        </w:tc>
        <w:tc>
          <w:tcPr>
            <w:tcW w:w="2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Asset Management Company</w:t>
            </w:r>
          </w:p>
        </w:tc>
        <w:tc>
          <w:tcPr>
            <w:tcW w:w="118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100.0%   $</w:t>
            </w: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8"/>
              </w:rPr>
              <w:t>83,161,529</w:t>
            </w: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9"/>
              </w:rPr>
              <w:t>$77,242,000</w:t>
            </w:r>
          </w:p>
        </w:tc>
        <w:tc>
          <w:tcPr>
            <w:tcW w:w="0" w:type="dxa"/>
            <w:vAlign w:val="bottom"/>
          </w:tcPr>
          <w:p>
            <w:pPr>
              <w:spacing w:after="0"/>
              <w:rPr>
                <w:sz w:val="1"/>
                <w:szCs w:val="1"/>
                <w:color w:val="auto"/>
              </w:rPr>
            </w:pPr>
          </w:p>
        </w:tc>
      </w:tr>
      <w:tr>
        <w:trPr>
          <w:trHeight w:val="198"/>
        </w:trPr>
        <w:tc>
          <w:tcPr>
            <w:tcW w:w="276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1"/>
              </w:rPr>
              <w:t>Total Investment in Asset Manager</w:t>
            </w: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180" w:type="dxa"/>
            <w:vAlign w:val="bottom"/>
            <w:gridSpan w:val="4"/>
          </w:tcPr>
          <w:p>
            <w:pPr>
              <w:jc w:val="right"/>
              <w:spacing w:after="0" w:line="198"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w w:val="88"/>
              </w:rPr>
              <w:t>83,161,529</w:t>
            </w: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198" w:lineRule="exact"/>
              <w:rPr>
                <w:sz w:val="20"/>
                <w:szCs w:val="20"/>
                <w:color w:val="auto"/>
              </w:rPr>
            </w:pPr>
            <w:r>
              <w:rPr>
                <w:rFonts w:ascii="Arial" w:cs="Arial" w:eastAsia="Arial" w:hAnsi="Arial"/>
                <w:sz w:val="18"/>
                <w:szCs w:val="18"/>
                <w:color w:val="auto"/>
                <w:w w:val="89"/>
              </w:rPr>
              <w:t>$77,242,000</w:t>
            </w:r>
          </w:p>
        </w:tc>
        <w:tc>
          <w:tcPr>
            <w:tcW w:w="0" w:type="dxa"/>
            <w:vAlign w:val="bottom"/>
          </w:tcPr>
          <w:p>
            <w:pPr>
              <w:spacing w:after="0"/>
              <w:rPr>
                <w:sz w:val="1"/>
                <w:szCs w:val="1"/>
                <w:color w:val="auto"/>
              </w:rPr>
            </w:pPr>
          </w:p>
        </w:tc>
      </w:tr>
      <w:tr>
        <w:trPr>
          <w:trHeight w:val="216"/>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w w:val="90"/>
              </w:rPr>
              <w:t>Affiliates (37% of net asset value</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200"/>
              <w:spacing w:after="0"/>
              <w:rPr>
                <w:sz w:val="20"/>
                <w:szCs w:val="20"/>
                <w:color w:val="auto"/>
              </w:rPr>
            </w:pPr>
            <w:r>
              <w:rPr>
                <w:rFonts w:ascii="Arial" w:cs="Arial" w:eastAsia="Arial" w:hAnsi="Arial"/>
                <w:sz w:val="18"/>
                <w:szCs w:val="18"/>
                <w:b w:val="1"/>
                <w:bCs w:val="1"/>
                <w:color w:val="auto"/>
              </w:rPr>
              <w:t>at fair value)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-1457325</wp:posOffset>
            </wp:positionV>
            <wp:extent cx="5213985" cy="4286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-882650</wp:posOffset>
            </wp:positionV>
            <wp:extent cx="52057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90" w:name="page91"/>
    <w:bookmarkEnd w:id="9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Time Deposits and Money Market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2540" w:type="dxa"/>
            <w:vAlign w:val="bottom"/>
            <w:gridSpan w:val="3"/>
          </w:tcPr>
          <w:p>
            <w:pPr>
              <w:ind w:left="20"/>
              <w:spacing w:after="0"/>
              <w:rPr>
                <w:sz w:val="20"/>
                <w:szCs w:val="20"/>
                <w:color w:val="auto"/>
              </w:rPr>
            </w:pPr>
            <w:r>
              <w:rPr>
                <w:rFonts w:ascii="Arial" w:cs="Arial" w:eastAsia="Arial" w:hAnsi="Arial"/>
                <w:sz w:val="14"/>
                <w:szCs w:val="14"/>
                <w:b w:val="1"/>
                <w:bCs w:val="1"/>
                <w:color w:val="auto"/>
              </w:rPr>
              <w:t>Time Deposit and</w:t>
            </w:r>
          </w:p>
        </w:tc>
        <w:tc>
          <w:tcPr>
            <w:tcW w:w="100" w:type="dxa"/>
            <w:vAlign w:val="bottom"/>
          </w:tcPr>
          <w:p>
            <w:pPr>
              <w:spacing w:after="0"/>
              <w:rPr>
                <w:sz w:val="16"/>
                <w:szCs w:val="16"/>
                <w:color w:val="auto"/>
              </w:rPr>
            </w:pPr>
          </w:p>
        </w:tc>
        <w:tc>
          <w:tcPr>
            <w:tcW w:w="2280" w:type="dxa"/>
            <w:vAlign w:val="bottom"/>
          </w:tcPr>
          <w:p>
            <w:pPr>
              <w:ind w:left="800"/>
              <w:spacing w:after="0"/>
              <w:rPr>
                <w:sz w:val="20"/>
                <w:szCs w:val="20"/>
                <w:color w:val="auto"/>
              </w:rPr>
            </w:pPr>
            <w:r>
              <w:rPr>
                <w:rFonts w:ascii="Arial" w:cs="Arial" w:eastAsia="Arial" w:hAnsi="Arial"/>
                <w:sz w:val="14"/>
                <w:szCs w:val="14"/>
                <w:b w:val="1"/>
                <w:bCs w:val="1"/>
                <w:color w:val="auto"/>
              </w:rPr>
              <w:t>Investment</w:t>
            </w:r>
          </w:p>
        </w:tc>
        <w:tc>
          <w:tcPr>
            <w:tcW w:w="80" w:type="dxa"/>
            <w:vAlign w:val="bottom"/>
          </w:tcPr>
          <w:p>
            <w:pPr>
              <w:spacing w:after="0"/>
              <w:rPr>
                <w:sz w:val="16"/>
                <w:szCs w:val="16"/>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Par/Cost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20"/>
              <w:spacing w:after="0" w:line="193" w:lineRule="exact"/>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22"/>
                <w:szCs w:val="22"/>
                <w:b w:val="1"/>
                <w:bCs w:val="1"/>
                <w:color w:val="auto"/>
                <w:w w:val="96"/>
                <w:vertAlign w:val="superscript"/>
              </w:rPr>
              <w:t>(2)</w:t>
            </w:r>
          </w:p>
        </w:tc>
      </w:tr>
      <w:tr>
        <w:trPr>
          <w:trHeight w:val="171"/>
        </w:trPr>
        <w:tc>
          <w:tcPr>
            <w:tcW w:w="25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Money Market Accounts</w:t>
            </w:r>
          </w:p>
        </w:tc>
        <w:tc>
          <w:tcPr>
            <w:tcW w:w="10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250"/>
        </w:trPr>
        <w:tc>
          <w:tcPr>
            <w:tcW w:w="2540" w:type="dxa"/>
            <w:vAlign w:val="bottom"/>
            <w:gridSpan w:val="3"/>
            <w:shd w:val="clear" w:color="auto" w:fill="CCFFCC"/>
          </w:tcPr>
          <w:p>
            <w:pPr>
              <w:ind w:left="20"/>
              <w:spacing w:after="0" w:line="250" w:lineRule="exact"/>
              <w:rPr>
                <w:sz w:val="20"/>
                <w:szCs w:val="20"/>
                <w:color w:val="auto"/>
              </w:rPr>
            </w:pPr>
            <w:r>
              <w:rPr>
                <w:rFonts w:ascii="Arial" w:cs="Arial" w:eastAsia="Arial" w:hAnsi="Arial"/>
                <w:sz w:val="17"/>
                <w:szCs w:val="17"/>
                <w:color w:val="auto"/>
              </w:rPr>
              <w:t>JP Morgan Asset Account</w:t>
            </w:r>
            <w:r>
              <w:rPr>
                <w:rFonts w:ascii="Arial" w:cs="Arial" w:eastAsia="Arial" w:hAnsi="Arial"/>
                <w:sz w:val="28"/>
                <w:szCs w:val="28"/>
                <w:color w:val="auto"/>
                <w:vertAlign w:val="superscript"/>
              </w:rPr>
              <w:t>(9)</w:t>
            </w:r>
          </w:p>
        </w:tc>
        <w:tc>
          <w:tcPr>
            <w:tcW w:w="100" w:type="dxa"/>
            <w:vAlign w:val="bottom"/>
            <w:shd w:val="clear" w:color="auto" w:fill="CCFFCC"/>
          </w:tcPr>
          <w:p>
            <w:pPr>
              <w:spacing w:after="0"/>
              <w:rPr>
                <w:sz w:val="21"/>
                <w:szCs w:val="21"/>
                <w:color w:val="auto"/>
              </w:rPr>
            </w:pPr>
          </w:p>
        </w:tc>
        <w:tc>
          <w:tcPr>
            <w:tcW w:w="2280" w:type="dxa"/>
            <w:vAlign w:val="bottom"/>
            <w:shd w:val="clear" w:color="auto" w:fill="CCFFCC"/>
          </w:tcPr>
          <w:p>
            <w:pPr>
              <w:ind w:left="80"/>
              <w:spacing w:after="0"/>
              <w:rPr>
                <w:sz w:val="20"/>
                <w:szCs w:val="20"/>
                <w:color w:val="auto"/>
              </w:rPr>
            </w:pPr>
            <w:r>
              <w:rPr>
                <w:rFonts w:ascii="Arial" w:cs="Arial" w:eastAsia="Arial" w:hAnsi="Arial"/>
                <w:sz w:val="18"/>
                <w:szCs w:val="18"/>
                <w:color w:val="auto"/>
              </w:rPr>
              <w:t>Time Deposit</w:t>
            </w:r>
          </w:p>
        </w:tc>
        <w:tc>
          <w:tcPr>
            <w:tcW w:w="980" w:type="dxa"/>
            <w:vAlign w:val="bottom"/>
            <w:gridSpan w:val="2"/>
            <w:shd w:val="clear" w:color="auto" w:fill="CCFFCC"/>
          </w:tcPr>
          <w:p>
            <w:pPr>
              <w:jc w:val="right"/>
              <w:ind w:right="108"/>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1,942,834</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1,942,834</w:t>
            </w:r>
          </w:p>
        </w:tc>
      </w:tr>
      <w:tr>
        <w:trPr>
          <w:trHeight w:val="205"/>
        </w:trPr>
        <w:tc>
          <w:tcPr>
            <w:tcW w:w="2540" w:type="dxa"/>
            <w:vAlign w:val="bottom"/>
            <w:gridSpan w:val="3"/>
          </w:tcPr>
          <w:p>
            <w:pPr>
              <w:ind w:left="20"/>
              <w:spacing w:after="0" w:line="206" w:lineRule="exact"/>
              <w:rPr>
                <w:sz w:val="20"/>
                <w:szCs w:val="20"/>
                <w:color w:val="auto"/>
              </w:rPr>
            </w:pPr>
            <w:r>
              <w:rPr>
                <w:rFonts w:ascii="Arial" w:cs="Arial" w:eastAsia="Arial" w:hAnsi="Arial"/>
                <w:sz w:val="18"/>
                <w:szCs w:val="18"/>
                <w:color w:val="auto"/>
              </w:rPr>
              <w:t>JP Morgan Business Money</w:t>
            </w:r>
          </w:p>
        </w:tc>
        <w:tc>
          <w:tcPr>
            <w:tcW w:w="100" w:type="dxa"/>
            <w:vAlign w:val="bottom"/>
          </w:tcPr>
          <w:p>
            <w:pPr>
              <w:spacing w:after="0"/>
              <w:rPr>
                <w:sz w:val="17"/>
                <w:szCs w:val="17"/>
                <w:color w:val="auto"/>
              </w:rPr>
            </w:pPr>
          </w:p>
        </w:tc>
        <w:tc>
          <w:tcPr>
            <w:tcW w:w="2280" w:type="dxa"/>
            <w:vAlign w:val="bottom"/>
          </w:tcPr>
          <w:p>
            <w:pPr>
              <w:ind w:left="80"/>
              <w:spacing w:after="0" w:line="206" w:lineRule="exact"/>
              <w:rPr>
                <w:sz w:val="20"/>
                <w:szCs w:val="20"/>
                <w:color w:val="auto"/>
              </w:rPr>
            </w:pPr>
            <w:r>
              <w:rPr>
                <w:rFonts w:ascii="Arial" w:cs="Arial" w:eastAsia="Arial" w:hAnsi="Arial"/>
                <w:sz w:val="18"/>
                <w:szCs w:val="18"/>
                <w:color w:val="auto"/>
              </w:rPr>
              <w:t>Money Market Account</w:t>
            </w:r>
          </w:p>
        </w:tc>
        <w:tc>
          <w:tcPr>
            <w:tcW w:w="980" w:type="dxa"/>
            <w:vAlign w:val="bottom"/>
            <w:gridSpan w:val="2"/>
          </w:tcPr>
          <w:p>
            <w:pPr>
              <w:jc w:val="right"/>
              <w:ind w:right="108"/>
              <w:spacing w:after="0" w:line="206"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195,856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6" w:lineRule="exact"/>
              <w:rPr>
                <w:sz w:val="20"/>
                <w:szCs w:val="20"/>
                <w:color w:val="auto"/>
              </w:rPr>
            </w:pPr>
            <w:r>
              <w:rPr>
                <w:rFonts w:ascii="Arial" w:cs="Arial" w:eastAsia="Arial" w:hAnsi="Arial"/>
                <w:sz w:val="18"/>
                <w:szCs w:val="18"/>
                <w:color w:val="auto"/>
              </w:rPr>
              <w:t>195,856</w:t>
            </w:r>
          </w:p>
        </w:tc>
      </w:tr>
      <w:tr>
        <w:trPr>
          <w:trHeight w:val="267"/>
        </w:trPr>
        <w:tc>
          <w:tcPr>
            <w:tcW w:w="20" w:type="dxa"/>
            <w:vAlign w:val="bottom"/>
          </w:tcPr>
          <w:p>
            <w:pPr>
              <w:spacing w:after="0"/>
              <w:rPr>
                <w:sz w:val="23"/>
                <w:szCs w:val="23"/>
                <w:color w:val="auto"/>
              </w:rPr>
            </w:pPr>
          </w:p>
        </w:tc>
        <w:tc>
          <w:tcPr>
            <w:tcW w:w="252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Market Account</w:t>
            </w:r>
            <w:r>
              <w:rPr>
                <w:rFonts w:ascii="Arial" w:cs="Arial" w:eastAsia="Arial" w:hAnsi="Arial"/>
                <w:sz w:val="30"/>
                <w:szCs w:val="30"/>
                <w:color w:val="auto"/>
                <w:vertAlign w:val="superscript"/>
              </w:rPr>
              <w:t>(8), (9)</w:t>
            </w: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5"/>
        </w:trPr>
        <w:tc>
          <w:tcPr>
            <w:tcW w:w="2540" w:type="dxa"/>
            <w:vAlign w:val="bottom"/>
            <w:gridSpan w:val="3"/>
            <w:shd w:val="clear" w:color="auto" w:fill="CCFFCC"/>
          </w:tcPr>
          <w:p>
            <w:pPr>
              <w:ind w:left="20"/>
              <w:spacing w:after="0" w:line="206" w:lineRule="exact"/>
              <w:rPr>
                <w:sz w:val="20"/>
                <w:szCs w:val="20"/>
                <w:color w:val="auto"/>
              </w:rPr>
            </w:pPr>
            <w:r>
              <w:rPr>
                <w:rFonts w:ascii="Arial" w:cs="Arial" w:eastAsia="Arial" w:hAnsi="Arial"/>
                <w:sz w:val="18"/>
                <w:szCs w:val="18"/>
                <w:color w:val="auto"/>
              </w:rPr>
              <w:t>US Bank Money Market</w:t>
            </w:r>
          </w:p>
        </w:tc>
        <w:tc>
          <w:tcPr>
            <w:tcW w:w="100" w:type="dxa"/>
            <w:vAlign w:val="bottom"/>
            <w:shd w:val="clear" w:color="auto" w:fill="CCFFCC"/>
          </w:tcPr>
          <w:p>
            <w:pPr>
              <w:spacing w:after="0"/>
              <w:rPr>
                <w:sz w:val="17"/>
                <w:szCs w:val="17"/>
                <w:color w:val="auto"/>
              </w:rPr>
            </w:pPr>
          </w:p>
        </w:tc>
        <w:tc>
          <w:tcPr>
            <w:tcW w:w="2280" w:type="dxa"/>
            <w:vAlign w:val="bottom"/>
            <w:shd w:val="clear" w:color="auto" w:fill="CCFFCC"/>
          </w:tcPr>
          <w:p>
            <w:pPr>
              <w:ind w:left="80"/>
              <w:spacing w:after="0" w:line="206" w:lineRule="exact"/>
              <w:rPr>
                <w:sz w:val="20"/>
                <w:szCs w:val="20"/>
                <w:color w:val="auto"/>
              </w:rPr>
            </w:pPr>
            <w:r>
              <w:rPr>
                <w:rFonts w:ascii="Arial" w:cs="Arial" w:eastAsia="Arial" w:hAnsi="Arial"/>
                <w:sz w:val="18"/>
                <w:szCs w:val="18"/>
                <w:color w:val="auto"/>
              </w:rPr>
              <w:t>Money Market Account</w:t>
            </w:r>
          </w:p>
        </w:tc>
        <w:tc>
          <w:tcPr>
            <w:tcW w:w="980" w:type="dxa"/>
            <w:vAlign w:val="bottom"/>
            <w:gridSpan w:val="2"/>
            <w:shd w:val="clear" w:color="auto" w:fill="CCFFCC"/>
          </w:tcPr>
          <w:p>
            <w:pPr>
              <w:jc w:val="right"/>
              <w:ind w:right="108"/>
              <w:spacing w:after="0" w:line="206" w:lineRule="exact"/>
              <w:rPr>
                <w:sz w:val="20"/>
                <w:szCs w:val="20"/>
                <w:color w:val="auto"/>
              </w:rPr>
            </w:pPr>
            <w:r>
              <w:rPr>
                <w:rFonts w:ascii="Arial" w:cs="Arial" w:eastAsia="Arial" w:hAnsi="Arial"/>
                <w:sz w:val="18"/>
                <w:szCs w:val="18"/>
                <w:color w:val="auto"/>
              </w:rPr>
              <w:t>0.40%</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60"/>
              <w:spacing w:after="0" w:line="206" w:lineRule="exact"/>
              <w:rPr>
                <w:sz w:val="20"/>
                <w:szCs w:val="20"/>
                <w:color w:val="auto"/>
              </w:rPr>
            </w:pPr>
            <w:r>
              <w:rPr>
                <w:rFonts w:ascii="Arial" w:cs="Arial" w:eastAsia="Arial" w:hAnsi="Arial"/>
                <w:sz w:val="18"/>
                <w:szCs w:val="18"/>
                <w:color w:val="auto"/>
                <w:w w:val="97"/>
              </w:rPr>
              <w:t>30,347,968</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line="206" w:lineRule="exact"/>
              <w:rPr>
                <w:sz w:val="20"/>
                <w:szCs w:val="20"/>
                <w:color w:val="auto"/>
              </w:rPr>
            </w:pPr>
            <w:r>
              <w:rPr>
                <w:rFonts w:ascii="Arial" w:cs="Arial" w:eastAsia="Arial" w:hAnsi="Arial"/>
                <w:sz w:val="18"/>
                <w:szCs w:val="18"/>
                <w:color w:val="auto"/>
                <w:w w:val="99"/>
              </w:rPr>
              <w:t>30,347,968</w:t>
            </w:r>
          </w:p>
        </w:tc>
      </w:tr>
      <w:tr>
        <w:trPr>
          <w:trHeight w:val="267"/>
        </w:trPr>
        <w:tc>
          <w:tcPr>
            <w:tcW w:w="20" w:type="dxa"/>
            <w:vAlign w:val="bottom"/>
            <w:tcBorders>
              <w:bottom w:val="single" w:sz="8" w:color="CCFFCC"/>
            </w:tcBorders>
            <w:shd w:val="clear" w:color="auto" w:fill="CCFFCC"/>
          </w:tcPr>
          <w:p>
            <w:pPr>
              <w:spacing w:after="0"/>
              <w:rPr>
                <w:sz w:val="23"/>
                <w:szCs w:val="23"/>
                <w:color w:val="auto"/>
              </w:rPr>
            </w:pPr>
          </w:p>
        </w:tc>
        <w:tc>
          <w:tcPr>
            <w:tcW w:w="2520" w:type="dxa"/>
            <w:vAlign w:val="bottom"/>
            <w:tcBorders>
              <w:bottom w:val="single" w:sz="8" w:color="CCFFCC"/>
            </w:tcBorders>
            <w:gridSpan w:val="2"/>
            <w:shd w:val="clear" w:color="auto" w:fill="CCFFCC"/>
          </w:tcPr>
          <w:p>
            <w:pPr>
              <w:ind w:left="180"/>
              <w:spacing w:after="0" w:line="266" w:lineRule="exact"/>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(9)</w:t>
            </w:r>
          </w:p>
        </w:tc>
        <w:tc>
          <w:tcPr>
            <w:tcW w:w="100" w:type="dxa"/>
            <w:vAlign w:val="bottom"/>
            <w:tcBorders>
              <w:bottom w:val="single" w:sz="8" w:color="CCFFCC"/>
            </w:tcBorders>
            <w:shd w:val="clear" w:color="auto" w:fill="CCFFCC"/>
          </w:tcPr>
          <w:p>
            <w:pPr>
              <w:spacing w:after="0"/>
              <w:rPr>
                <w:sz w:val="23"/>
                <w:szCs w:val="23"/>
                <w:color w:val="auto"/>
              </w:rPr>
            </w:pPr>
          </w:p>
        </w:tc>
        <w:tc>
          <w:tcPr>
            <w:tcW w:w="22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r>
      <w:tr>
        <w:trPr>
          <w:trHeight w:val="191"/>
        </w:trPr>
        <w:tc>
          <w:tcPr>
            <w:tcW w:w="25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Total Investment in Time</w:t>
            </w: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191" w:lineRule="exact"/>
              <w:rPr>
                <w:sz w:val="20"/>
                <w:szCs w:val="20"/>
                <w:color w:val="auto"/>
              </w:rPr>
            </w:pPr>
            <w:r>
              <w:rPr>
                <w:rFonts w:ascii="Arial" w:cs="Arial" w:eastAsia="Arial" w:hAnsi="Arial"/>
                <w:sz w:val="18"/>
                <w:szCs w:val="18"/>
                <w:color w:val="auto"/>
                <w:w w:val="97"/>
              </w:rPr>
              <w:t>32,486,658</w:t>
            </w:r>
          </w:p>
        </w:tc>
        <w:tc>
          <w:tcPr>
            <w:tcW w:w="20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line="191" w:lineRule="exact"/>
              <w:rPr>
                <w:sz w:val="20"/>
                <w:szCs w:val="20"/>
                <w:color w:val="auto"/>
              </w:rPr>
            </w:pPr>
            <w:r>
              <w:rPr>
                <w:rFonts w:ascii="Arial" w:cs="Arial" w:eastAsia="Arial" w:hAnsi="Arial"/>
                <w:sz w:val="18"/>
                <w:szCs w:val="18"/>
                <w:color w:val="auto"/>
                <w:w w:val="99"/>
              </w:rPr>
              <w:t>32,486,658</w:t>
            </w:r>
          </w:p>
        </w:tc>
      </w:tr>
      <w:tr>
        <w:trPr>
          <w:trHeight w:val="216"/>
        </w:trPr>
        <w:tc>
          <w:tcPr>
            <w:tcW w:w="2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b w:val="1"/>
                <w:bCs w:val="1"/>
                <w:color w:val="auto"/>
              </w:rPr>
              <w:t>Deposit and Money Market</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b w:val="1"/>
                <w:bCs w:val="1"/>
                <w:color w:val="auto"/>
                <w:w w:val="99"/>
              </w:rPr>
              <w:t>Accounts (16% of net asset</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52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 at fair value)</w:t>
            </w: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2"/>
        </w:trPr>
        <w:tc>
          <w:tcPr>
            <w:tcW w:w="2540" w:type="dxa"/>
            <w:vAlign w:val="bottom"/>
            <w:gridSpan w:val="3"/>
            <w:shd w:val="clear" w:color="auto" w:fill="CCFFCC"/>
          </w:tcPr>
          <w:p>
            <w:pPr>
              <w:ind w:left="20"/>
              <w:spacing w:after="0" w:line="232" w:lineRule="exact"/>
              <w:rPr>
                <w:sz w:val="20"/>
                <w:szCs w:val="20"/>
                <w:color w:val="auto"/>
              </w:rPr>
            </w:pPr>
            <w:r>
              <w:rPr>
                <w:rFonts w:ascii="Arial" w:cs="Arial" w:eastAsia="Arial" w:hAnsi="Arial"/>
                <w:sz w:val="16"/>
                <w:szCs w:val="16"/>
                <w:b w:val="1"/>
                <w:bCs w:val="1"/>
                <w:color w:val="auto"/>
              </w:rPr>
              <w:t>Total Investments</w:t>
            </w:r>
            <w:r>
              <w:rPr>
                <w:rFonts w:ascii="Arial" w:cs="Arial" w:eastAsia="Arial" w:hAnsi="Arial"/>
                <w:sz w:val="26"/>
                <w:szCs w:val="26"/>
                <w:b w:val="1"/>
                <w:bCs w:val="1"/>
                <w:color w:val="auto"/>
                <w:vertAlign w:val="superscript"/>
              </w:rPr>
              <w:t>(4)</w:t>
            </w:r>
            <w:r>
              <w:rPr>
                <w:rFonts w:ascii="Arial" w:cs="Arial" w:eastAsia="Arial" w:hAnsi="Arial"/>
                <w:sz w:val="16"/>
                <w:szCs w:val="16"/>
                <w:b w:val="1"/>
                <w:bCs w:val="1"/>
                <w:color w:val="auto"/>
              </w:rPr>
              <w:t xml:space="preserve"> (150%</w:t>
            </w:r>
          </w:p>
        </w:tc>
        <w:tc>
          <w:tcPr>
            <w:tcW w:w="100" w:type="dxa"/>
            <w:vAlign w:val="bottom"/>
            <w:shd w:val="clear" w:color="auto" w:fill="CCFFCC"/>
          </w:tcPr>
          <w:p>
            <w:pPr>
              <w:spacing w:after="0"/>
              <w:rPr>
                <w:sz w:val="20"/>
                <w:szCs w:val="20"/>
                <w:color w:val="auto"/>
              </w:rPr>
            </w:pPr>
          </w:p>
        </w:tc>
        <w:tc>
          <w:tcPr>
            <w:tcW w:w="22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7"/>
              </w:rPr>
              <w:t>358,547,336</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9"/>
              </w:rPr>
              <w:t>312,044,763</w:t>
            </w:r>
          </w:p>
        </w:tc>
      </w:tr>
      <w:tr>
        <w:trPr>
          <w:trHeight w:val="275"/>
        </w:trPr>
        <w:tc>
          <w:tcPr>
            <w:tcW w:w="20" w:type="dxa"/>
            <w:vAlign w:val="bottom"/>
            <w:tcBorders>
              <w:bottom w:val="single" w:sz="8" w:color="CCFFCC"/>
            </w:tcBorders>
            <w:shd w:val="clear" w:color="auto" w:fill="CCFFCC"/>
          </w:tcPr>
          <w:p>
            <w:pPr>
              <w:spacing w:after="0"/>
              <w:rPr>
                <w:sz w:val="23"/>
                <w:szCs w:val="23"/>
                <w:color w:val="auto"/>
              </w:rPr>
            </w:pPr>
          </w:p>
        </w:tc>
        <w:tc>
          <w:tcPr>
            <w:tcW w:w="25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w w:val="88"/>
              </w:rPr>
              <w:t>of net asset value at fair value)</w:t>
            </w:r>
          </w:p>
        </w:tc>
        <w:tc>
          <w:tcPr>
            <w:tcW w:w="100" w:type="dxa"/>
            <w:vAlign w:val="bottom"/>
            <w:tcBorders>
              <w:bottom w:val="single" w:sz="8" w:color="CCFFCC"/>
            </w:tcBorders>
            <w:shd w:val="clear" w:color="auto" w:fill="CCFFCC"/>
          </w:tcPr>
          <w:p>
            <w:pPr>
              <w:spacing w:after="0"/>
              <w:rPr>
                <w:sz w:val="23"/>
                <w:szCs w:val="23"/>
                <w:color w:val="auto"/>
              </w:rPr>
            </w:pPr>
          </w:p>
        </w:tc>
        <w:tc>
          <w:tcPr>
            <w:tcW w:w="228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-1088390</wp:posOffset>
            </wp:positionV>
            <wp:extent cx="5213985" cy="5657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13985" cy="5657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879" w:hanging="272"/>
        <w:spacing w:after="0" w:line="259"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majority of the variable rate loans to the Company’s portfolio companies bear interest at a rate that may be determined by reference to either LIBOR or an alternate Base Rate (commonly based on the Federal Funds Rate or the Prime Rate), which typically resets semi-annually, quarterly, or monthly. For each such loan, the Company has provided the weighted average annual stated interest rate in effect at December 31, 2012.</w:t>
      </w:r>
    </w:p>
    <w:p>
      <w:pPr>
        <w:spacing w:after="0" w:line="78"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the fair market value of all investments as of December 31, 2012, as determined by the Company’s Board of Directors.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Non-U.S. company or principal place of business outside the U.S.</w:t>
      </w:r>
    </w:p>
    <w:p>
      <w:pPr>
        <w:spacing w:after="0" w:line="117" w:lineRule="exact"/>
        <w:rPr>
          <w:rFonts w:ascii="Arial" w:cs="Arial" w:eastAsia="Arial" w:hAnsi="Arial"/>
          <w:sz w:val="18"/>
          <w:szCs w:val="18"/>
          <w:color w:val="auto"/>
        </w:rPr>
      </w:pPr>
    </w:p>
    <w:p>
      <w:pPr>
        <w:ind w:left="300" w:right="619" w:hanging="272"/>
        <w:spacing w:after="0" w:line="264"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aggregate cost of investments for federal income tax purposes is approximately $359 million. The aggregate gross unrealized appreciation is approximately $11 million, the aggregate gross unrealized depreciation is approximately $58 million, and the net unrealized depreciation is approximately $47 million.</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 affiliate CLO Fund managed by an Asset Manager Affiliate (as such term is defined in the notes to the financial statements).</w:t>
      </w:r>
    </w:p>
    <w:p>
      <w:pPr>
        <w:spacing w:after="0" w:line="140" w:lineRule="exact"/>
        <w:rPr>
          <w:rFonts w:ascii="Arial" w:cs="Arial" w:eastAsia="Arial" w:hAnsi="Arial"/>
          <w:sz w:val="16"/>
          <w:szCs w:val="16"/>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Loan or debt security is on non-accrual status and therefore is considered non-income producing.</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Money market account holding restricted cash and security deposits for employee benefit plans.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rFonts w:ascii="Arial" w:cs="Arial" w:eastAsia="Arial" w:hAnsi="Arial"/>
          <w:sz w:val="18"/>
          <w:szCs w:val="18"/>
          <w:color w:val="auto"/>
        </w:rPr>
      </w:pPr>
    </w:p>
    <w:p>
      <w:pPr>
        <w:ind w:left="340" w:hanging="312"/>
        <w:spacing w:after="0"/>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 of December 31, 2012, this CLO Fund Security was not providing a dividend distribution.</w:t>
      </w:r>
    </w:p>
    <w:p>
      <w:pPr>
        <w:spacing w:after="0" w:line="200" w:lineRule="exact"/>
        <w:rPr>
          <w:sz w:val="20"/>
          <w:szCs w:val="20"/>
          <w:color w:val="auto"/>
        </w:rPr>
      </w:pPr>
    </w:p>
    <w:p>
      <w:pPr>
        <w:spacing w:after="0" w:line="361"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8"/>
          </w:tcPr>
          <w:p>
            <w:pPr>
              <w:jc w:val="center"/>
              <w:ind w:left="7"/>
              <w:spacing w:after="0"/>
              <w:rPr>
                <w:sz w:val="20"/>
                <w:szCs w:val="20"/>
                <w:color w:val="auto"/>
              </w:rPr>
            </w:pPr>
            <w:r>
              <w:rPr>
                <w:rFonts w:ascii="Arial" w:cs="Arial" w:eastAsia="Arial" w:hAnsi="Arial"/>
                <w:sz w:val="18"/>
                <w:szCs w:val="18"/>
                <w:b w:val="1"/>
                <w:bCs w:val="1"/>
                <w:color w:val="auto"/>
              </w:rPr>
              <w:t>KCAP FINANCIAL, INC.</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8"/>
          </w:tcPr>
          <w:p>
            <w:pPr>
              <w:jc w:val="center"/>
              <w:ind w:left="7"/>
              <w:spacing w:after="0"/>
              <w:rPr>
                <w:sz w:val="20"/>
                <w:szCs w:val="20"/>
                <w:color w:val="auto"/>
              </w:rPr>
            </w:pPr>
            <w:r>
              <w:rPr>
                <w:rFonts w:ascii="Arial" w:cs="Arial" w:eastAsia="Arial" w:hAnsi="Arial"/>
                <w:sz w:val="18"/>
                <w:szCs w:val="18"/>
                <w:b w:val="1"/>
                <w:bCs w:val="1"/>
                <w:color w:val="auto"/>
              </w:rPr>
              <w:t>FINANCIAL HIGHLIGHTS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4"/>
          </w:tcPr>
          <w:p>
            <w:pPr>
              <w:jc w:val="center"/>
              <w:spacing w:after="0" w:line="181" w:lineRule="exact"/>
              <w:rPr>
                <w:sz w:val="20"/>
                <w:szCs w:val="20"/>
                <w:color w:val="auto"/>
              </w:rPr>
            </w:pPr>
            <w:r>
              <w:rPr>
                <w:rFonts w:ascii="Arial" w:cs="Arial" w:eastAsia="Arial" w:hAnsi="Arial"/>
                <w:sz w:val="18"/>
                <w:szCs w:val="18"/>
                <w:b w:val="1"/>
                <w:bCs w:val="1"/>
                <w:color w:val="auto"/>
                <w:w w:val="90"/>
              </w:rPr>
              <w:t>($ per share)</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gridSpan w:val="8"/>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For the Years Ended December 31,</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Net asset value, at beginning of period</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7.85</w:t>
            </w:r>
          </w:p>
        </w:tc>
        <w:tc>
          <w:tcPr>
            <w:tcW w:w="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FFCC"/>
            </w:tcBorders>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7.85</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FFCC"/>
            </w:tcBorders>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8.21</w:t>
            </w: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9.56</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Net investment income</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0.90</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0.70</w:t>
            </w: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89"/>
        </w:trPr>
        <w:tc>
          <w:tcPr>
            <w:tcW w:w="20" w:type="dxa"/>
            <w:vAlign w:val="bottom"/>
            <w:shd w:val="clear" w:color="auto" w:fill="CCFFCC"/>
          </w:tcPr>
          <w:p>
            <w:pPr>
              <w:spacing w:after="0"/>
              <w:rPr>
                <w:sz w:val="16"/>
                <w:szCs w:val="16"/>
                <w:color w:val="auto"/>
              </w:rPr>
            </w:pPr>
          </w:p>
        </w:tc>
        <w:tc>
          <w:tcPr>
            <w:tcW w:w="3140" w:type="dxa"/>
            <w:vAlign w:val="bottom"/>
            <w:gridSpan w:val="2"/>
            <w:shd w:val="clear" w:color="auto" w:fill="CCFFCC"/>
          </w:tcPr>
          <w:p>
            <w:pPr>
              <w:ind w:left="180"/>
              <w:spacing w:after="0" w:line="189" w:lineRule="exact"/>
              <w:rPr>
                <w:sz w:val="20"/>
                <w:szCs w:val="20"/>
                <w:color w:val="auto"/>
              </w:rPr>
            </w:pPr>
            <w:r>
              <w:rPr>
                <w:rFonts w:ascii="Arial" w:cs="Arial" w:eastAsia="Arial" w:hAnsi="Arial"/>
                <w:sz w:val="13"/>
                <w:szCs w:val="13"/>
                <w:color w:val="auto"/>
              </w:rPr>
              <w:t>Net realized losses from investments</w:t>
            </w:r>
            <w:r>
              <w:rPr>
                <w:rFonts w:ascii="Arial" w:cs="Arial" w:eastAsia="Arial" w:hAnsi="Arial"/>
                <w:sz w:val="21"/>
                <w:szCs w:val="21"/>
                <w:color w:val="auto"/>
                <w:vertAlign w:val="superscript"/>
              </w:rPr>
              <w:t>(1)</w:t>
            </w:r>
          </w:p>
        </w:tc>
        <w:tc>
          <w:tcPr>
            <w:tcW w:w="100" w:type="dxa"/>
            <w:vAlign w:val="bottom"/>
            <w:shd w:val="clear" w:color="auto" w:fill="CCFFCC"/>
          </w:tcPr>
          <w:p>
            <w:pPr>
              <w:spacing w:after="0"/>
              <w:rPr>
                <w:sz w:val="16"/>
                <w:szCs w:val="16"/>
                <w:color w:val="auto"/>
              </w:rPr>
            </w:pPr>
          </w:p>
        </w:tc>
        <w:tc>
          <w:tcPr>
            <w:tcW w:w="9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CFFCC"/>
          </w:tcPr>
          <w:p>
            <w:pPr>
              <w:spacing w:after="0"/>
              <w:rPr>
                <w:sz w:val="16"/>
                <w:szCs w:val="16"/>
                <w:color w:val="auto"/>
              </w:rPr>
            </w:pPr>
          </w:p>
        </w:tc>
        <w:tc>
          <w:tcPr>
            <w:tcW w:w="8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FFCC"/>
          </w:tcPr>
          <w:p>
            <w:pPr>
              <w:spacing w:after="0"/>
              <w:rPr>
                <w:sz w:val="16"/>
                <w:szCs w:val="16"/>
                <w:color w:val="auto"/>
              </w:rPr>
            </w:pPr>
          </w:p>
        </w:tc>
        <w:tc>
          <w:tcPr>
            <w:tcW w:w="92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(0.81)</w:t>
            </w:r>
          </w:p>
        </w:tc>
        <w:tc>
          <w:tcPr>
            <w:tcW w:w="80" w:type="dxa"/>
            <w:vAlign w:val="bottom"/>
            <w:shd w:val="clear" w:color="auto" w:fill="CCFFCC"/>
          </w:tcPr>
          <w:p>
            <w:pPr>
              <w:spacing w:after="0"/>
              <w:rPr>
                <w:sz w:val="16"/>
                <w:szCs w:val="16"/>
                <w:color w:val="auto"/>
              </w:rPr>
            </w:pPr>
          </w:p>
        </w:tc>
        <w:tc>
          <w:tcPr>
            <w:tcW w:w="9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(0.79)</w:t>
            </w:r>
          </w:p>
        </w:tc>
        <w:tc>
          <w:tcPr>
            <w:tcW w:w="10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40" w:type="dxa"/>
            <w:vAlign w:val="bottom"/>
            <w:gridSpan w:val="2"/>
          </w:tcPr>
          <w:p>
            <w:pPr>
              <w:ind w:left="180"/>
              <w:spacing w:after="0" w:line="140" w:lineRule="exact"/>
              <w:rPr>
                <w:sz w:val="20"/>
                <w:szCs w:val="20"/>
                <w:color w:val="auto"/>
              </w:rPr>
            </w:pPr>
            <w:r>
              <w:rPr>
                <w:rFonts w:ascii="Arial" w:cs="Arial" w:eastAsia="Arial" w:hAnsi="Arial"/>
                <w:sz w:val="14"/>
                <w:szCs w:val="14"/>
                <w:color w:val="auto"/>
              </w:rPr>
              <w:t>Net realized losses from extinguishment of</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(0.02)</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gridSpan w:val="2"/>
          </w:tcPr>
          <w:p>
            <w:pPr>
              <w:ind w:left="360"/>
              <w:spacing w:after="0" w:line="198" w:lineRule="exact"/>
              <w:rPr>
                <w:sz w:val="20"/>
                <w:szCs w:val="20"/>
                <w:color w:val="auto"/>
              </w:rPr>
            </w:pPr>
            <w:r>
              <w:rPr>
                <w:rFonts w:ascii="Arial" w:cs="Arial" w:eastAsia="Arial" w:hAnsi="Arial"/>
                <w:sz w:val="14"/>
                <w:szCs w:val="14"/>
                <w:color w:val="auto"/>
              </w:rPr>
              <w:t>debt</w:t>
            </w:r>
            <w:r>
              <w:rPr>
                <w:rFonts w:ascii="Arial" w:cs="Arial" w:eastAsia="Arial" w:hAnsi="Arial"/>
                <w:sz w:val="22"/>
                <w:szCs w:val="22"/>
                <w:color w:val="auto"/>
                <w:vertAlign w:val="superscript"/>
              </w:rPr>
              <w:t>(1)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FFCC"/>
          </w:tcPr>
          <w:p>
            <w:pPr>
              <w:spacing w:after="0"/>
              <w:rPr>
                <w:sz w:val="12"/>
                <w:szCs w:val="12"/>
                <w:color w:val="auto"/>
              </w:rPr>
            </w:pPr>
          </w:p>
        </w:tc>
        <w:tc>
          <w:tcPr>
            <w:tcW w:w="3140" w:type="dxa"/>
            <w:vAlign w:val="bottom"/>
            <w:gridSpan w:val="2"/>
            <w:shd w:val="clear" w:color="auto" w:fill="CCFFCC"/>
          </w:tcPr>
          <w:p>
            <w:pPr>
              <w:ind w:left="180"/>
              <w:spacing w:after="0" w:line="140" w:lineRule="exact"/>
              <w:rPr>
                <w:sz w:val="20"/>
                <w:szCs w:val="20"/>
                <w:color w:val="auto"/>
              </w:rPr>
            </w:pPr>
            <w:r>
              <w:rPr>
                <w:rFonts w:ascii="Arial" w:cs="Arial" w:eastAsia="Arial" w:hAnsi="Arial"/>
                <w:sz w:val="14"/>
                <w:szCs w:val="14"/>
                <w:color w:val="auto"/>
              </w:rPr>
              <w:t>Net change in unrealized appreciation</w:t>
            </w:r>
          </w:p>
        </w:tc>
        <w:tc>
          <w:tcPr>
            <w:tcW w:w="100" w:type="dxa"/>
            <w:vAlign w:val="bottom"/>
            <w:shd w:val="clear" w:color="auto" w:fill="CCFFCC"/>
          </w:tcPr>
          <w:p>
            <w:pPr>
              <w:spacing w:after="0"/>
              <w:rPr>
                <w:sz w:val="12"/>
                <w:szCs w:val="12"/>
                <w:color w:val="auto"/>
              </w:rPr>
            </w:pPr>
          </w:p>
        </w:tc>
        <w:tc>
          <w:tcPr>
            <w:tcW w:w="980" w:type="dxa"/>
            <w:vAlign w:val="bottom"/>
            <w:tcBorders>
              <w:right w:val="single" w:sz="8" w:color="CCFFCC"/>
            </w:tcBorders>
            <w:gridSpan w:val="2"/>
            <w:shd w:val="clear" w:color="auto" w:fill="CCFFCC"/>
          </w:tcPr>
          <w:p>
            <w:pPr>
              <w:jc w:val="right"/>
              <w:ind w:right="260"/>
              <w:spacing w:after="0" w:line="140" w:lineRule="exact"/>
              <w:rPr>
                <w:sz w:val="20"/>
                <w:szCs w:val="20"/>
                <w:color w:val="auto"/>
              </w:rPr>
            </w:pPr>
            <w:r>
              <w:rPr>
                <w:rFonts w:ascii="Arial" w:cs="Arial" w:eastAsia="Arial" w:hAnsi="Arial"/>
                <w:sz w:val="14"/>
                <w:szCs w:val="14"/>
                <w:color w:val="auto"/>
              </w:rPr>
              <w:t>0.03</w:t>
            </w:r>
          </w:p>
        </w:tc>
        <w:tc>
          <w:tcPr>
            <w:tcW w:w="12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80"/>
              <w:spacing w:after="0" w:line="140" w:lineRule="exact"/>
              <w:rPr>
                <w:sz w:val="20"/>
                <w:szCs w:val="20"/>
                <w:color w:val="auto"/>
              </w:rPr>
            </w:pPr>
            <w:r>
              <w:rPr>
                <w:rFonts w:ascii="Arial" w:cs="Arial" w:eastAsia="Arial" w:hAnsi="Arial"/>
                <w:sz w:val="14"/>
                <w:szCs w:val="14"/>
                <w:color w:val="auto"/>
              </w:rPr>
              <w:t>0.11</w:t>
            </w:r>
          </w:p>
        </w:tc>
        <w:tc>
          <w:tcPr>
            <w:tcW w:w="10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00"/>
              <w:spacing w:after="0" w:line="140" w:lineRule="exact"/>
              <w:rPr>
                <w:sz w:val="20"/>
                <w:szCs w:val="20"/>
                <w:color w:val="auto"/>
              </w:rPr>
            </w:pPr>
            <w:r>
              <w:rPr>
                <w:rFonts w:ascii="Arial" w:cs="Arial" w:eastAsia="Arial" w:hAnsi="Arial"/>
                <w:sz w:val="14"/>
                <w:szCs w:val="14"/>
                <w:color w:val="auto"/>
              </w:rPr>
              <w:t>0.37</w:t>
            </w:r>
          </w:p>
        </w:tc>
        <w:tc>
          <w:tcPr>
            <w:tcW w:w="80" w:type="dxa"/>
            <w:vAlign w:val="bottom"/>
            <w:shd w:val="clear" w:color="auto" w:fill="CCFFCC"/>
          </w:tcPr>
          <w:p>
            <w:pPr>
              <w:spacing w:after="0"/>
              <w:rPr>
                <w:sz w:val="12"/>
                <w:szCs w:val="12"/>
                <w:color w:val="auto"/>
              </w:rPr>
            </w:pPr>
          </w:p>
        </w:tc>
        <w:tc>
          <w:tcPr>
            <w:tcW w:w="980" w:type="dxa"/>
            <w:vAlign w:val="bottom"/>
            <w:tcBorders>
              <w:right w:val="single" w:sz="8" w:color="CCFFCC"/>
            </w:tcBorders>
            <w:gridSpan w:val="2"/>
            <w:shd w:val="clear" w:color="auto" w:fill="CCFFCC"/>
          </w:tcPr>
          <w:p>
            <w:pPr>
              <w:jc w:val="right"/>
              <w:ind w:right="200"/>
              <w:spacing w:after="0" w:line="140" w:lineRule="exact"/>
              <w:rPr>
                <w:sz w:val="20"/>
                <w:szCs w:val="20"/>
                <w:color w:val="auto"/>
              </w:rPr>
            </w:pPr>
            <w:r>
              <w:rPr>
                <w:rFonts w:ascii="Arial" w:cs="Arial" w:eastAsia="Arial" w:hAnsi="Arial"/>
                <w:sz w:val="14"/>
                <w:szCs w:val="14"/>
                <w:color w:val="auto"/>
              </w:rPr>
              <w:t>(0.54)</w:t>
            </w: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60"/>
              <w:spacing w:after="0" w:line="140" w:lineRule="exact"/>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FFCC"/>
            </w:tcBorders>
            <w:shd w:val="clear" w:color="auto" w:fill="CCFFCC"/>
          </w:tcPr>
          <w:p>
            <w:pPr>
              <w:spacing w:after="0"/>
              <w:rPr>
                <w:sz w:val="17"/>
                <w:szCs w:val="17"/>
                <w:color w:val="auto"/>
              </w:rPr>
            </w:pPr>
          </w:p>
        </w:tc>
        <w:tc>
          <w:tcPr>
            <w:tcW w:w="3140" w:type="dxa"/>
            <w:vAlign w:val="bottom"/>
            <w:tcBorders>
              <w:bottom w:val="single" w:sz="8" w:color="CCFFCC"/>
            </w:tcBorders>
            <w:gridSpan w:val="2"/>
            <w:shd w:val="clear" w:color="auto" w:fill="CCFFCC"/>
          </w:tcPr>
          <w:p>
            <w:pPr>
              <w:ind w:left="360"/>
              <w:spacing w:after="0" w:line="198" w:lineRule="exact"/>
              <w:rPr>
                <w:sz w:val="20"/>
                <w:szCs w:val="20"/>
                <w:color w:val="auto"/>
              </w:rPr>
            </w:pPr>
            <w:r>
              <w:rPr>
                <w:rFonts w:ascii="Arial" w:cs="Arial" w:eastAsia="Arial" w:hAnsi="Arial"/>
                <w:sz w:val="14"/>
                <w:szCs w:val="14"/>
                <w:color w:val="auto"/>
              </w:rPr>
              <w:t>(depreciation) on investments</w:t>
            </w:r>
            <w:r>
              <w:rPr>
                <w:rFonts w:ascii="Arial" w:cs="Arial" w:eastAsia="Arial" w:hAnsi="Arial"/>
                <w:sz w:val="22"/>
                <w:szCs w:val="22"/>
                <w:color w:val="auto"/>
                <w:vertAlign w:val="superscript"/>
              </w:rPr>
              <w:t>(1)</w:t>
            </w:r>
          </w:p>
        </w:tc>
        <w:tc>
          <w:tcPr>
            <w:tcW w:w="10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260" w:type="dxa"/>
            <w:vAlign w:val="bottom"/>
            <w:tcBorders>
              <w:bottom w:val="single" w:sz="8" w:color="CCFFCC"/>
              <w:right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680" w:type="dxa"/>
            <w:vAlign w:val="bottom"/>
            <w:tcBorders>
              <w:bottom w:val="single" w:sz="8" w:color="auto"/>
            </w:tcBorders>
            <w:shd w:val="clear" w:color="auto" w:fill="CCFFCC"/>
          </w:tcPr>
          <w:p>
            <w:pPr>
              <w:spacing w:after="0"/>
              <w:rPr>
                <w:sz w:val="17"/>
                <w:szCs w:val="17"/>
                <w:color w:val="auto"/>
              </w:rPr>
            </w:pPr>
          </w:p>
        </w:tc>
        <w:tc>
          <w:tcPr>
            <w:tcW w:w="200" w:type="dxa"/>
            <w:vAlign w:val="bottom"/>
            <w:tcBorders>
              <w:bottom w:val="single" w:sz="8" w:color="CCFFCC"/>
              <w:right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200" w:type="dxa"/>
            <w:vAlign w:val="bottom"/>
            <w:tcBorders>
              <w:bottom w:val="single" w:sz="8" w:color="CCFFCC"/>
              <w:right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40" w:type="dxa"/>
            <w:vAlign w:val="bottom"/>
            <w:tcBorders>
              <w:bottom w:val="single" w:sz="8" w:color="auto"/>
            </w:tcBorders>
            <w:shd w:val="clear" w:color="auto" w:fill="CCFFCC"/>
          </w:tcPr>
          <w:p>
            <w:pPr>
              <w:spacing w:after="0"/>
              <w:rPr>
                <w:sz w:val="17"/>
                <w:szCs w:val="17"/>
                <w:color w:val="auto"/>
              </w:rPr>
            </w:pPr>
          </w:p>
        </w:tc>
        <w:tc>
          <w:tcPr>
            <w:tcW w:w="240" w:type="dxa"/>
            <w:vAlign w:val="bottom"/>
            <w:tcBorders>
              <w:bottom w:val="single" w:sz="8" w:color="CCFFCC"/>
              <w:right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spacing w:after="0"/>
              <w:rPr>
                <w:sz w:val="17"/>
                <w:szCs w:val="17"/>
                <w:color w:val="auto"/>
              </w:rPr>
            </w:pPr>
          </w:p>
        </w:tc>
        <w:tc>
          <w:tcPr>
            <w:tcW w:w="16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360"/>
              <w:spacing w:after="0" w:line="142"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0.54</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0.92</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0.26</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(0.80)</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30"/>
        </w:trPr>
        <w:tc>
          <w:tcPr>
            <w:tcW w:w="316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Net decrease in net assets resulting from</w:t>
            </w: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6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4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314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distributions:</w:t>
            </w: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From net investment income</w:t>
            </w: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(0.87)</w:t>
            </w: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(0.91)</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(0.69)</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(0.52)</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149"/>
        </w:trPr>
        <w:tc>
          <w:tcPr>
            <w:tcW w:w="20" w:type="dxa"/>
            <w:vAlign w:val="bottom"/>
            <w:shd w:val="clear" w:color="auto" w:fill="CCFFCC"/>
          </w:tcPr>
          <w:p>
            <w:pPr>
              <w:spacing w:after="0"/>
              <w:rPr>
                <w:sz w:val="12"/>
                <w:szCs w:val="12"/>
                <w:color w:val="auto"/>
              </w:rPr>
            </w:pPr>
          </w:p>
        </w:tc>
        <w:tc>
          <w:tcPr>
            <w:tcW w:w="3140" w:type="dxa"/>
            <w:vAlign w:val="bottom"/>
            <w:gridSpan w:val="2"/>
            <w:shd w:val="clear" w:color="auto" w:fill="CCFFCC"/>
          </w:tcPr>
          <w:p>
            <w:pPr>
              <w:ind w:left="180"/>
              <w:spacing w:after="0" w:line="149" w:lineRule="exact"/>
              <w:rPr>
                <w:sz w:val="20"/>
                <w:szCs w:val="20"/>
                <w:color w:val="auto"/>
              </w:rPr>
            </w:pPr>
            <w:r>
              <w:rPr>
                <w:rFonts w:ascii="Arial" w:cs="Arial" w:eastAsia="Arial" w:hAnsi="Arial"/>
                <w:sz w:val="14"/>
                <w:szCs w:val="14"/>
                <w:color w:val="auto"/>
              </w:rPr>
              <w:t>In excess of net investment income</w:t>
            </w:r>
          </w:p>
        </w:tc>
        <w:tc>
          <w:tcPr>
            <w:tcW w:w="100" w:type="dxa"/>
            <w:vAlign w:val="bottom"/>
            <w:shd w:val="clear" w:color="auto" w:fill="CCFFCC"/>
          </w:tcPr>
          <w:p>
            <w:pPr>
              <w:spacing w:after="0"/>
              <w:rPr>
                <w:sz w:val="12"/>
                <w:szCs w:val="12"/>
                <w:color w:val="auto"/>
              </w:rPr>
            </w:pPr>
          </w:p>
        </w:tc>
        <w:tc>
          <w:tcPr>
            <w:tcW w:w="980" w:type="dxa"/>
            <w:vAlign w:val="bottom"/>
            <w:tcBorders>
              <w:right w:val="single" w:sz="8" w:color="CCFFCC"/>
            </w:tcBorders>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(0.18)</w:t>
            </w:r>
          </w:p>
        </w:tc>
        <w:tc>
          <w:tcPr>
            <w:tcW w:w="12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(0.03)</w:t>
            </w:r>
          </w:p>
        </w:tc>
        <w:tc>
          <w:tcPr>
            <w:tcW w:w="10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980" w:type="dxa"/>
            <w:vAlign w:val="bottom"/>
            <w:tcBorders>
              <w:right w:val="single" w:sz="8" w:color="CCFFCC"/>
            </w:tcBorders>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(0.14)</w:t>
            </w: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140" w:type="dxa"/>
            <w:vAlign w:val="bottom"/>
            <w:gridSpan w:val="2"/>
          </w:tcPr>
          <w:p>
            <w:pPr>
              <w:ind w:left="360"/>
              <w:spacing w:after="0" w:line="123" w:lineRule="exact"/>
              <w:rPr>
                <w:sz w:val="20"/>
                <w:szCs w:val="20"/>
                <w:color w:val="auto"/>
              </w:rPr>
            </w:pPr>
            <w:r>
              <w:rPr>
                <w:rFonts w:ascii="Arial" w:cs="Arial" w:eastAsia="Arial" w:hAnsi="Arial"/>
                <w:sz w:val="14"/>
                <w:szCs w:val="14"/>
                <w:color w:val="auto"/>
              </w:rPr>
              <w:t>Net decrease in net assets resulting from</w:t>
            </w:r>
          </w:p>
        </w:tc>
        <w:tc>
          <w:tcPr>
            <w:tcW w:w="100" w:type="dxa"/>
            <w:vAlign w:val="bottom"/>
          </w:tcPr>
          <w:p>
            <w:pPr>
              <w:spacing w:after="0"/>
              <w:rPr>
                <w:sz w:val="10"/>
                <w:szCs w:val="10"/>
                <w:color w:val="auto"/>
              </w:rPr>
            </w:pPr>
          </w:p>
        </w:tc>
        <w:tc>
          <w:tcPr>
            <w:tcW w:w="980" w:type="dxa"/>
            <w:vAlign w:val="bottom"/>
            <w:gridSpan w:val="2"/>
          </w:tcPr>
          <w:p>
            <w:pPr>
              <w:jc w:val="right"/>
              <w:ind w:right="200"/>
              <w:spacing w:after="0" w:line="123"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0"/>
                <w:szCs w:val="10"/>
                <w:color w:val="auto"/>
              </w:rPr>
            </w:pPr>
          </w:p>
        </w:tc>
        <w:tc>
          <w:tcPr>
            <w:tcW w:w="880" w:type="dxa"/>
            <w:vAlign w:val="bottom"/>
            <w:gridSpan w:val="2"/>
          </w:tcPr>
          <w:p>
            <w:pPr>
              <w:jc w:val="right"/>
              <w:ind w:right="140"/>
              <w:spacing w:after="0" w:line="123" w:lineRule="exact"/>
              <w:rPr>
                <w:sz w:val="20"/>
                <w:szCs w:val="20"/>
                <w:color w:val="auto"/>
              </w:rPr>
            </w:pPr>
            <w:r>
              <w:rPr>
                <w:rFonts w:ascii="Arial" w:cs="Arial" w:eastAsia="Arial" w:hAnsi="Arial"/>
                <w:sz w:val="14"/>
                <w:szCs w:val="14"/>
                <w:color w:val="auto"/>
              </w:rPr>
              <w:t>(0.94)</w:t>
            </w:r>
          </w:p>
        </w:tc>
        <w:tc>
          <w:tcPr>
            <w:tcW w:w="100" w:type="dxa"/>
            <w:vAlign w:val="bottom"/>
          </w:tcPr>
          <w:p>
            <w:pPr>
              <w:spacing w:after="0"/>
              <w:rPr>
                <w:sz w:val="10"/>
                <w:szCs w:val="10"/>
                <w:color w:val="auto"/>
              </w:rPr>
            </w:pPr>
          </w:p>
        </w:tc>
        <w:tc>
          <w:tcPr>
            <w:tcW w:w="920" w:type="dxa"/>
            <w:vAlign w:val="bottom"/>
            <w:gridSpan w:val="2"/>
          </w:tcPr>
          <w:p>
            <w:pPr>
              <w:jc w:val="right"/>
              <w:ind w:right="140"/>
              <w:spacing w:after="0" w:line="123" w:lineRule="exact"/>
              <w:rPr>
                <w:sz w:val="20"/>
                <w:szCs w:val="20"/>
                <w:color w:val="auto"/>
              </w:rPr>
            </w:pPr>
            <w:r>
              <w:rPr>
                <w:rFonts w:ascii="Arial" w:cs="Arial" w:eastAsia="Arial" w:hAnsi="Arial"/>
                <w:sz w:val="14"/>
                <w:szCs w:val="14"/>
                <w:color w:val="auto"/>
              </w:rPr>
              <w:t>(0.69)</w:t>
            </w:r>
          </w:p>
        </w:tc>
        <w:tc>
          <w:tcPr>
            <w:tcW w:w="80" w:type="dxa"/>
            <w:vAlign w:val="bottom"/>
          </w:tcPr>
          <w:p>
            <w:pPr>
              <w:spacing w:after="0"/>
              <w:rPr>
                <w:sz w:val="10"/>
                <w:szCs w:val="10"/>
                <w:color w:val="auto"/>
              </w:rPr>
            </w:pPr>
          </w:p>
        </w:tc>
        <w:tc>
          <w:tcPr>
            <w:tcW w:w="980" w:type="dxa"/>
            <w:vAlign w:val="bottom"/>
            <w:gridSpan w:val="2"/>
          </w:tcPr>
          <w:p>
            <w:pPr>
              <w:jc w:val="right"/>
              <w:ind w:right="200"/>
              <w:spacing w:after="0" w:line="123" w:lineRule="exact"/>
              <w:rPr>
                <w:sz w:val="20"/>
                <w:szCs w:val="20"/>
                <w:color w:val="auto"/>
              </w:rPr>
            </w:pPr>
            <w:r>
              <w:rPr>
                <w:rFonts w:ascii="Arial" w:cs="Arial" w:eastAsia="Arial" w:hAnsi="Arial"/>
                <w:sz w:val="14"/>
                <w:szCs w:val="14"/>
                <w:color w:val="auto"/>
              </w:rPr>
              <w:t>(0.66)</w:t>
            </w:r>
          </w:p>
        </w:tc>
        <w:tc>
          <w:tcPr>
            <w:tcW w:w="100" w:type="dxa"/>
            <w:vAlign w:val="bottom"/>
          </w:tcPr>
          <w:p>
            <w:pPr>
              <w:spacing w:after="0"/>
              <w:rPr>
                <w:sz w:val="10"/>
                <w:szCs w:val="10"/>
                <w:color w:val="auto"/>
              </w:rPr>
            </w:pPr>
          </w:p>
        </w:tc>
        <w:tc>
          <w:tcPr>
            <w:tcW w:w="880" w:type="dxa"/>
            <w:vAlign w:val="bottom"/>
            <w:gridSpan w:val="2"/>
          </w:tcPr>
          <w:p>
            <w:pPr>
              <w:jc w:val="right"/>
              <w:ind w:right="100"/>
              <w:spacing w:after="0" w:line="123" w:lineRule="exact"/>
              <w:rPr>
                <w:sz w:val="20"/>
                <w:szCs w:val="20"/>
                <w:color w:val="auto"/>
              </w:rPr>
            </w:pPr>
            <w:r>
              <w:rPr>
                <w:rFonts w:ascii="Arial" w:cs="Arial" w:eastAsia="Arial" w:hAnsi="Arial"/>
                <w:sz w:val="14"/>
                <w:szCs w:val="14"/>
                <w:color w:val="auto"/>
              </w:rPr>
              <w:t>(0.92)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540"/>
              <w:spacing w:after="0"/>
              <w:rPr>
                <w:sz w:val="20"/>
                <w:szCs w:val="20"/>
                <w:color w:val="auto"/>
              </w:rPr>
            </w:pPr>
            <w:r>
              <w:rPr>
                <w:rFonts w:ascii="Arial" w:cs="Arial" w:eastAsia="Arial" w:hAnsi="Arial"/>
                <w:sz w:val="14"/>
                <w:szCs w:val="14"/>
                <w:color w:val="auto"/>
              </w:rPr>
              <w:t>distributions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16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Net increase in net assets relating to</w:t>
            </w: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60" w:type="dxa"/>
            <w:vAlign w:val="bottom"/>
            <w:tcBorders>
              <w:right w:val="single" w:sz="8" w:color="CCFFCC"/>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20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200" w:type="dxa"/>
            <w:vAlign w:val="bottom"/>
            <w:tcBorders>
              <w:right w:val="single" w:sz="8" w:color="CCFFCC"/>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240" w:type="dxa"/>
            <w:vAlign w:val="bottom"/>
            <w:tcBorders>
              <w:right w:val="single" w:sz="8" w:color="CCFFCC"/>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314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stock-based transactions</w:t>
            </w: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40" w:type="dxa"/>
            <w:vAlign w:val="bottom"/>
            <w:gridSpan w:val="2"/>
          </w:tcPr>
          <w:p>
            <w:pPr>
              <w:ind w:left="180"/>
              <w:spacing w:after="0" w:line="130" w:lineRule="exact"/>
              <w:rPr>
                <w:sz w:val="20"/>
                <w:szCs w:val="20"/>
                <w:color w:val="auto"/>
              </w:rPr>
            </w:pPr>
            <w:r>
              <w:rPr>
                <w:rFonts w:ascii="Arial" w:cs="Arial" w:eastAsia="Arial" w:hAnsi="Arial"/>
                <w:sz w:val="14"/>
                <w:szCs w:val="14"/>
                <w:color w:val="auto"/>
                <w:w w:val="95"/>
              </w:rPr>
              <w:t>Issuance of common stock (not including dividend</w:t>
            </w:r>
          </w:p>
        </w:tc>
        <w:tc>
          <w:tcPr>
            <w:tcW w:w="100" w:type="dxa"/>
            <w:vAlign w:val="bottom"/>
          </w:tcPr>
          <w:p>
            <w:pPr>
              <w:spacing w:after="0"/>
              <w:rPr>
                <w:sz w:val="11"/>
                <w:szCs w:val="11"/>
                <w:color w:val="auto"/>
              </w:rPr>
            </w:pPr>
          </w:p>
        </w:tc>
        <w:tc>
          <w:tcPr>
            <w:tcW w:w="9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0.14</w:t>
            </w:r>
          </w:p>
        </w:tc>
        <w:tc>
          <w:tcPr>
            <w:tcW w:w="120" w:type="dxa"/>
            <w:vAlign w:val="bottom"/>
          </w:tcPr>
          <w:p>
            <w:pPr>
              <w:spacing w:after="0"/>
              <w:rPr>
                <w:sz w:val="11"/>
                <w:szCs w:val="11"/>
                <w:color w:val="auto"/>
              </w:rPr>
            </w:pPr>
          </w:p>
        </w:tc>
        <w:tc>
          <w:tcPr>
            <w:tcW w:w="8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360"/>
              <w:spacing w:after="0"/>
              <w:rPr>
                <w:sz w:val="20"/>
                <w:szCs w:val="20"/>
                <w:color w:val="auto"/>
              </w:rPr>
            </w:pPr>
            <w:r>
              <w:rPr>
                <w:rFonts w:ascii="Arial" w:cs="Arial" w:eastAsia="Arial" w:hAnsi="Arial"/>
                <w:sz w:val="14"/>
                <w:szCs w:val="14"/>
                <w:color w:val="auto"/>
              </w:rPr>
              <w:t>reinvestment plan)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CFFCC"/>
          </w:tcPr>
          <w:p>
            <w:pPr>
              <w:spacing w:after="0"/>
              <w:rPr>
                <w:sz w:val="11"/>
                <w:szCs w:val="11"/>
                <w:color w:val="auto"/>
              </w:rPr>
            </w:pPr>
          </w:p>
        </w:tc>
        <w:tc>
          <w:tcPr>
            <w:tcW w:w="3140" w:type="dxa"/>
            <w:vAlign w:val="bottom"/>
            <w:gridSpan w:val="2"/>
            <w:shd w:val="clear" w:color="auto" w:fill="CCFFCC"/>
          </w:tcPr>
          <w:p>
            <w:pPr>
              <w:ind w:left="180"/>
              <w:spacing w:after="0" w:line="130" w:lineRule="exact"/>
              <w:rPr>
                <w:sz w:val="20"/>
                <w:szCs w:val="20"/>
                <w:color w:val="auto"/>
              </w:rPr>
            </w:pPr>
            <w:r>
              <w:rPr>
                <w:rFonts w:ascii="Arial" w:cs="Arial" w:eastAsia="Arial" w:hAnsi="Arial"/>
                <w:sz w:val="14"/>
                <w:szCs w:val="14"/>
                <w:color w:val="auto"/>
              </w:rPr>
              <w:t>Issuance of common stock under dividend</w:t>
            </w:r>
          </w:p>
        </w:tc>
        <w:tc>
          <w:tcPr>
            <w:tcW w:w="100" w:type="dxa"/>
            <w:vAlign w:val="bottom"/>
            <w:shd w:val="clear" w:color="auto" w:fill="CCFFCC"/>
          </w:tcPr>
          <w:p>
            <w:pPr>
              <w:spacing w:after="0"/>
              <w:rPr>
                <w:sz w:val="11"/>
                <w:szCs w:val="11"/>
                <w:color w:val="auto"/>
              </w:rPr>
            </w:pPr>
          </w:p>
        </w:tc>
        <w:tc>
          <w:tcPr>
            <w:tcW w:w="98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0.02</w:t>
            </w:r>
          </w:p>
        </w:tc>
        <w:tc>
          <w:tcPr>
            <w:tcW w:w="120" w:type="dxa"/>
            <w:vAlign w:val="bottom"/>
            <w:shd w:val="clear" w:color="auto" w:fill="CCFFCC"/>
          </w:tcPr>
          <w:p>
            <w:pPr>
              <w:spacing w:after="0"/>
              <w:rPr>
                <w:sz w:val="11"/>
                <w:szCs w:val="11"/>
                <w:color w:val="auto"/>
              </w:rPr>
            </w:pPr>
          </w:p>
        </w:tc>
        <w:tc>
          <w:tcPr>
            <w:tcW w:w="880" w:type="dxa"/>
            <w:vAlign w:val="bottom"/>
            <w:tcBorders>
              <w:right w:val="single" w:sz="8" w:color="CCFFCC"/>
            </w:tcBorders>
            <w:gridSpan w:val="2"/>
            <w:shd w:val="clear" w:color="auto" w:fill="CCFFCC"/>
          </w:tcPr>
          <w:p>
            <w:pPr>
              <w:jc w:val="right"/>
              <w:ind w:right="180"/>
              <w:spacing w:after="0" w:line="130" w:lineRule="exact"/>
              <w:rPr>
                <w:sz w:val="20"/>
                <w:szCs w:val="20"/>
                <w:color w:val="auto"/>
              </w:rPr>
            </w:pPr>
            <w:r>
              <w:rPr>
                <w:rFonts w:ascii="Arial" w:cs="Arial" w:eastAsia="Arial" w:hAnsi="Arial"/>
                <w:sz w:val="14"/>
                <w:szCs w:val="14"/>
                <w:color w:val="auto"/>
              </w:rPr>
              <w:t>0.02</w:t>
            </w:r>
          </w:p>
        </w:tc>
        <w:tc>
          <w:tcPr>
            <w:tcW w:w="100" w:type="dxa"/>
            <w:vAlign w:val="bottom"/>
            <w:shd w:val="clear" w:color="auto" w:fill="CCFFCC"/>
          </w:tcPr>
          <w:p>
            <w:pPr>
              <w:spacing w:after="0"/>
              <w:rPr>
                <w:sz w:val="11"/>
                <w:szCs w:val="11"/>
                <w:color w:val="auto"/>
              </w:rPr>
            </w:pPr>
          </w:p>
        </w:tc>
        <w:tc>
          <w:tcPr>
            <w:tcW w:w="920" w:type="dxa"/>
            <w:vAlign w:val="bottom"/>
            <w:tcBorders>
              <w:right w:val="single" w:sz="8" w:color="CCFFCC"/>
            </w:tcBorders>
            <w:gridSpan w:val="2"/>
            <w:shd w:val="clear" w:color="auto" w:fill="CCFFCC"/>
          </w:tcPr>
          <w:p>
            <w:pPr>
              <w:jc w:val="right"/>
              <w:ind w:right="200"/>
              <w:spacing w:after="0" w:line="130" w:lineRule="exact"/>
              <w:rPr>
                <w:sz w:val="20"/>
                <w:szCs w:val="20"/>
                <w:color w:val="auto"/>
              </w:rPr>
            </w:pPr>
            <w:r>
              <w:rPr>
                <w:rFonts w:ascii="Arial" w:cs="Arial" w:eastAsia="Arial" w:hAnsi="Arial"/>
                <w:sz w:val="14"/>
                <w:szCs w:val="14"/>
                <w:color w:val="auto"/>
              </w:rPr>
              <w:t>0.04</w:t>
            </w:r>
          </w:p>
        </w:tc>
        <w:tc>
          <w:tcPr>
            <w:tcW w:w="80" w:type="dxa"/>
            <w:vAlign w:val="bottom"/>
            <w:shd w:val="clear" w:color="auto" w:fill="CCFFCC"/>
          </w:tcPr>
          <w:p>
            <w:pPr>
              <w:spacing w:after="0"/>
              <w:rPr>
                <w:sz w:val="11"/>
                <w:szCs w:val="11"/>
                <w:color w:val="auto"/>
              </w:rPr>
            </w:pPr>
          </w:p>
        </w:tc>
        <w:tc>
          <w:tcPr>
            <w:tcW w:w="980" w:type="dxa"/>
            <w:vAlign w:val="bottom"/>
            <w:tcBorders>
              <w:right w:val="single" w:sz="8" w:color="CCFFCC"/>
            </w:tcBorders>
            <w:gridSpan w:val="2"/>
            <w:shd w:val="clear" w:color="auto" w:fill="CCFFCC"/>
          </w:tcPr>
          <w:p>
            <w:pPr>
              <w:jc w:val="right"/>
              <w:ind w:right="240"/>
              <w:spacing w:after="0" w:line="130" w:lineRule="exact"/>
              <w:rPr>
                <w:sz w:val="20"/>
                <w:szCs w:val="20"/>
                <w:color w:val="auto"/>
              </w:rPr>
            </w:pPr>
            <w:r>
              <w:rPr>
                <w:rFonts w:ascii="Arial" w:cs="Arial" w:eastAsia="Arial" w:hAnsi="Arial"/>
                <w:sz w:val="14"/>
                <w:szCs w:val="14"/>
                <w:color w:val="auto"/>
              </w:rPr>
              <w:t>0.07</w:t>
            </w:r>
          </w:p>
        </w:tc>
        <w:tc>
          <w:tcPr>
            <w:tcW w:w="10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3140" w:type="dxa"/>
            <w:vAlign w:val="bottom"/>
            <w:gridSpan w:val="2"/>
            <w:shd w:val="clear" w:color="auto" w:fill="CCFFCC"/>
          </w:tcPr>
          <w:p>
            <w:pPr>
              <w:ind w:left="360"/>
              <w:spacing w:after="0"/>
              <w:rPr>
                <w:sz w:val="20"/>
                <w:szCs w:val="20"/>
                <w:color w:val="auto"/>
              </w:rPr>
            </w:pPr>
            <w:r>
              <w:rPr>
                <w:rFonts w:ascii="Arial" w:cs="Arial" w:eastAsia="Arial" w:hAnsi="Arial"/>
                <w:sz w:val="14"/>
                <w:szCs w:val="14"/>
                <w:color w:val="auto"/>
              </w:rPr>
              <w:t>reinvestment plan</w:t>
            </w: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Stock based compensation expense</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0.01</w:t>
            </w: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shd w:val="clear" w:color="auto" w:fill="CCFFCC"/>
          </w:tcPr>
          <w:p>
            <w:pPr>
              <w:spacing w:after="0"/>
              <w:rPr>
                <w:sz w:val="10"/>
                <w:szCs w:val="10"/>
                <w:color w:val="auto"/>
              </w:rPr>
            </w:pPr>
          </w:p>
        </w:tc>
        <w:tc>
          <w:tcPr>
            <w:tcW w:w="3140" w:type="dxa"/>
            <w:vAlign w:val="bottom"/>
            <w:gridSpan w:val="2"/>
            <w:shd w:val="clear" w:color="auto" w:fill="CCFFCC"/>
          </w:tcPr>
          <w:p>
            <w:pPr>
              <w:ind w:left="360"/>
              <w:spacing w:after="0" w:line="123" w:lineRule="exact"/>
              <w:rPr>
                <w:sz w:val="20"/>
                <w:szCs w:val="20"/>
                <w:color w:val="auto"/>
              </w:rPr>
            </w:pPr>
            <w:r>
              <w:rPr>
                <w:rFonts w:ascii="Arial" w:cs="Arial" w:eastAsia="Arial" w:hAnsi="Arial"/>
                <w:sz w:val="14"/>
                <w:szCs w:val="14"/>
                <w:color w:val="auto"/>
              </w:rPr>
              <w:t>Net increase in net assets relating to stock-</w:t>
            </w:r>
          </w:p>
        </w:tc>
        <w:tc>
          <w:tcPr>
            <w:tcW w:w="100" w:type="dxa"/>
            <w:vAlign w:val="bottom"/>
            <w:shd w:val="clear" w:color="auto" w:fill="CCFFCC"/>
          </w:tcPr>
          <w:p>
            <w:pPr>
              <w:spacing w:after="0"/>
              <w:rPr>
                <w:sz w:val="10"/>
                <w:szCs w:val="10"/>
                <w:color w:val="auto"/>
              </w:rPr>
            </w:pPr>
          </w:p>
        </w:tc>
        <w:tc>
          <w:tcPr>
            <w:tcW w:w="980" w:type="dxa"/>
            <w:vAlign w:val="bottom"/>
            <w:tcBorders>
              <w:right w:val="single" w:sz="8" w:color="CCFFCC"/>
            </w:tcBorders>
            <w:gridSpan w:val="2"/>
            <w:shd w:val="clear" w:color="auto" w:fill="CCFFCC"/>
          </w:tcPr>
          <w:p>
            <w:pPr>
              <w:jc w:val="right"/>
              <w:ind w:right="260"/>
              <w:spacing w:after="0" w:line="123" w:lineRule="exact"/>
              <w:rPr>
                <w:sz w:val="20"/>
                <w:szCs w:val="20"/>
                <w:color w:val="auto"/>
              </w:rPr>
            </w:pPr>
            <w:r>
              <w:rPr>
                <w:rFonts w:ascii="Arial" w:cs="Arial" w:eastAsia="Arial" w:hAnsi="Arial"/>
                <w:sz w:val="14"/>
                <w:szCs w:val="14"/>
                <w:color w:val="auto"/>
              </w:rPr>
              <w:t>0.17</w:t>
            </w:r>
          </w:p>
        </w:tc>
        <w:tc>
          <w:tcPr>
            <w:tcW w:w="120" w:type="dxa"/>
            <w:vAlign w:val="bottom"/>
            <w:shd w:val="clear" w:color="auto" w:fill="CCFFCC"/>
          </w:tcPr>
          <w:p>
            <w:pPr>
              <w:spacing w:after="0"/>
              <w:rPr>
                <w:sz w:val="10"/>
                <w:szCs w:val="10"/>
                <w:color w:val="auto"/>
              </w:rPr>
            </w:pPr>
          </w:p>
        </w:tc>
        <w:tc>
          <w:tcPr>
            <w:tcW w:w="880" w:type="dxa"/>
            <w:vAlign w:val="bottom"/>
            <w:tcBorders>
              <w:right w:val="single" w:sz="8" w:color="CCFFCC"/>
            </w:tcBorders>
            <w:gridSpan w:val="2"/>
            <w:shd w:val="clear" w:color="auto" w:fill="CCFFCC"/>
          </w:tcPr>
          <w:p>
            <w:pPr>
              <w:jc w:val="right"/>
              <w:ind w:right="180"/>
              <w:spacing w:after="0" w:line="123" w:lineRule="exact"/>
              <w:rPr>
                <w:sz w:val="20"/>
                <w:szCs w:val="20"/>
                <w:color w:val="auto"/>
              </w:rPr>
            </w:pPr>
            <w:r>
              <w:rPr>
                <w:rFonts w:ascii="Arial" w:cs="Arial" w:eastAsia="Arial" w:hAnsi="Arial"/>
                <w:sz w:val="14"/>
                <w:szCs w:val="14"/>
                <w:color w:val="auto"/>
              </w:rPr>
              <w:t>0.02</w:t>
            </w:r>
          </w:p>
        </w:tc>
        <w:tc>
          <w:tcPr>
            <w:tcW w:w="100" w:type="dxa"/>
            <w:vAlign w:val="bottom"/>
            <w:shd w:val="clear" w:color="auto" w:fill="CCFFCC"/>
          </w:tcPr>
          <w:p>
            <w:pPr>
              <w:spacing w:after="0"/>
              <w:rPr>
                <w:sz w:val="10"/>
                <w:szCs w:val="10"/>
                <w:color w:val="auto"/>
              </w:rPr>
            </w:pPr>
          </w:p>
        </w:tc>
        <w:tc>
          <w:tcPr>
            <w:tcW w:w="920" w:type="dxa"/>
            <w:vAlign w:val="bottom"/>
            <w:tcBorders>
              <w:right w:val="single" w:sz="8" w:color="CCFFCC"/>
            </w:tcBorders>
            <w:gridSpan w:val="2"/>
            <w:shd w:val="clear" w:color="auto" w:fill="CCFFCC"/>
          </w:tcPr>
          <w:p>
            <w:pPr>
              <w:jc w:val="right"/>
              <w:ind w:right="200"/>
              <w:spacing w:after="0" w:line="123" w:lineRule="exact"/>
              <w:rPr>
                <w:sz w:val="20"/>
                <w:szCs w:val="20"/>
                <w:color w:val="auto"/>
              </w:rPr>
            </w:pPr>
            <w:r>
              <w:rPr>
                <w:rFonts w:ascii="Arial" w:cs="Arial" w:eastAsia="Arial" w:hAnsi="Arial"/>
                <w:sz w:val="14"/>
                <w:szCs w:val="14"/>
                <w:color w:val="auto"/>
              </w:rPr>
              <w:t>0.07</w:t>
            </w:r>
          </w:p>
        </w:tc>
        <w:tc>
          <w:tcPr>
            <w:tcW w:w="80" w:type="dxa"/>
            <w:vAlign w:val="bottom"/>
            <w:shd w:val="clear" w:color="auto" w:fill="CCFFCC"/>
          </w:tcPr>
          <w:p>
            <w:pPr>
              <w:spacing w:after="0"/>
              <w:rPr>
                <w:sz w:val="10"/>
                <w:szCs w:val="10"/>
                <w:color w:val="auto"/>
              </w:rPr>
            </w:pPr>
          </w:p>
        </w:tc>
        <w:tc>
          <w:tcPr>
            <w:tcW w:w="980" w:type="dxa"/>
            <w:vAlign w:val="bottom"/>
            <w:tcBorders>
              <w:right w:val="single" w:sz="8" w:color="CCFFCC"/>
            </w:tcBorders>
            <w:gridSpan w:val="2"/>
            <w:shd w:val="clear" w:color="auto" w:fill="CCFFCC"/>
          </w:tcPr>
          <w:p>
            <w:pPr>
              <w:jc w:val="right"/>
              <w:ind w:right="240"/>
              <w:spacing w:after="0" w:line="123" w:lineRule="exact"/>
              <w:rPr>
                <w:sz w:val="20"/>
                <w:szCs w:val="20"/>
                <w:color w:val="auto"/>
              </w:rPr>
            </w:pPr>
            <w:r>
              <w:rPr>
                <w:rFonts w:ascii="Arial" w:cs="Arial" w:eastAsia="Arial" w:hAnsi="Arial"/>
                <w:sz w:val="14"/>
                <w:szCs w:val="14"/>
                <w:color w:val="auto"/>
              </w:rPr>
              <w:t>0.11</w:t>
            </w:r>
          </w:p>
        </w:tc>
        <w:tc>
          <w:tcPr>
            <w:tcW w:w="10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60"/>
              <w:spacing w:after="0" w:line="123" w:lineRule="exact"/>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67"/>
        </w:trPr>
        <w:tc>
          <w:tcPr>
            <w:tcW w:w="20" w:type="dxa"/>
            <w:vAlign w:val="bottom"/>
            <w:tcBorders>
              <w:bottom w:val="single" w:sz="8" w:color="CCFFCC"/>
            </w:tcBorders>
            <w:shd w:val="clear" w:color="auto" w:fill="CCFFCC"/>
          </w:tcPr>
          <w:p>
            <w:pPr>
              <w:spacing w:after="0"/>
              <w:rPr>
                <w:sz w:val="14"/>
                <w:szCs w:val="14"/>
                <w:color w:val="auto"/>
              </w:rPr>
            </w:pPr>
          </w:p>
        </w:tc>
        <w:tc>
          <w:tcPr>
            <w:tcW w:w="3140" w:type="dxa"/>
            <w:vAlign w:val="bottom"/>
            <w:tcBorders>
              <w:bottom w:val="single" w:sz="8" w:color="CCFFCC"/>
            </w:tcBorders>
            <w:gridSpan w:val="2"/>
            <w:shd w:val="clear" w:color="auto" w:fill="CCFFCC"/>
          </w:tcPr>
          <w:p>
            <w:pPr>
              <w:ind w:left="540"/>
              <w:spacing w:after="0"/>
              <w:rPr>
                <w:sz w:val="20"/>
                <w:szCs w:val="20"/>
                <w:color w:val="auto"/>
              </w:rPr>
            </w:pPr>
            <w:r>
              <w:rPr>
                <w:rFonts w:ascii="Arial" w:cs="Arial" w:eastAsia="Arial" w:hAnsi="Arial"/>
                <w:sz w:val="14"/>
                <w:szCs w:val="14"/>
                <w:color w:val="auto"/>
              </w:rPr>
              <w:t>based transactions</w:t>
            </w:r>
          </w:p>
        </w:tc>
        <w:tc>
          <w:tcPr>
            <w:tcW w:w="10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spacing w:after="0"/>
              <w:rPr>
                <w:sz w:val="14"/>
                <w:szCs w:val="14"/>
                <w:color w:val="auto"/>
              </w:rPr>
            </w:pPr>
          </w:p>
        </w:tc>
        <w:tc>
          <w:tcPr>
            <w:tcW w:w="260" w:type="dxa"/>
            <w:vAlign w:val="bottom"/>
            <w:tcBorders>
              <w:bottom w:val="single" w:sz="8" w:color="CCFFCC"/>
              <w:right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spacing w:after="0"/>
              <w:rPr>
                <w:sz w:val="14"/>
                <w:szCs w:val="14"/>
                <w:color w:val="auto"/>
              </w:rPr>
            </w:pPr>
          </w:p>
        </w:tc>
        <w:tc>
          <w:tcPr>
            <w:tcW w:w="20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spacing w:after="0"/>
              <w:rPr>
                <w:sz w:val="14"/>
                <w:szCs w:val="14"/>
                <w:color w:val="auto"/>
              </w:rPr>
            </w:pPr>
          </w:p>
        </w:tc>
        <w:tc>
          <w:tcPr>
            <w:tcW w:w="200" w:type="dxa"/>
            <w:vAlign w:val="bottom"/>
            <w:tcBorders>
              <w:bottom w:val="single" w:sz="8" w:color="CCFFCC"/>
              <w:right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spacing w:after="0"/>
              <w:rPr>
                <w:sz w:val="14"/>
                <w:szCs w:val="14"/>
                <w:color w:val="auto"/>
              </w:rPr>
            </w:pPr>
          </w:p>
        </w:tc>
        <w:tc>
          <w:tcPr>
            <w:tcW w:w="240" w:type="dxa"/>
            <w:vAlign w:val="bottom"/>
            <w:tcBorders>
              <w:bottom w:val="single" w:sz="8" w:color="CCFFCC"/>
              <w:right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spacing w:after="0"/>
              <w:rPr>
                <w:sz w:val="14"/>
                <w:szCs w:val="14"/>
                <w:color w:val="auto"/>
              </w:rPr>
            </w:pPr>
          </w:p>
        </w:tc>
        <w:tc>
          <w:tcPr>
            <w:tcW w:w="16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Net asset value, end of period</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7.51</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7.85</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7.85</w:t>
            </w: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8.21</w:t>
            </w: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160" w:type="dxa"/>
            <w:vAlign w:val="bottom"/>
            <w:gridSpan w:val="3"/>
            <w:shd w:val="clear" w:color="auto" w:fill="CCFFCC"/>
          </w:tcPr>
          <w:p>
            <w:pPr>
              <w:ind w:left="20"/>
              <w:spacing w:after="0" w:line="183" w:lineRule="exact"/>
              <w:rPr>
                <w:sz w:val="20"/>
                <w:szCs w:val="20"/>
                <w:color w:val="auto"/>
              </w:rPr>
            </w:pPr>
            <w:r>
              <w:rPr>
                <w:rFonts w:ascii="Arial" w:cs="Arial" w:eastAsia="Arial" w:hAnsi="Arial"/>
                <w:sz w:val="13"/>
                <w:szCs w:val="13"/>
                <w:color w:val="auto"/>
              </w:rPr>
              <w:t>Total net asset value return</w:t>
            </w:r>
            <w:r>
              <w:rPr>
                <w:rFonts w:ascii="Arial" w:cs="Arial" w:eastAsia="Arial" w:hAnsi="Arial"/>
                <w:sz w:val="21"/>
                <w:szCs w:val="21"/>
                <w:color w:val="auto"/>
                <w:vertAlign w:val="superscript"/>
              </w:rPr>
              <w:t>(2)</w:t>
            </w:r>
          </w:p>
        </w:tc>
        <w:tc>
          <w:tcPr>
            <w:tcW w:w="100" w:type="dxa"/>
            <w:vAlign w:val="bottom"/>
            <w:shd w:val="clear" w:color="auto" w:fill="CCFFCC"/>
          </w:tcPr>
          <w:p>
            <w:pPr>
              <w:spacing w:after="0"/>
              <w:rPr>
                <w:sz w:val="15"/>
                <w:szCs w:val="15"/>
                <w:color w:val="auto"/>
              </w:rPr>
            </w:pPr>
          </w:p>
        </w:tc>
        <w:tc>
          <w:tcPr>
            <w:tcW w:w="9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FFCC"/>
          </w:tcPr>
          <w:p>
            <w:pPr>
              <w:spacing w:after="0"/>
              <w:rPr>
                <w:sz w:val="15"/>
                <w:szCs w:val="15"/>
                <w:color w:val="auto"/>
              </w:rPr>
            </w:pPr>
          </w:p>
        </w:tc>
        <w:tc>
          <w:tcPr>
            <w:tcW w:w="8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FFCC"/>
          </w:tcPr>
          <w:p>
            <w:pPr>
              <w:spacing w:after="0"/>
              <w:rPr>
                <w:sz w:val="15"/>
                <w:szCs w:val="15"/>
                <w:color w:val="auto"/>
              </w:rPr>
            </w:pPr>
          </w:p>
        </w:tc>
        <w:tc>
          <w:tcPr>
            <w:tcW w:w="9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FFCC"/>
          </w:tcPr>
          <w:p>
            <w:pPr>
              <w:spacing w:after="0"/>
              <w:rPr>
                <w:sz w:val="15"/>
                <w:szCs w:val="15"/>
                <w:color w:val="auto"/>
              </w:rPr>
            </w:pPr>
          </w:p>
        </w:tc>
        <w:tc>
          <w:tcPr>
            <w:tcW w:w="98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FFCC"/>
          </w:tcPr>
          <w:p>
            <w:pPr>
              <w:spacing w:after="0"/>
              <w:rPr>
                <w:sz w:val="15"/>
                <w:szCs w:val="15"/>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Ratio/Supplemental Data:</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Per share market value at beginning of</w:t>
            </w:r>
          </w:p>
        </w:tc>
        <w:tc>
          <w:tcPr>
            <w:tcW w:w="1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260"/>
              <w:spacing w:after="0" w:line="130" w:lineRule="exact"/>
              <w:rPr>
                <w:sz w:val="20"/>
                <w:szCs w:val="20"/>
                <w:color w:val="auto"/>
              </w:rPr>
            </w:pPr>
            <w:r>
              <w:rPr>
                <w:rFonts w:ascii="Arial" w:cs="Arial" w:eastAsia="Arial" w:hAnsi="Arial"/>
                <w:sz w:val="14"/>
                <w:szCs w:val="14"/>
                <w:color w:val="auto"/>
              </w:rPr>
              <w:t>9.19</w:t>
            </w:r>
          </w:p>
        </w:tc>
        <w:tc>
          <w:tcPr>
            <w:tcW w:w="12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FFCC"/>
            </w:tcBorders>
            <w:gridSpan w:val="2"/>
            <w:shd w:val="clear" w:color="auto" w:fill="CCFFCC"/>
          </w:tcPr>
          <w:p>
            <w:pPr>
              <w:jc w:val="right"/>
              <w:ind w:right="180"/>
              <w:spacing w:after="0" w:line="130" w:lineRule="exact"/>
              <w:rPr>
                <w:sz w:val="20"/>
                <w:szCs w:val="20"/>
                <w:color w:val="auto"/>
              </w:rPr>
            </w:pPr>
            <w:r>
              <w:rPr>
                <w:rFonts w:ascii="Arial" w:cs="Arial" w:eastAsia="Arial" w:hAnsi="Arial"/>
                <w:sz w:val="14"/>
                <w:szCs w:val="14"/>
                <w:color w:val="auto"/>
              </w:rPr>
              <w:t>6.31</w:t>
            </w:r>
          </w:p>
        </w:tc>
        <w:tc>
          <w:tcPr>
            <w:tcW w:w="1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FFCC"/>
            </w:tcBorders>
            <w:gridSpan w:val="2"/>
            <w:shd w:val="clear" w:color="auto" w:fill="CCFFCC"/>
          </w:tcPr>
          <w:p>
            <w:pPr>
              <w:jc w:val="right"/>
              <w:ind w:right="200"/>
              <w:spacing w:after="0" w:line="130" w:lineRule="exact"/>
              <w:rPr>
                <w:sz w:val="20"/>
                <w:szCs w:val="20"/>
                <w:color w:val="auto"/>
              </w:rPr>
            </w:pPr>
            <w:r>
              <w:rPr>
                <w:rFonts w:ascii="Arial" w:cs="Arial" w:eastAsia="Arial" w:hAnsi="Arial"/>
                <w:sz w:val="14"/>
                <w:szCs w:val="14"/>
                <w:color w:val="auto"/>
              </w:rPr>
              <w:t>6.97</w:t>
            </w:r>
          </w:p>
        </w:tc>
        <w:tc>
          <w:tcPr>
            <w:tcW w:w="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240"/>
              <w:spacing w:after="0" w:line="130" w:lineRule="exact"/>
              <w:rPr>
                <w:sz w:val="20"/>
                <w:szCs w:val="20"/>
                <w:color w:val="auto"/>
              </w:rPr>
            </w:pPr>
            <w:r>
              <w:rPr>
                <w:rFonts w:ascii="Arial" w:cs="Arial" w:eastAsia="Arial" w:hAnsi="Arial"/>
                <w:sz w:val="14"/>
                <w:szCs w:val="14"/>
                <w:color w:val="auto"/>
              </w:rPr>
              <w:t>4.56</w:t>
            </w:r>
          </w:p>
        </w:tc>
        <w:tc>
          <w:tcPr>
            <w:tcW w:w="10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60"/>
              <w:spacing w:after="0" w:line="130"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314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period</w:t>
            </w: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Per share market value at end of period</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89"/>
        </w:trPr>
        <w:tc>
          <w:tcPr>
            <w:tcW w:w="3160" w:type="dxa"/>
            <w:vAlign w:val="bottom"/>
            <w:gridSpan w:val="3"/>
            <w:shd w:val="clear" w:color="auto" w:fill="CCFFCC"/>
          </w:tcPr>
          <w:p>
            <w:pPr>
              <w:ind w:left="20"/>
              <w:spacing w:after="0" w:line="189" w:lineRule="exact"/>
              <w:rPr>
                <w:sz w:val="20"/>
                <w:szCs w:val="20"/>
                <w:color w:val="auto"/>
              </w:rPr>
            </w:pPr>
            <w:r>
              <w:rPr>
                <w:rFonts w:ascii="Arial" w:cs="Arial" w:eastAsia="Arial" w:hAnsi="Arial"/>
                <w:sz w:val="13"/>
                <w:szCs w:val="13"/>
                <w:color w:val="auto"/>
              </w:rPr>
              <w:t>Total market return</w:t>
            </w:r>
            <w:r>
              <w:rPr>
                <w:rFonts w:ascii="Arial" w:cs="Arial" w:eastAsia="Arial" w:hAnsi="Arial"/>
                <w:sz w:val="21"/>
                <w:szCs w:val="21"/>
                <w:color w:val="auto"/>
                <w:vertAlign w:val="superscript"/>
              </w:rPr>
              <w:t>(3)</w:t>
            </w:r>
          </w:p>
        </w:tc>
        <w:tc>
          <w:tcPr>
            <w:tcW w:w="100" w:type="dxa"/>
            <w:vAlign w:val="bottom"/>
            <w:shd w:val="clear" w:color="auto" w:fill="CCFFCC"/>
          </w:tcPr>
          <w:p>
            <w:pPr>
              <w:spacing w:after="0"/>
              <w:rPr>
                <w:sz w:val="16"/>
                <w:szCs w:val="16"/>
                <w:color w:val="auto"/>
              </w:rPr>
            </w:pPr>
          </w:p>
        </w:tc>
        <w:tc>
          <w:tcPr>
            <w:tcW w:w="98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FFCC"/>
          </w:tcPr>
          <w:p>
            <w:pPr>
              <w:spacing w:after="0"/>
              <w:rPr>
                <w:sz w:val="16"/>
                <w:szCs w:val="16"/>
                <w:color w:val="auto"/>
              </w:rPr>
            </w:pPr>
          </w:p>
        </w:tc>
        <w:tc>
          <w:tcPr>
            <w:tcW w:w="8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FFCC"/>
          </w:tcPr>
          <w:p>
            <w:pPr>
              <w:spacing w:after="0"/>
              <w:rPr>
                <w:sz w:val="16"/>
                <w:szCs w:val="16"/>
                <w:color w:val="auto"/>
              </w:rPr>
            </w:pPr>
          </w:p>
        </w:tc>
        <w:tc>
          <w:tcPr>
            <w:tcW w:w="9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FFCC"/>
          </w:tcPr>
          <w:p>
            <w:pPr>
              <w:spacing w:after="0"/>
              <w:rPr>
                <w:sz w:val="16"/>
                <w:szCs w:val="16"/>
                <w:color w:val="auto"/>
              </w:rPr>
            </w:pPr>
          </w:p>
        </w:tc>
        <w:tc>
          <w:tcPr>
            <w:tcW w:w="9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Shares outstanding at end of period</w:t>
            </w: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33,332,123</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26,470,408</w:t>
            </w: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22,992,211</w:t>
            </w: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22,767,130</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22,363,281</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Net assets at end of period</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w w:val="89"/>
              </w:rPr>
              <w:t>250,369,693</w:t>
            </w:r>
          </w:p>
        </w:tc>
        <w:tc>
          <w:tcPr>
            <w:tcW w:w="1000" w:type="dxa"/>
            <w:vAlign w:val="bottom"/>
            <w:tcBorders>
              <w:right w:val="single" w:sz="8" w:color="CCFFCC"/>
            </w:tcBorders>
            <w:gridSpan w:val="3"/>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89"/>
              </w:rPr>
              <w:t>$ 207,875,659</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FFCC"/>
            </w:tcBorders>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89"/>
              </w:rPr>
              <w:t>180,525,942</w:t>
            </w: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2"/>
              </w:rPr>
              <w:t>186,925,667</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w w:val="89"/>
              </w:rPr>
              <w:t>213,895,724</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Portfolio turnover rate</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45.5%</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39.2%</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24.5%</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Average debt outstanding</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w w:val="89"/>
              </w:rPr>
              <w:t>150,828,586</w:t>
            </w:r>
          </w:p>
        </w:tc>
        <w:tc>
          <w:tcPr>
            <w:tcW w:w="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FFCC"/>
            </w:tcBorders>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w w:val="96"/>
              </w:rPr>
              <w:t>80,758,743</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FFCC"/>
            </w:tcBorders>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9"/>
              </w:rPr>
              <w:t>53,974,098</w:t>
            </w: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2"/>
              </w:rPr>
              <w:t>154,952,070</w:t>
            </w:r>
          </w:p>
        </w:tc>
        <w:tc>
          <w:tcPr>
            <w:tcW w:w="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w w:val="89"/>
              </w:rPr>
              <w:t>236,184,703</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Average debt outstanding per share</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3.05</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Asset coverage ratio</w:t>
            </w:r>
          </w:p>
        </w:tc>
        <w:tc>
          <w:tcPr>
            <w:tcW w:w="100" w:type="dxa"/>
            <w:vAlign w:val="bottom"/>
            <w:shd w:val="clear" w:color="auto" w:fill="CCFFCC"/>
          </w:tcPr>
          <w:p>
            <w:pPr>
              <w:spacing w:after="0"/>
              <w:rPr>
                <w:sz w:val="12"/>
                <w:szCs w:val="12"/>
                <w:color w:val="auto"/>
              </w:rPr>
            </w:pPr>
          </w:p>
        </w:tc>
        <w:tc>
          <w:tcPr>
            <w:tcW w:w="98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226%</w:t>
            </w:r>
          </w:p>
        </w:tc>
        <w:tc>
          <w:tcPr>
            <w:tcW w:w="12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401%</w:t>
            </w:r>
          </w:p>
        </w:tc>
        <w:tc>
          <w:tcPr>
            <w:tcW w:w="80" w:type="dxa"/>
            <w:vAlign w:val="bottom"/>
            <w:shd w:val="clear" w:color="auto" w:fill="CCFFCC"/>
          </w:tcPr>
          <w:p>
            <w:pPr>
              <w:spacing w:after="0"/>
              <w:rPr>
                <w:sz w:val="12"/>
                <w:szCs w:val="12"/>
                <w:color w:val="auto"/>
              </w:rPr>
            </w:pPr>
          </w:p>
        </w:tc>
        <w:tc>
          <w:tcPr>
            <w:tcW w:w="98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315%</w:t>
            </w: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30"/>
        </w:trPr>
        <w:tc>
          <w:tcPr>
            <w:tcW w:w="31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Ratio of net investment income to average net</w:t>
            </w:r>
          </w:p>
        </w:tc>
        <w:tc>
          <w:tcPr>
            <w:tcW w:w="10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11.3%</w:t>
            </w:r>
          </w:p>
        </w:tc>
        <w:tc>
          <w:tcPr>
            <w:tcW w:w="120" w:type="dxa"/>
            <w:vAlign w:val="bottom"/>
          </w:tcPr>
          <w:p>
            <w:pPr>
              <w:spacing w:after="0"/>
              <w:rPr>
                <w:sz w:val="11"/>
                <w:szCs w:val="11"/>
                <w:color w:val="auto"/>
              </w:rPr>
            </w:pPr>
          </w:p>
        </w:tc>
        <w:tc>
          <w:tcPr>
            <w:tcW w:w="88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1"/>
                <w:szCs w:val="11"/>
                <w:color w:val="auto"/>
              </w:rPr>
            </w:pPr>
          </w:p>
        </w:tc>
        <w:tc>
          <w:tcPr>
            <w:tcW w:w="9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8.1%</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1"/>
                <w:szCs w:val="11"/>
                <w:color w:val="auto"/>
              </w:rPr>
            </w:pPr>
          </w:p>
        </w:tc>
        <w:tc>
          <w:tcPr>
            <w:tcW w:w="8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40" w:type="dxa"/>
            <w:vAlign w:val="bottom"/>
            <w:gridSpan w:val="2"/>
          </w:tcPr>
          <w:p>
            <w:pPr>
              <w:ind w:left="18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Ratio of total expenses to average net assets</w:t>
            </w:r>
          </w:p>
        </w:tc>
        <w:tc>
          <w:tcPr>
            <w:tcW w:w="100" w:type="dxa"/>
            <w:vAlign w:val="bottom"/>
            <w:shd w:val="clear" w:color="auto" w:fill="CCFFCC"/>
          </w:tcPr>
          <w:p>
            <w:pPr>
              <w:spacing w:after="0"/>
              <w:rPr>
                <w:sz w:val="12"/>
                <w:szCs w:val="12"/>
                <w:color w:val="auto"/>
              </w:rPr>
            </w:pPr>
          </w:p>
        </w:tc>
        <w:tc>
          <w:tcPr>
            <w:tcW w:w="980" w:type="dxa"/>
            <w:vAlign w:val="bottom"/>
            <w:tcBorders>
              <w:right w:val="single" w:sz="8" w:color="CCFFCC"/>
            </w:tcBorders>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120" w:type="dxa"/>
            <w:vAlign w:val="bottom"/>
            <w:shd w:val="clear" w:color="auto" w:fill="CCFFCC"/>
          </w:tcPr>
          <w:p>
            <w:pPr>
              <w:spacing w:after="0"/>
              <w:rPr>
                <w:sz w:val="12"/>
                <w:szCs w:val="12"/>
                <w:color w:val="auto"/>
              </w:rPr>
            </w:pPr>
          </w:p>
        </w:tc>
        <w:tc>
          <w:tcPr>
            <w:tcW w:w="880" w:type="dxa"/>
            <w:vAlign w:val="bottom"/>
            <w:tcBorders>
              <w:right w:val="single" w:sz="8" w:color="CCFFCC"/>
            </w:tcBorders>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FFCC"/>
          </w:tcPr>
          <w:p>
            <w:pPr>
              <w:spacing w:after="0"/>
              <w:rPr>
                <w:sz w:val="12"/>
                <w:szCs w:val="12"/>
                <w:color w:val="auto"/>
              </w:rPr>
            </w:pPr>
          </w:p>
        </w:tc>
        <w:tc>
          <w:tcPr>
            <w:tcW w:w="920" w:type="dxa"/>
            <w:vAlign w:val="bottom"/>
            <w:tcBorders>
              <w:right w:val="single" w:sz="8" w:color="CCFFCC"/>
            </w:tcBorders>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6.0%</w:t>
            </w:r>
          </w:p>
        </w:tc>
        <w:tc>
          <w:tcPr>
            <w:tcW w:w="80" w:type="dxa"/>
            <w:vAlign w:val="bottom"/>
            <w:shd w:val="clear" w:color="auto" w:fill="CCFFCC"/>
          </w:tcPr>
          <w:p>
            <w:pPr>
              <w:spacing w:after="0"/>
              <w:rPr>
                <w:sz w:val="12"/>
                <w:szCs w:val="12"/>
                <w:color w:val="auto"/>
              </w:rPr>
            </w:pPr>
          </w:p>
        </w:tc>
        <w:tc>
          <w:tcPr>
            <w:tcW w:w="980" w:type="dxa"/>
            <w:vAlign w:val="bottom"/>
            <w:tcBorders>
              <w:right w:val="single" w:sz="8" w:color="CCFFCC"/>
            </w:tcBorders>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10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Ratio of interest expense to average net assets</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10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316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Ratio of non-interest expenses to average net</w:t>
            </w:r>
          </w:p>
        </w:tc>
        <w:tc>
          <w:tcPr>
            <w:tcW w:w="100" w:type="dxa"/>
            <w:vAlign w:val="bottom"/>
            <w:shd w:val="clear" w:color="auto" w:fill="CCFFCC"/>
          </w:tcPr>
          <w:p>
            <w:pPr>
              <w:spacing w:after="0"/>
              <w:rPr>
                <w:sz w:val="11"/>
                <w:szCs w:val="11"/>
                <w:color w:val="auto"/>
              </w:rPr>
            </w:pPr>
          </w:p>
        </w:tc>
        <w:tc>
          <w:tcPr>
            <w:tcW w:w="980" w:type="dxa"/>
            <w:vAlign w:val="bottom"/>
            <w:tcBorders>
              <w:right w:val="single" w:sz="8" w:color="CCFFCC"/>
            </w:tcBorders>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3.6%</w:t>
            </w:r>
          </w:p>
        </w:tc>
        <w:tc>
          <w:tcPr>
            <w:tcW w:w="120" w:type="dxa"/>
            <w:vAlign w:val="bottom"/>
            <w:shd w:val="clear" w:color="auto" w:fill="CCFFCC"/>
          </w:tcPr>
          <w:p>
            <w:pPr>
              <w:spacing w:after="0"/>
              <w:rPr>
                <w:sz w:val="11"/>
                <w:szCs w:val="11"/>
                <w:color w:val="auto"/>
              </w:rPr>
            </w:pPr>
          </w:p>
        </w:tc>
        <w:tc>
          <w:tcPr>
            <w:tcW w:w="880" w:type="dxa"/>
            <w:vAlign w:val="bottom"/>
            <w:tcBorders>
              <w:right w:val="single" w:sz="8" w:color="CCFFCC"/>
            </w:tcBorders>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3.7%</w:t>
            </w:r>
          </w:p>
        </w:tc>
        <w:tc>
          <w:tcPr>
            <w:tcW w:w="100" w:type="dxa"/>
            <w:vAlign w:val="bottom"/>
            <w:shd w:val="clear" w:color="auto" w:fill="CCFFCC"/>
          </w:tcPr>
          <w:p>
            <w:pPr>
              <w:spacing w:after="0"/>
              <w:rPr>
                <w:sz w:val="11"/>
                <w:szCs w:val="11"/>
                <w:color w:val="auto"/>
              </w:rPr>
            </w:pPr>
          </w:p>
        </w:tc>
        <w:tc>
          <w:tcPr>
            <w:tcW w:w="920" w:type="dxa"/>
            <w:vAlign w:val="bottom"/>
            <w:tcBorders>
              <w:right w:val="single" w:sz="8" w:color="CCFFCC"/>
            </w:tcBorders>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3.7%</w:t>
            </w:r>
          </w:p>
        </w:tc>
        <w:tc>
          <w:tcPr>
            <w:tcW w:w="80" w:type="dxa"/>
            <w:vAlign w:val="bottom"/>
            <w:shd w:val="clear" w:color="auto" w:fill="CCFFCC"/>
          </w:tcPr>
          <w:p>
            <w:pPr>
              <w:spacing w:after="0"/>
              <w:rPr>
                <w:sz w:val="11"/>
                <w:szCs w:val="11"/>
                <w:color w:val="auto"/>
              </w:rPr>
            </w:pPr>
          </w:p>
        </w:tc>
        <w:tc>
          <w:tcPr>
            <w:tcW w:w="980" w:type="dxa"/>
            <w:vAlign w:val="bottom"/>
            <w:tcBorders>
              <w:right w:val="single" w:sz="8" w:color="CCFFCC"/>
            </w:tcBorders>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5.0%</w:t>
            </w:r>
          </w:p>
        </w:tc>
        <w:tc>
          <w:tcPr>
            <w:tcW w:w="10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40"/>
              <w:spacing w:after="0" w:line="130"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314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6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200" w:type="dxa"/>
            <w:vAlign w:val="bottom"/>
            <w:tcBorders>
              <w:right w:val="single" w:sz="8" w:color="CCFFCC"/>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-3601085</wp:posOffset>
            </wp:positionV>
            <wp:extent cx="5265420" cy="1028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265420"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-3121025</wp:posOffset>
            </wp:positionV>
            <wp:extent cx="5265420" cy="1974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265420" cy="1974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-2066290</wp:posOffset>
            </wp:positionV>
            <wp:extent cx="52654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26542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-4716145</wp:posOffset>
            </wp:positionV>
            <wp:extent cx="52571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weighted average number of common shares outstanding for the period.</w:t>
      </w:r>
    </w:p>
    <w:p>
      <w:pPr>
        <w:spacing w:after="0" w:line="117" w:lineRule="exact"/>
        <w:rPr>
          <w:rFonts w:ascii="Arial" w:cs="Arial" w:eastAsia="Arial" w:hAnsi="Arial"/>
          <w:sz w:val="18"/>
          <w:szCs w:val="18"/>
          <w:color w:val="auto"/>
        </w:rPr>
      </w:pPr>
    </w:p>
    <w:p>
      <w:pPr>
        <w:ind w:left="300" w:right="719" w:hanging="272"/>
        <w:spacing w:after="0" w:line="277"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net asset value return (not annualized) equals the change in the net asset value per share over the beginning of period net asset value per share plus dividends, divided by the beginning net asset value per share.</w:t>
      </w:r>
    </w:p>
    <w:p>
      <w:pPr>
        <w:spacing w:after="0" w:line="62" w:lineRule="exact"/>
        <w:rPr>
          <w:rFonts w:ascii="Arial" w:cs="Arial" w:eastAsia="Arial" w:hAnsi="Arial"/>
          <w:sz w:val="18"/>
          <w:szCs w:val="18"/>
          <w:color w:val="auto"/>
        </w:rPr>
      </w:pPr>
    </w:p>
    <w:p>
      <w:pPr>
        <w:ind w:left="300" w:right="819" w:hanging="272"/>
        <w:spacing w:after="0" w:line="277"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Total market return equals the change in the ending market price over the beginning of period price per share plus dividends, divided by the beginning price.</w:t>
      </w:r>
    </w:p>
    <w:p>
      <w:pPr>
        <w:spacing w:after="0" w:line="200" w:lineRule="exact"/>
        <w:rPr>
          <w:sz w:val="20"/>
          <w:szCs w:val="20"/>
          <w:color w:val="auto"/>
        </w:rPr>
      </w:pPr>
    </w:p>
    <w:p>
      <w:pPr>
        <w:spacing w:after="0" w:line="29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controlled by the Company (collectively, “Katonah Debt Advisors”) and in securities issued by collateralized loan obligation funds (“CLO Funds”) managed by Katonah Debt Advisors and two other asset managers.</w:t>
      </w:r>
    </w:p>
    <w:p>
      <w:pPr>
        <w:spacing w:after="0" w:line="70"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our common stock, and net proceeds of $27 million.</w:t>
      </w:r>
    </w:p>
    <w:p>
      <w:pPr>
        <w:spacing w:after="0" w:line="62"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 As of December 31, 2013, Katonah Debt Advisors and Trimaran Advisors are the Company’s only wholly-owned portfolio companies (collectively, “Asset Manager Affiliates”) and have approximately $3.2 billion of par value assets under management. The Asset Manager Affiliates are registered under the Investment Advisers Act of 1940 and are managed independently from the Company by a separate portfolio management team.</w:t>
      </w:r>
    </w:p>
    <w:p>
      <w:pPr>
        <w:spacing w:after="0" w:line="58"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46" w:lineRule="exact"/>
        <w:rPr>
          <w:sz w:val="20"/>
          <w:szCs w:val="20"/>
          <w:color w:val="auto"/>
        </w:rPr>
      </w:pPr>
    </w:p>
    <w:p>
      <w:pPr>
        <w:ind w:left="40" w:right="639" w:firstLine="270"/>
        <w:spacing w:after="0" w:line="288" w:lineRule="auto"/>
        <w:rPr>
          <w:sz w:val="20"/>
          <w:szCs w:val="20"/>
          <w:color w:val="auto"/>
        </w:rPr>
      </w:pPr>
      <w:r>
        <w:rPr>
          <w:rFonts w:ascii="Arial" w:cs="Arial" w:eastAsia="Arial" w:hAnsi="Arial"/>
          <w:sz w:val="16"/>
          <w:szCs w:val="16"/>
          <w:color w:val="auto"/>
        </w:rPr>
        <w:t>The Company invests in senior secured loans and mezzanine debt and, to a lesser extent, equity capital of middle market companies in a variety of industries. The Company generally targets companies that generate positive cash flows because the Company looks to cash flows as the primary source for servicing debt. However, the Company may invest in other companies if it is presented with attractive opportunities. The Company defines the middle market as comprising of companies with earnings before interest, taxes, depreciation and amortization (“EBITDA”), of $10 million to $50 million and/or total debt of $25 million to $150 million. The Company’s investment objective is to generate current income and capital appreciation from investments made in senior secured term loans, mezzanine debt and selected equity investments in privately-held middle market companies. The Company also expects to continue to receive distributions of recurring dividends and to generate capital appreciation from its investment in the asset management business of the Asset Manager Affiliates. The Asset Manager Affiliates manage CLO Funds which invest in broadly syndicated loans, high-yield bonds and other credit instruments.</w:t>
      </w:r>
    </w:p>
    <w:p>
      <w:pPr>
        <w:spacing w:after="0" w:line="6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The Company may also invest in other investments such as loans to larger, publicly-traded companies, high-yield bonds and distressed debt securities. The Company may also receive warrants or options to purchase common stock in connection with its debt investments. In addition, the Company may also invest in debt and equity securities issued by the CLO Funds managed by our Asset Manager Affiliates or by other asset managers (“CLO Fund Securities”).</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 (continued)</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taxes on any income that it distributes in a timely manner to its stockholders.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0" w:right="739" w:firstLine="270"/>
        <w:spacing w:after="0" w:line="277" w:lineRule="auto"/>
        <w:rPr>
          <w:sz w:val="20"/>
          <w:szCs w:val="20"/>
          <w:color w:val="auto"/>
        </w:rPr>
      </w:pPr>
      <w:r>
        <w:rPr>
          <w:rFonts w:ascii="Arial" w:cs="Arial" w:eastAsia="Arial" w:hAnsi="Arial"/>
          <w:sz w:val="18"/>
          <w:szCs w:val="18"/>
          <w:color w:val="auto"/>
        </w:rPr>
        <w:t>The accompanying financial statements have been prepared on the accrual basis of accounting in conformity with accounting principles generally accepted in the United States of America (“GAAP”).</w:t>
      </w:r>
    </w:p>
    <w:p>
      <w:pPr>
        <w:spacing w:after="0" w:line="62" w:lineRule="exact"/>
        <w:rPr>
          <w:sz w:val="20"/>
          <w:szCs w:val="20"/>
          <w:color w:val="auto"/>
        </w:rPr>
      </w:pPr>
    </w:p>
    <w:p>
      <w:pPr>
        <w:jc w:val="both"/>
        <w:ind w:left="40" w:right="559" w:firstLine="270"/>
        <w:spacing w:after="0" w:line="297" w:lineRule="auto"/>
        <w:rPr>
          <w:sz w:val="20"/>
          <w:szCs w:val="20"/>
          <w:color w:val="auto"/>
        </w:rPr>
      </w:pPr>
      <w:r>
        <w:rPr>
          <w:rFonts w:ascii="Arial" w:cs="Arial" w:eastAsia="Arial" w:hAnsi="Arial"/>
          <w:sz w:val="16"/>
          <w:szCs w:val="16"/>
          <w:color w:val="auto"/>
        </w:rPr>
        <w:t>The financial statements reflect all adjustments, both normal and recurring which, in the opinion of management, are necessary for the fair presentation of the Company’s results of operations and financial condition for the periods presented. Certain prior-year amounts have been reclassified to conform to the current year presentation. Furthermore, the preparation of the financial statements requires management to make significant estimates and assumptions including with respect to the fair value of investments that do not have a readily available market value. Actual results could differ from those estimates, and the differences could be material.</w:t>
      </w:r>
    </w:p>
    <w:p>
      <w:pPr>
        <w:spacing w:after="0" w:line="50"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The Company consolidates the financial statements of its wholly-owned special purpose financing subsidiaries KCAP Funding, Kolhberg Capital Funding LLC I, KCAP Senior Funding I, LLC and KCAP Senior Funding I Holdings, LLC in its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80"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79" w:lineRule="exact"/>
        <w:rPr>
          <w:sz w:val="20"/>
          <w:szCs w:val="20"/>
          <w:color w:val="auto"/>
        </w:rPr>
      </w:pPr>
    </w:p>
    <w:p>
      <w:pPr>
        <w:ind w:left="40" w:right="759" w:firstLine="270"/>
        <w:spacing w:after="0" w:line="290" w:lineRule="auto"/>
        <w:rPr>
          <w:sz w:val="20"/>
          <w:szCs w:val="20"/>
          <w:color w:val="auto"/>
        </w:rPr>
      </w:pPr>
      <w:r>
        <w:rPr>
          <w:rFonts w:ascii="Arial" w:cs="Arial" w:eastAsia="Arial" w:hAnsi="Arial"/>
          <w:sz w:val="16"/>
          <w:szCs w:val="16"/>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as it requires the Asset Manager Affiliates to consolidate the financial statements of managed CLO Funds. As a result of the consolidation of the financial statements of the CLOs into the financial statements of the Asset Manager Affiliates, the Asset Manager Affiliates qualify as a “significant subsidiary” and, as a result, the Company is required to include additional financial information regarding the Asset Manager Affiliates in its filings with the United States Securities and Exchange Commission (“SEC”). This additional financial information regarding the Asset Manager Affiliates does not directly impact the financial position or results of operations of the Company.</w:t>
      </w:r>
    </w:p>
    <w:p>
      <w:pPr>
        <w:spacing w:after="0" w:line="58"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color w:val="auto"/>
        </w:rPr>
        <w:t>In addition, in accordance with Rules 3-09, Rule 4-08(g) and 1-02 of Regulation S-X promulgated by the SEC, additional financial information with respect to two of the CLO Funds in which the Company has an investment, Katonah 2007-I CLO Ltd. (“Katonah 2007-I CLO”), and Katonah X CLO Ltd. (“Katonah X CLO”) are required to be included in the Company’s SEC filings. The additional financial information regarding the Asset Manager Affiliates, Katonah 2007-I CLO (pursuant to Rule 3-09) and Katonah X CLO (pursuant to Rule 4-08(g)) immediately follow the Company’s financial statements.</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In June 2013, the Financial Accounting Standards Board (“FASB”) issued ASU No. 2013-08, Financial Services-Investment Companies (Topic 946): Amendments to the Scope, Measurement, and Disclosure Requirements (“ASU 2013-08”). ASU 2013-08 changes the approach to the assessment of whether a company is an investment company, clarifies the characteristics of an investment company, provides comprehensive guidance for the investment company assessment and contains certain disclosure requirements. ASU 2013-08 is effective for interim and annual reporting periods in fiscal years that begin after December 15, 2013. Earlier application is prohibited. Management does not believe the adoption of ASU 2013-08 will have a material impact on the Company’s financial statements.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40" w:right="859" w:firstLine="270"/>
        <w:spacing w:after="0" w:line="277" w:lineRule="auto"/>
        <w:rPr>
          <w:sz w:val="20"/>
          <w:szCs w:val="20"/>
          <w:color w:val="auto"/>
        </w:rPr>
      </w:pPr>
      <w:r>
        <w:rPr>
          <w:rFonts w:ascii="Arial" w:cs="Arial" w:eastAsia="Arial" w:hAnsi="Arial"/>
          <w:sz w:val="18"/>
          <w:szCs w:val="18"/>
          <w:color w:val="auto"/>
        </w:rPr>
        <w:t>Investment transactions are recorded on the applicable trade date. Realized gains or losses are determined using the specific identification method.</w:t>
      </w:r>
    </w:p>
    <w:p>
      <w:pPr>
        <w:spacing w:after="0" w:line="62"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The Company’s Board of Directors is ultimately and solely responsible for making a good</w:t>
      </w:r>
      <w:r>
        <w:rPr>
          <w:rFonts w:ascii="Arial" w:cs="Arial" w:eastAsia="Arial" w:hAnsi="Arial"/>
          <w:sz w:val="16"/>
          <w:szCs w:val="16"/>
          <w:i w:val="1"/>
          <w:iCs w:val="1"/>
          <w:color w:val="auto"/>
        </w:rPr>
        <w:t xml:space="preserve"> </w:t>
      </w:r>
      <w:r>
        <w:rPr>
          <w:rFonts w:ascii="Arial" w:cs="Arial" w:eastAsia="Arial" w:hAnsi="Arial"/>
          <w:sz w:val="16"/>
          <w:szCs w:val="16"/>
          <w:color w:val="auto"/>
        </w:rPr>
        <w:t>faith determination of the 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65"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The guidance also required that purchases, sales, issuances and settlements be presented gross in the Level III reconciliation.</w:t>
      </w:r>
    </w:p>
    <w:p>
      <w:pPr>
        <w:spacing w:after="0" w:line="79" w:lineRule="exact"/>
        <w:rPr>
          <w:sz w:val="20"/>
          <w:szCs w:val="20"/>
          <w:color w:val="auto"/>
        </w:rPr>
      </w:pPr>
    </w:p>
    <w:p>
      <w:pPr>
        <w:ind w:left="40" w:right="1099" w:firstLine="270"/>
        <w:spacing w:after="0" w:line="342" w:lineRule="auto"/>
        <w:rPr>
          <w:sz w:val="20"/>
          <w:szCs w:val="20"/>
          <w:color w:val="auto"/>
        </w:rPr>
      </w:pPr>
      <w:r>
        <w:rPr>
          <w:rFonts w:ascii="Arial" w:cs="Arial" w:eastAsia="Arial" w:hAnsi="Arial"/>
          <w:sz w:val="16"/>
          <w:szCs w:val="16"/>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6"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The Company utilizes an independent valuation firm to provide an annual third-party review of the CLO fair value model relative to its functionality, model inputs and calculations as a reasonable method to determine CLO fair values, in the absence of Level I or Level II trading activity or observable market inputs. The independent valuation firm concluded that the Company’s CLO model appropriately factors in all the necessary inputs required to build a CLO equity cash flow model for fair value purposes and that the inputs were being employed correctly.</w:t>
      </w:r>
    </w:p>
    <w:p>
      <w:pPr>
        <w:spacing w:after="0" w:line="80"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on material illiquid securities such that they are reviewed at least once during a trailing 12 month period. These third party valuation estimates are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Board of Directors may consider other methods of valuation than those set forth below to determine the fair value of Level</w:t>
      </w:r>
    </w:p>
    <w:p>
      <w:pPr>
        <w:spacing w:after="0" w:line="46" w:lineRule="exact"/>
        <w:rPr>
          <w:sz w:val="20"/>
          <w:szCs w:val="20"/>
          <w:color w:val="auto"/>
        </w:rPr>
      </w:pPr>
    </w:p>
    <w:p>
      <w:pPr>
        <w:ind w:left="40" w:right="699" w:firstLine="8"/>
        <w:spacing w:after="0" w:line="270" w:lineRule="auto"/>
        <w:tabs>
          <w:tab w:leader="none" w:pos="265"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71" w:lineRule="exact"/>
        <w:rPr>
          <w:sz w:val="20"/>
          <w:szCs w:val="20"/>
          <w:color w:val="auto"/>
        </w:rPr>
      </w:pPr>
    </w:p>
    <w:p>
      <w:pPr>
        <w:ind w:left="40" w:right="699" w:firstLine="270"/>
        <w:spacing w:after="0" w:line="276" w:lineRule="auto"/>
        <w:rPr>
          <w:sz w:val="20"/>
          <w:szCs w:val="20"/>
          <w:color w:val="auto"/>
        </w:rPr>
      </w:pPr>
      <w:r>
        <w:rPr>
          <w:rFonts w:ascii="Arial" w:cs="Arial" w:eastAsia="Arial" w:hAnsi="Arial"/>
          <w:sz w:val="17"/>
          <w:szCs w:val="17"/>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64" w:lineRule="exact"/>
        <w:rPr>
          <w:sz w:val="20"/>
          <w:szCs w:val="20"/>
          <w:color w:val="auto"/>
        </w:rPr>
      </w:pPr>
    </w:p>
    <w:p>
      <w:pPr>
        <w:ind w:left="40" w:right="579" w:firstLine="270"/>
        <w:spacing w:after="0" w:line="271"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from normal course 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71"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 two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21" w:lineRule="exact"/>
        <w:rPr>
          <w:sz w:val="20"/>
          <w:szCs w:val="20"/>
          <w:color w:val="auto"/>
        </w:rPr>
      </w:pPr>
    </w:p>
    <w:p>
      <w:pPr>
        <w:ind w:left="40" w:right="679" w:firstLine="270"/>
        <w:spacing w:after="0" w:line="290" w:lineRule="auto"/>
        <w:rPr>
          <w:sz w:val="20"/>
          <w:szCs w:val="20"/>
          <w:color w:val="auto"/>
        </w:rPr>
      </w:pPr>
      <w:r>
        <w:rPr>
          <w:rFonts w:ascii="Arial" w:cs="Arial" w:eastAsia="Arial" w:hAnsi="Arial"/>
          <w:sz w:val="16"/>
          <w:szCs w:val="16"/>
          <w:i w:val="1"/>
          <w:iCs w:val="1"/>
          <w:color w:val="auto"/>
        </w:rPr>
        <w:t>Equity Securities</w:t>
      </w:r>
      <w:r>
        <w:rPr>
          <w:rFonts w:ascii="Arial" w:cs="Arial" w:eastAsia="Arial" w:hAnsi="Arial"/>
          <w:sz w:val="16"/>
          <w:szCs w:val="16"/>
          <w:color w:val="auto"/>
        </w:rPr>
        <w:t>. The Company’s equity securities in portfolio companies for which there is no liquid public market are</w:t>
      </w:r>
      <w:r>
        <w:rPr>
          <w:rFonts w:ascii="Arial" w:cs="Arial" w:eastAsia="Arial" w:hAnsi="Arial"/>
          <w:sz w:val="16"/>
          <w:szCs w:val="16"/>
          <w:i w:val="1"/>
          <w:iCs w:val="1"/>
          <w:color w:val="auto"/>
        </w:rPr>
        <w:t xml:space="preserve"> </w:t>
      </w:r>
      <w:r>
        <w:rPr>
          <w:rFonts w:ascii="Arial" w:cs="Arial" w:eastAsia="Arial" w:hAnsi="Arial"/>
          <w:sz w:val="16"/>
          <w:szCs w:val="16"/>
          <w:color w:val="auto"/>
        </w:rPr>
        <w:t>carried at fair value based on 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(“Enterprise Value”). The determined fair values are generally discounted to account for restrictions on resale and minority ownership positions. The values of the Company’s equity securities in public companies for which market quotations are readily available are based upon the closing public market prices on the balance sheet date (“Market Approach”). Securities that carry certain restrictions on sale are typically valued at a discount from the public market value of the security.</w:t>
      </w:r>
    </w:p>
    <w:p>
      <w:pPr>
        <w:spacing w:after="0" w:line="58" w:lineRule="exact"/>
        <w:rPr>
          <w:sz w:val="20"/>
          <w:szCs w:val="20"/>
          <w:color w:val="auto"/>
        </w:rPr>
      </w:pPr>
    </w:p>
    <w:p>
      <w:pPr>
        <w:ind w:left="40" w:right="599" w:firstLine="270"/>
        <w:spacing w:after="0" w:line="291"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as described in Note 4 below,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59" w:lineRule="exact"/>
        <w:rPr>
          <w:sz w:val="20"/>
          <w:szCs w:val="20"/>
          <w:color w:val="auto"/>
        </w:rPr>
      </w:pPr>
    </w:p>
    <w:p>
      <w:pPr>
        <w:ind w:left="40" w:right="699" w:firstLine="270"/>
        <w:spacing w:after="0" w:line="272" w:lineRule="auto"/>
        <w:rPr>
          <w:sz w:val="20"/>
          <w:szCs w:val="20"/>
          <w:color w:val="auto"/>
        </w:rPr>
      </w:pPr>
      <w:r>
        <w:rPr>
          <w:rFonts w:ascii="Arial" w:cs="Arial" w:eastAsia="Arial" w:hAnsi="Arial"/>
          <w:sz w:val="17"/>
          <w:szCs w:val="17"/>
          <w:i w:val="1"/>
          <w:iCs w:val="1"/>
          <w:color w:val="auto"/>
        </w:rPr>
        <w:t>Asset Manager Affiliates</w:t>
      </w:r>
      <w:r>
        <w:rPr>
          <w:rFonts w:ascii="Arial" w:cs="Arial" w:eastAsia="Arial" w:hAnsi="Arial"/>
          <w:sz w:val="17"/>
          <w:szCs w:val="17"/>
          <w:color w:val="auto"/>
        </w:rPr>
        <w:t>. The Company’s investments in its wholly-owned asset management companies, the Asset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below). Any change in value from period to period is recognized as net change in unrealized appreciation or depreciation.</w:t>
      </w:r>
    </w:p>
    <w:p>
      <w:pPr>
        <w:spacing w:after="0" w:line="70"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w:t>
      </w:r>
      <w:r>
        <w:rPr>
          <w:rFonts w:ascii="Arial" w:cs="Arial" w:eastAsia="Arial" w:hAnsi="Arial"/>
          <w:sz w:val="18"/>
          <w:szCs w:val="18"/>
          <w:i w:val="1"/>
          <w:iCs w:val="1"/>
          <w:color w:val="auto"/>
        </w:rPr>
        <w:t xml:space="preserve"> </w:t>
      </w:r>
      <w:r>
        <w:rPr>
          <w:rFonts w:ascii="Arial" w:cs="Arial" w:eastAsia="Arial" w:hAnsi="Arial"/>
          <w:sz w:val="18"/>
          <w:szCs w:val="18"/>
          <w:color w:val="auto"/>
        </w:rPr>
        <w:t>raised and managed by the Asset Manager Affiliates and may selectively invest in securities issued by funds managed by other asset management companies (collectively, “CLO Fund securities”). The investments held by CLO Funds generally relate to credit instruments issued by corporations.</w:t>
      </w:r>
    </w:p>
    <w:p>
      <w:pPr>
        <w:spacing w:after="0" w:line="79" w:lineRule="exact"/>
        <w:rPr>
          <w:sz w:val="20"/>
          <w:szCs w:val="20"/>
          <w:color w:val="auto"/>
        </w:rPr>
      </w:pPr>
    </w:p>
    <w:p>
      <w:pPr>
        <w:ind w:left="40" w:right="619" w:firstLine="270"/>
        <w:spacing w:after="0" w:line="285"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(“Discounted Cash Flow”),</w:t>
      </w:r>
    </w:p>
    <w:p>
      <w:pPr>
        <w:spacing w:after="0" w:line="2" w:lineRule="exact"/>
        <w:rPr>
          <w:sz w:val="20"/>
          <w:szCs w:val="20"/>
          <w:color w:val="auto"/>
        </w:rPr>
      </w:pPr>
    </w:p>
    <w:p>
      <w:pPr>
        <w:ind w:left="40" w:right="579" w:firstLine="8"/>
        <w:spacing w:after="0" w:line="268" w:lineRule="auto"/>
        <w:tabs>
          <w:tab w:leader="none" w:pos="30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w:t>
      </w:r>
    </w:p>
    <w:p>
      <w:pPr>
        <w:spacing w:after="0" w:line="200" w:lineRule="exact"/>
        <w:rPr>
          <w:sz w:val="20"/>
          <w:szCs w:val="20"/>
          <w:color w:val="auto"/>
        </w:rPr>
      </w:pPr>
    </w:p>
    <w:p>
      <w:pPr>
        <w:spacing w:after="0" w:line="33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1059"/>
        <w:spacing w:after="0" w:line="277" w:lineRule="auto"/>
        <w:rPr>
          <w:sz w:val="20"/>
          <w:szCs w:val="20"/>
          <w:color w:val="auto"/>
        </w:rPr>
      </w:pPr>
      <w:r>
        <w:rPr>
          <w:rFonts w:ascii="Arial" w:cs="Arial" w:eastAsia="Arial" w:hAnsi="Arial"/>
          <w:sz w:val="18"/>
          <w:szCs w:val="18"/>
          <w:color w:val="auto"/>
        </w:rPr>
        <w:t>cash flows are used in determining the fair value of the CLO Fund investment. The Company determines the fair value of its investments in CLO Fund securities on a security-by-security basis.</w:t>
      </w:r>
    </w:p>
    <w:p>
      <w:pPr>
        <w:spacing w:after="0" w:line="62" w:lineRule="exact"/>
        <w:rPr>
          <w:sz w:val="20"/>
          <w:szCs w:val="20"/>
          <w:color w:val="auto"/>
        </w:rPr>
      </w:pPr>
    </w:p>
    <w:p>
      <w:pPr>
        <w:ind w:left="40" w:right="619" w:firstLine="270"/>
        <w:spacing w:after="0" w:line="287"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65"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70" w:lineRule="exact"/>
        <w:rPr>
          <w:sz w:val="20"/>
          <w:szCs w:val="20"/>
          <w:color w:val="auto"/>
        </w:rPr>
      </w:pPr>
    </w:p>
    <w:p>
      <w:pPr>
        <w:jc w:val="both"/>
        <w:ind w:left="40" w:right="779" w:firstLine="270"/>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Company defines cash as demand deposits. The Company places its cash with financial institutions and, at times,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held in checking accounts may exceed the Federal Deposit Insurance Corporation insured limit.</w:t>
      </w:r>
    </w:p>
    <w:p>
      <w:pPr>
        <w:spacing w:after="0" w:line="62"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 Restricted cash consists of cash held for reinvestment, quarterly interest and principal distribution (if any)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notes issued by KCAP Senior Funding-I, LLC.</w:t>
      </w:r>
    </w:p>
    <w:p>
      <w:pPr>
        <w:spacing w:after="0" w:line="62"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b w:val="1"/>
          <w:bCs w:val="1"/>
          <w:i w:val="1"/>
          <w:iCs w:val="1"/>
          <w:color w:val="auto"/>
        </w:rPr>
        <w:t>Time Deposits and Money Market Accounts</w:t>
      </w:r>
      <w:r>
        <w:rPr>
          <w:rFonts w:ascii="Arial" w:cs="Arial" w:eastAsia="Arial" w:hAnsi="Arial"/>
          <w:sz w:val="18"/>
          <w:szCs w:val="18"/>
          <w:color w:val="auto"/>
        </w:rPr>
        <w:t>. Time deposits primarily represent investments of cash held in demand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Money market accounts primarily represent short term interest-bearing deposit accounts. Also includes restricted cash held under employee benefit plans.</w:t>
      </w:r>
    </w:p>
    <w:p>
      <w:pPr>
        <w:spacing w:after="0" w:line="73"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including the amortization of premium and accretion of discount, is recorded on the accrual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to the extent that 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December 31, 2013, four issuers representing less than 1% of the Company’s total investments at fair value were on a non-accrual status.</w:t>
      </w:r>
    </w:p>
    <w:p>
      <w:pPr>
        <w:spacing w:after="0" w:line="81" w:lineRule="exact"/>
        <w:rPr>
          <w:sz w:val="20"/>
          <w:szCs w:val="20"/>
          <w:color w:val="auto"/>
        </w:rPr>
      </w:pPr>
    </w:p>
    <w:p>
      <w:pPr>
        <w:ind w:left="40" w:right="799" w:firstLine="270"/>
        <w:spacing w:after="0" w:line="277" w:lineRule="auto"/>
        <w:rPr>
          <w:sz w:val="20"/>
          <w:szCs w:val="20"/>
          <w:color w:val="auto"/>
        </w:rPr>
      </w:pPr>
      <w:r>
        <w:rPr>
          <w:rFonts w:ascii="Arial" w:cs="Arial" w:eastAsia="Arial" w:hAnsi="Arial"/>
          <w:sz w:val="18"/>
          <w:szCs w:val="18"/>
          <w:b w:val="1"/>
          <w:bCs w:val="1"/>
          <w:i w:val="1"/>
          <w:iCs w:val="1"/>
          <w:color w:val="auto"/>
        </w:rPr>
        <w:t>Dividends from Asset Manager Affiliates</w:t>
      </w:r>
      <w:r>
        <w:rPr>
          <w:rFonts w:ascii="Arial" w:cs="Arial" w:eastAsia="Arial" w:hAnsi="Arial"/>
          <w:sz w:val="18"/>
          <w:szCs w:val="18"/>
          <w:color w:val="auto"/>
        </w:rPr>
        <w:t>. The Company records dividend income from its Asset Manager Affiliates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declaration date, which represents the ex-dividend date.</w:t>
      </w:r>
    </w:p>
    <w:p>
      <w:pPr>
        <w:spacing w:after="0" w:line="62" w:lineRule="exact"/>
        <w:rPr>
          <w:sz w:val="20"/>
          <w:szCs w:val="20"/>
          <w:color w:val="auto"/>
        </w:rPr>
      </w:pPr>
    </w:p>
    <w:p>
      <w:pPr>
        <w:ind w:left="40" w:right="619" w:firstLine="270"/>
        <w:spacing w:after="0" w:line="257" w:lineRule="auto"/>
        <w:rPr>
          <w:sz w:val="20"/>
          <w:szCs w:val="20"/>
          <w:color w:val="auto"/>
        </w:rPr>
      </w:pPr>
      <w:r>
        <w:rPr>
          <w:rFonts w:ascii="Arial" w:cs="Arial" w:eastAsia="Arial" w:hAnsi="Arial"/>
          <w:sz w:val="18"/>
          <w:szCs w:val="18"/>
          <w:b w:val="1"/>
          <w:bCs w:val="1"/>
          <w:i w:val="1"/>
          <w:iCs w:val="1"/>
          <w:color w:val="auto"/>
        </w:rPr>
        <w:t>Dividend Income from CLO Fund Securities</w:t>
      </w:r>
      <w:r>
        <w:rPr>
          <w:rFonts w:ascii="Arial" w:cs="Arial" w:eastAsia="Arial" w:hAnsi="Arial"/>
          <w:sz w:val="18"/>
          <w:szCs w:val="18"/>
          <w:color w:val="auto"/>
        </w:rPr>
        <w:t>. The Company generates dividend income from its investments in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junior class of securities of CLO Funds (typically preferred shares or subordinated securities) managed by the Asset Manager Affiliates and selective investments in securities issued by funds managed by other asset management companies. The Company’s CLO Fund junior class securities are subordinated to senior note holders who typically receive a stated interest rate of return based on a floating</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99"/>
        <w:spacing w:after="0" w:line="297" w:lineRule="auto"/>
        <w:rPr>
          <w:sz w:val="20"/>
          <w:szCs w:val="20"/>
          <w:color w:val="auto"/>
        </w:rPr>
      </w:pPr>
      <w:r>
        <w:rPr>
          <w:rFonts w:ascii="Arial" w:cs="Arial" w:eastAsia="Arial" w:hAnsi="Arial"/>
          <w:sz w:val="16"/>
          <w:szCs w:val="16"/>
          <w:color w:val="auto"/>
        </w:rPr>
        <w:t>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Company makes estimated interim accruals of such dividend income based on recent historical distributions and CLO Fund performance and adjusts such accruals on a quarterly basis to reflect actual distributions.</w:t>
      </w:r>
    </w:p>
    <w:p>
      <w:pPr>
        <w:spacing w:after="0" w:line="50" w:lineRule="exact"/>
        <w:rPr>
          <w:sz w:val="20"/>
          <w:szCs w:val="20"/>
          <w:color w:val="auto"/>
        </w:rPr>
      </w:pPr>
    </w:p>
    <w:p>
      <w:pPr>
        <w:ind w:left="40" w:right="779" w:firstLine="270"/>
        <w:spacing w:after="0" w:line="342" w:lineRule="auto"/>
        <w:rPr>
          <w:sz w:val="20"/>
          <w:szCs w:val="20"/>
          <w:color w:val="auto"/>
        </w:rPr>
      </w:pPr>
      <w:r>
        <w:rPr>
          <w:rFonts w:ascii="Arial" w:cs="Arial" w:eastAsia="Arial" w:hAnsi="Arial"/>
          <w:sz w:val="16"/>
          <w:szCs w:val="16"/>
          <w:color w:val="auto"/>
        </w:rPr>
        <w:t>For non-junior class CLO Fund securities, such as the Company’s investment in the Class B-2L Notes of the Katonah 2007-I CLO and Class F Notes of the Catamaran 2012-1 CLO, interest is earned at a fixed spread relative to the LIBOR index.</w:t>
      </w:r>
    </w:p>
    <w:p>
      <w:pPr>
        <w:spacing w:after="0" w:line="16" w:lineRule="exact"/>
        <w:rPr>
          <w:sz w:val="20"/>
          <w:szCs w:val="20"/>
          <w:color w:val="auto"/>
        </w:rPr>
      </w:pPr>
    </w:p>
    <w:p>
      <w:pPr>
        <w:ind w:left="40" w:right="839" w:firstLine="270"/>
        <w:spacing w:after="0" w:line="257" w:lineRule="auto"/>
        <w:rPr>
          <w:sz w:val="20"/>
          <w:szCs w:val="20"/>
          <w:color w:val="auto"/>
        </w:rPr>
      </w:pPr>
      <w:r>
        <w:rPr>
          <w:rFonts w:ascii="Arial" w:cs="Arial" w:eastAsia="Arial" w:hAnsi="Arial"/>
          <w:sz w:val="18"/>
          <w:szCs w:val="18"/>
          <w:b w:val="1"/>
          <w:bCs w:val="1"/>
          <w:i w:val="1"/>
          <w:iCs w:val="1"/>
          <w:color w:val="auto"/>
        </w:rPr>
        <w:t>Capital Structuring Service Fees</w:t>
      </w:r>
      <w:r>
        <w:rPr>
          <w:rFonts w:ascii="Arial" w:cs="Arial" w:eastAsia="Arial" w:hAnsi="Arial"/>
          <w:sz w:val="18"/>
          <w:szCs w:val="18"/>
          <w:color w:val="auto"/>
        </w:rPr>
        <w:t>. The Company may earn ancillary structuring and other fees related to the origination,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disposition or 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80" w:lineRule="exact"/>
        <w:rPr>
          <w:sz w:val="20"/>
          <w:szCs w:val="20"/>
          <w:color w:val="auto"/>
        </w:rPr>
      </w:pPr>
    </w:p>
    <w:p>
      <w:pPr>
        <w:ind w:left="40" w:right="939" w:firstLine="270"/>
        <w:spacing w:after="0" w:line="264"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 Debt issuance costs represent fees and other direct costs incurred in connection with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borrowings. These amounts are capitalized and amortized using the effective interest method over the contractual term of the borrowing.</w:t>
      </w:r>
    </w:p>
    <w:p>
      <w:pPr>
        <w:spacing w:after="0" w:line="73" w:lineRule="exact"/>
        <w:rPr>
          <w:sz w:val="20"/>
          <w:szCs w:val="20"/>
          <w:color w:val="auto"/>
        </w:rPr>
      </w:pPr>
    </w:p>
    <w:p>
      <w:pPr>
        <w:ind w:left="40" w:right="559" w:firstLine="270"/>
        <w:spacing w:after="0" w:line="276" w:lineRule="auto"/>
        <w:rPr>
          <w:sz w:val="20"/>
          <w:szCs w:val="20"/>
          <w:color w:val="auto"/>
        </w:rPr>
      </w:pPr>
      <w:r>
        <w:rPr>
          <w:rFonts w:ascii="Arial" w:cs="Arial" w:eastAsia="Arial" w:hAnsi="Arial"/>
          <w:sz w:val="17"/>
          <w:szCs w:val="17"/>
          <w:b w:val="1"/>
          <w:bCs w:val="1"/>
          <w:i w:val="1"/>
          <w:iCs w:val="1"/>
          <w:color w:val="auto"/>
        </w:rPr>
        <w:t>Extinguishment of debt</w:t>
      </w:r>
      <w:r>
        <w:rPr>
          <w:rFonts w:ascii="Arial" w:cs="Arial" w:eastAsia="Arial" w:hAnsi="Arial"/>
          <w:sz w:val="17"/>
          <w:szCs w:val="17"/>
          <w:color w:val="auto"/>
        </w:rPr>
        <w:t>. An issuer must derecognize a liability if and only if it has been extinguished through delivery of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delivery of other financial assets, delivery of goods or services, or reacquisition by the issuer of its outstanding debt securities whether the securities are cancelled or held. If the debt contains a cash conversion option, the issuer must allocate the consideration transferred and transaction costs incurred to the extinguishment of the liability component and the reacquisition of the equity component and recognize a gain or loss in the statement of operations.</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Company is internally managed and expenses costs, as incurred, with regard to the running of its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operating expenses 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81"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Dividends and distributions to common stockholders are recorded on the ex-dividend date. The amount to be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as a dividend is determined by the Board of Directors each quarter and is generally based upon the distributable taxable income estimated by management for the period and year.</w:t>
      </w:r>
    </w:p>
    <w:p>
      <w:pPr>
        <w:spacing w:after="0" w:line="73" w:lineRule="exact"/>
        <w:rPr>
          <w:sz w:val="20"/>
          <w:szCs w:val="20"/>
          <w:color w:val="auto"/>
        </w:rPr>
      </w:pPr>
    </w:p>
    <w:p>
      <w:pPr>
        <w:ind w:left="40" w:right="1019" w:firstLine="270"/>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dividends automatically reinvested in additional shares of the Company’s common stock.</w:t>
      </w:r>
    </w:p>
    <w:p>
      <w:pPr>
        <w:spacing w:after="0" w:line="200" w:lineRule="exact"/>
        <w:rPr>
          <w:sz w:val="20"/>
          <w:szCs w:val="20"/>
          <w:color w:val="auto"/>
        </w:rPr>
      </w:pPr>
    </w:p>
    <w:p>
      <w:pPr>
        <w:spacing w:after="0" w:line="3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EARNINGS (LOSSES) PER SHARE</w:t>
      </w:r>
    </w:p>
    <w:p>
      <w:pPr>
        <w:spacing w:after="0" w:line="121" w:lineRule="exact"/>
        <w:rPr>
          <w:sz w:val="20"/>
          <w:szCs w:val="20"/>
          <w:color w:val="auto"/>
        </w:rPr>
      </w:pPr>
    </w:p>
    <w:p>
      <w:pPr>
        <w:ind w:left="60" w:right="799" w:firstLine="270"/>
        <w:spacing w:after="0" w:line="269"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years ended December 31, 2013,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680" w:type="dxa"/>
            <w:vAlign w:val="bottom"/>
            <w:tcBorders>
              <w:bottom w:val="single" w:sz="8" w:color="auto"/>
            </w:tcBorders>
            <w:gridSpan w:val="9"/>
          </w:tcPr>
          <w:p>
            <w:pPr>
              <w:jc w:val="right"/>
              <w:ind w:right="7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540" w:type="dxa"/>
            <w:vAlign w:val="bottom"/>
            <w:vMerge w:val="restart"/>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96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40" w:type="dxa"/>
            <w:vAlign w:val="bottom"/>
            <w:vMerge w:val="continue"/>
          </w:tcPr>
          <w:p>
            <w:pPr>
              <w:spacing w:after="0"/>
              <w:rPr>
                <w:sz w:val="18"/>
                <w:szCs w:val="18"/>
                <w:color w:val="auto"/>
              </w:rPr>
            </w:pPr>
          </w:p>
        </w:tc>
        <w:tc>
          <w:tcPr>
            <w:tcW w:w="10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$ 17,222,972</w:t>
            </w:r>
          </w:p>
        </w:tc>
        <w:tc>
          <w:tcPr>
            <w:tcW w:w="16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1"/>
              </w:rPr>
              <w:t>$ 26,125,779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7,649,544</w:t>
            </w:r>
          </w:p>
        </w:tc>
        <w:tc>
          <w:tcPr>
            <w:tcW w:w="0" w:type="dxa"/>
            <w:vAlign w:val="bottom"/>
          </w:tcPr>
          <w:p>
            <w:pPr>
              <w:spacing w:after="0"/>
              <w:rPr>
                <w:sz w:val="1"/>
                <w:szCs w:val="1"/>
                <w:color w:val="auto"/>
              </w:rPr>
            </w:pPr>
          </w:p>
        </w:tc>
      </w:tr>
      <w:tr>
        <w:trPr>
          <w:trHeight w:val="202"/>
        </w:trPr>
        <w:tc>
          <w:tcPr>
            <w:tcW w:w="45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5"/>
              </w:rPr>
              <w:t>Net decrease (increase) in net assets allocated to unvested</w:t>
            </w:r>
          </w:p>
        </w:tc>
        <w:tc>
          <w:tcPr>
            <w:tcW w:w="108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(101,076)</w:t>
            </w:r>
          </w:p>
        </w:tc>
        <w:tc>
          <w:tcPr>
            <w:tcW w:w="1260" w:type="dxa"/>
            <w:vAlign w:val="bottom"/>
            <w:gridSpan w:val="3"/>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(236,579)</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(102,096)</w:t>
            </w:r>
          </w:p>
        </w:tc>
        <w:tc>
          <w:tcPr>
            <w:tcW w:w="0" w:type="dxa"/>
            <w:vAlign w:val="bottom"/>
          </w:tcPr>
          <w:p>
            <w:pPr>
              <w:spacing w:after="0"/>
              <w:rPr>
                <w:sz w:val="1"/>
                <w:szCs w:val="1"/>
                <w:color w:val="auto"/>
              </w:rPr>
            </w:pPr>
          </w:p>
        </w:tc>
      </w:tr>
      <w:tr>
        <w:trPr>
          <w:trHeight w:val="230"/>
        </w:trPr>
        <w:tc>
          <w:tcPr>
            <w:tcW w:w="4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share awards</w:t>
            </w: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Interest on Convertible Notes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5,250,000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Amortization of Capitalized Costs on Convertible</w:t>
            </w:r>
          </w:p>
        </w:tc>
        <w:tc>
          <w:tcPr>
            <w:tcW w:w="10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457,479</w:t>
            </w: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2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Notes</w:t>
            </w:r>
          </w:p>
        </w:tc>
        <w:tc>
          <w:tcPr>
            <w:tcW w:w="96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8"/>
                <w:szCs w:val="18"/>
                <w:color w:val="auto"/>
                <w:highlight w:val="white"/>
                <w:w w:val="93"/>
              </w:rPr>
              <w:t>Net increase in net assets available to common stockholders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$ 17,121,896</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$ 31,596,679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7,547,448</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540" w:type="dxa"/>
            <w:vAlign w:val="bottom"/>
            <w:shd w:val="clear" w:color="auto" w:fill="CCFFCC"/>
          </w:tcPr>
          <w:p>
            <w:pPr>
              <w:ind w:left="20"/>
              <w:spacing w:after="0" w:line="195" w:lineRule="exact"/>
              <w:rPr>
                <w:sz w:val="20"/>
                <w:szCs w:val="20"/>
                <w:color w:val="auto"/>
              </w:rPr>
            </w:pPr>
            <w:r>
              <w:rPr>
                <w:rFonts w:ascii="Arial" w:cs="Arial" w:eastAsia="Arial" w:hAnsi="Arial"/>
                <w:sz w:val="18"/>
                <w:szCs w:val="18"/>
                <w:color w:val="auto"/>
                <w:w w:val="97"/>
              </w:rPr>
              <w:t>Weighted average number of common shares outstanding</w:t>
            </w:r>
          </w:p>
        </w:tc>
        <w:tc>
          <w:tcPr>
            <w:tcW w:w="1080" w:type="dxa"/>
            <w:vAlign w:val="bottom"/>
            <w:gridSpan w:val="2"/>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32,280,160</w:t>
            </w:r>
          </w:p>
        </w:tc>
        <w:tc>
          <w:tcPr>
            <w:tcW w:w="1260" w:type="dxa"/>
            <w:vAlign w:val="bottom"/>
            <w:gridSpan w:val="3"/>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26,011,517</w:t>
            </w: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w w:val="97"/>
              </w:rPr>
              <w:t>22,868,648</w:t>
            </w:r>
          </w:p>
        </w:tc>
        <w:tc>
          <w:tcPr>
            <w:tcW w:w="0" w:type="dxa"/>
            <w:vAlign w:val="bottom"/>
          </w:tcPr>
          <w:p>
            <w:pPr>
              <w:spacing w:after="0"/>
              <w:rPr>
                <w:sz w:val="1"/>
                <w:szCs w:val="1"/>
                <w:color w:val="auto"/>
              </w:rPr>
            </w:pPr>
          </w:p>
        </w:tc>
      </w:tr>
      <w:tr>
        <w:trPr>
          <w:trHeight w:val="230"/>
        </w:trPr>
        <w:tc>
          <w:tcPr>
            <w:tcW w:w="4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for basic shares computation</w:t>
            </w: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Effect of dilutive securities – stock options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14,845</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14,248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12,026</w:t>
            </w:r>
          </w:p>
        </w:tc>
        <w:tc>
          <w:tcPr>
            <w:tcW w:w="0" w:type="dxa"/>
            <w:vAlign w:val="bottom"/>
          </w:tcPr>
          <w:p>
            <w:pPr>
              <w:spacing w:after="0"/>
              <w:rPr>
                <w:sz w:val="1"/>
                <w:szCs w:val="1"/>
                <w:color w:val="auto"/>
              </w:rPr>
            </w:pPr>
          </w:p>
        </w:tc>
      </w:tr>
      <w:tr>
        <w:trPr>
          <w:trHeight w:val="216"/>
        </w:trPr>
        <w:tc>
          <w:tcPr>
            <w:tcW w:w="4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Effect of dilutive Convertible Notes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7,353,829</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40" w:type="dxa"/>
            <w:vAlign w:val="bottom"/>
          </w:tcPr>
          <w:p>
            <w:pPr>
              <w:ind w:left="20"/>
              <w:spacing w:after="0" w:line="195" w:lineRule="exact"/>
              <w:rPr>
                <w:sz w:val="20"/>
                <w:szCs w:val="20"/>
                <w:color w:val="auto"/>
              </w:rPr>
            </w:pPr>
            <w:r>
              <w:rPr>
                <w:rFonts w:ascii="Arial" w:cs="Arial" w:eastAsia="Arial" w:hAnsi="Arial"/>
                <w:sz w:val="18"/>
                <w:szCs w:val="18"/>
                <w:color w:val="auto"/>
                <w:w w:val="97"/>
              </w:rPr>
              <w:t>Weighted average number of common and common stock</w:t>
            </w:r>
          </w:p>
        </w:tc>
        <w:tc>
          <w:tcPr>
            <w:tcW w:w="108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32,295,005</w:t>
            </w:r>
          </w:p>
        </w:tc>
        <w:tc>
          <w:tcPr>
            <w:tcW w:w="1260" w:type="dxa"/>
            <w:vAlign w:val="bottom"/>
            <w:gridSpan w:val="3"/>
          </w:tcPr>
          <w:p>
            <w:pPr>
              <w:jc w:val="right"/>
              <w:ind w:right="120"/>
              <w:spacing w:after="0" w:line="195" w:lineRule="exact"/>
              <w:rPr>
                <w:sz w:val="20"/>
                <w:szCs w:val="20"/>
                <w:color w:val="auto"/>
              </w:rPr>
            </w:pPr>
            <w:r>
              <w:rPr>
                <w:rFonts w:ascii="Arial" w:cs="Arial" w:eastAsia="Arial" w:hAnsi="Arial"/>
                <w:sz w:val="18"/>
                <w:szCs w:val="18"/>
                <w:color w:val="auto"/>
              </w:rPr>
              <w:t>33,379,594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w w:val="97"/>
              </w:rPr>
              <w:t>22,880,674</w:t>
            </w: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8"/>
                <w:szCs w:val="18"/>
                <w:color w:val="auto"/>
              </w:rPr>
              <w:t>equivalent shares outstanding for diluted shares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0"/>
              <w:spacing w:after="0"/>
              <w:rPr>
                <w:sz w:val="20"/>
                <w:szCs w:val="20"/>
                <w:color w:val="auto"/>
              </w:rPr>
            </w:pPr>
            <w:r>
              <w:rPr>
                <w:rFonts w:ascii="Arial" w:cs="Arial" w:eastAsia="Arial" w:hAnsi="Arial"/>
                <w:sz w:val="18"/>
                <w:szCs w:val="18"/>
                <w:color w:val="auto"/>
              </w:rPr>
              <w:t>computation</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increase in net assets per basic common shares:</w:t>
            </w: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increase in net assets per diluted shares:</w:t>
            </w: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Net increase in net assets from operations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0.95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-1740535</wp:posOffset>
            </wp:positionV>
            <wp:extent cx="1028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3496310</wp:posOffset>
            </wp:positionH>
            <wp:positionV relativeFrom="paragraph">
              <wp:posOffset>-1740535</wp:posOffset>
            </wp:positionV>
            <wp:extent cx="1803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-1740535</wp:posOffset>
            </wp:positionV>
            <wp:extent cx="1803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-1740535</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-1011555</wp:posOffset>
            </wp:positionV>
            <wp:extent cx="5213985" cy="4546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3985" cy="454660"/>
                    </a:xfrm>
                    <a:prstGeom prst="rect">
                      <a:avLst/>
                    </a:prstGeom>
                    <a:noFill/>
                  </pic:spPr>
                </pic:pic>
              </a:graphicData>
            </a:graphic>
          </wp:anchor>
        </w:drawing>
      </w:r>
    </w:p>
    <w:p>
      <w:pPr>
        <w:spacing w:after="0" w:line="59" w:lineRule="exact"/>
        <w:rPr>
          <w:sz w:val="20"/>
          <w:szCs w:val="20"/>
          <w:color w:val="auto"/>
        </w:rPr>
      </w:pPr>
    </w:p>
    <w:p>
      <w:pPr>
        <w:ind w:left="60" w:right="619" w:firstLine="270"/>
        <w:spacing w:after="0" w:line="257"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80" w:lineRule="exact"/>
        <w:rPr>
          <w:sz w:val="20"/>
          <w:szCs w:val="20"/>
          <w:color w:val="auto"/>
        </w:rPr>
      </w:pPr>
    </w:p>
    <w:p>
      <w:pPr>
        <w:ind w:left="60" w:right="679" w:firstLine="270"/>
        <w:spacing w:after="0" w:line="279" w:lineRule="auto"/>
        <w:rPr>
          <w:sz w:val="20"/>
          <w:szCs w:val="20"/>
          <w:color w:val="auto"/>
        </w:rPr>
      </w:pPr>
      <w:r>
        <w:rPr>
          <w:rFonts w:ascii="Arial" w:cs="Arial" w:eastAsia="Arial" w:hAnsi="Arial"/>
          <w:sz w:val="17"/>
          <w:szCs w:val="17"/>
          <w:color w:val="auto"/>
        </w:rPr>
        <w:t>There were 50,000 options to purchase shares of common stock for the year ended December 31, 2013. For the year ended December 31, 2013, options to purchase 14,845 shares of common stock were included in the computation of diluted earnings per share. For the years ended December 31, 2012 and 2011, options to purchase 14,248 and 12,026 shares of common stock, respectively, were included in the computation of diluted earnings per share.</w:t>
      </w:r>
    </w:p>
    <w:p>
      <w:pPr>
        <w:spacing w:after="0" w:line="63" w:lineRule="exact"/>
        <w:rPr>
          <w:sz w:val="20"/>
          <w:szCs w:val="20"/>
          <w:color w:val="auto"/>
        </w:rPr>
      </w:pPr>
    </w:p>
    <w:p>
      <w:pPr>
        <w:ind w:left="60" w:right="579" w:firstLine="270"/>
        <w:spacing w:after="0" w:line="272" w:lineRule="auto"/>
        <w:rPr>
          <w:sz w:val="20"/>
          <w:szCs w:val="20"/>
          <w:color w:val="auto"/>
        </w:rPr>
      </w:pPr>
      <w:r>
        <w:rPr>
          <w:rFonts w:ascii="Arial" w:cs="Arial" w:eastAsia="Arial" w:hAnsi="Arial"/>
          <w:sz w:val="17"/>
          <w:szCs w:val="17"/>
          <w:color w:val="auto"/>
        </w:rPr>
        <w:t>The Company’s Convertible Notes are included in the computation of the diluted net increase or decrease in net assets resulting from operations per share in accordance with ASC 261-10-45-40-b by application of the “if-converted method.” Under the if-converted method, interest charges applicable to the convertible notes for the period are added to the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year ended December 31, 2013, the effect of the convertible notes are anti-dilutive.</w:t>
      </w:r>
    </w:p>
    <w:p>
      <w:pPr>
        <w:spacing w:after="0" w:line="200" w:lineRule="exact"/>
        <w:rPr>
          <w:sz w:val="20"/>
          <w:szCs w:val="20"/>
          <w:color w:val="auto"/>
        </w:rPr>
      </w:pPr>
    </w:p>
    <w:p>
      <w:pPr>
        <w:spacing w:after="0" w:line="3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3. EARNINGS (LOSSES) PER SHARE – (continued)</w:t>
      </w:r>
    </w:p>
    <w:p>
      <w:pPr>
        <w:spacing w:after="0" w:line="1" w:lineRule="exact"/>
        <w:rPr>
          <w:sz w:val="20"/>
          <w:szCs w:val="20"/>
          <w:color w:val="auto"/>
        </w:rPr>
      </w:pPr>
    </w:p>
    <w:p>
      <w:pPr>
        <w:ind w:left="60" w:right="579" w:firstLine="270"/>
        <w:spacing w:after="0" w:line="276" w:lineRule="auto"/>
        <w:rPr>
          <w:sz w:val="20"/>
          <w:szCs w:val="20"/>
          <w:color w:val="auto"/>
        </w:rPr>
      </w:pPr>
      <w:r>
        <w:rPr>
          <w:rFonts w:ascii="Arial" w:cs="Arial" w:eastAsia="Arial" w:hAnsi="Arial"/>
          <w:sz w:val="17"/>
          <w:szCs w:val="17"/>
          <w:color w:val="auto"/>
        </w:rPr>
        <w:t>The if-converted method of computing the dilutive effects on convertible notes assume a conversion even if the contracted conversion price exceeds the market value of the shares. As of December 31, 2013 the current conversion rate of the Convertible Notes is approximately 127.4733 shares of our common stock per $1,000 principal amount of the conversion rate, equivalent to a conversion price of approximately $7.84 per share of the Company’s common stock. Upon conversion, the Company may issue the full amount of common stock and retire the full amount of debt outstanding.</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60" w:right="819" w:firstLine="270"/>
        <w:spacing w:after="0" w:line="269" w:lineRule="auto"/>
        <w:rPr>
          <w:sz w:val="20"/>
          <w:szCs w:val="20"/>
          <w:color w:val="auto"/>
        </w:rPr>
      </w:pPr>
      <w:r>
        <w:rPr>
          <w:rFonts w:ascii="Arial" w:cs="Arial" w:eastAsia="Arial" w:hAnsi="Arial"/>
          <w:sz w:val="18"/>
          <w:szCs w:val="18"/>
          <w:color w:val="auto"/>
        </w:rPr>
        <w:t>The following table shows the Company’s portfolio by security type at December 31, 2013 and December 31, 2012,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057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2080" w:type="dxa"/>
            <w:vAlign w:val="bottom"/>
            <w:gridSpan w:val="4"/>
          </w:tcPr>
          <w:p>
            <w:pPr>
              <w:ind w:left="20"/>
              <w:spacing w:after="0"/>
              <w:rPr>
                <w:sz w:val="20"/>
                <w:szCs w:val="20"/>
                <w:color w:val="auto"/>
              </w:rPr>
            </w:pPr>
            <w:r>
              <w:rPr>
                <w:rFonts w:ascii="Arial" w:cs="Arial" w:eastAsia="Arial" w:hAnsi="Arial"/>
                <w:sz w:val="14"/>
                <w:szCs w:val="14"/>
                <w:b w:val="1"/>
                <w:bCs w:val="1"/>
                <w:color w:val="auto"/>
              </w:rPr>
              <w:t>Security Type</w:t>
            </w:r>
          </w:p>
        </w:tc>
        <w:tc>
          <w:tcPr>
            <w:tcW w:w="10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720" w:type="dxa"/>
            <w:vAlign w:val="bottom"/>
            <w:gridSpan w:val="3"/>
          </w:tcPr>
          <w:p>
            <w:pPr>
              <w:jc w:val="right"/>
              <w:ind w:right="14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720" w:type="dxa"/>
            <w:vAlign w:val="bottom"/>
            <w:gridSpan w:val="3"/>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r>
      <w:tr>
        <w:trPr>
          <w:trHeight w:val="210"/>
        </w:trPr>
        <w:tc>
          <w:tcPr>
            <w:tcW w:w="19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Time Deposit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1,942,834</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1,942,834</w:t>
            </w:r>
          </w:p>
        </w:tc>
        <w:tc>
          <w:tcPr>
            <w:tcW w:w="160" w:type="dxa"/>
            <w:vAlign w:val="bottom"/>
          </w:tcPr>
          <w:p>
            <w:pPr>
              <w:spacing w:after="0"/>
              <w:rPr>
                <w:sz w:val="18"/>
                <w:szCs w:val="18"/>
                <w:color w:val="auto"/>
              </w:rPr>
            </w:pPr>
          </w:p>
        </w:tc>
        <w:tc>
          <w:tcPr>
            <w:tcW w:w="5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5"/>
        </w:trPr>
        <w:tc>
          <w:tcPr>
            <w:tcW w:w="2080" w:type="dxa"/>
            <w:vAlign w:val="bottom"/>
            <w:gridSpan w:val="4"/>
            <w:shd w:val="clear" w:color="auto" w:fill="CCFFCC"/>
          </w:tcPr>
          <w:p>
            <w:pPr>
              <w:ind w:left="20"/>
              <w:spacing w:after="0" w:line="206" w:lineRule="exact"/>
              <w:rPr>
                <w:sz w:val="20"/>
                <w:szCs w:val="20"/>
                <w:color w:val="auto"/>
              </w:rPr>
            </w:pPr>
            <w:r>
              <w:rPr>
                <w:rFonts w:ascii="Arial" w:cs="Arial" w:eastAsia="Arial" w:hAnsi="Arial"/>
                <w:sz w:val="18"/>
                <w:szCs w:val="18"/>
                <w:color w:val="auto"/>
              </w:rPr>
              <w:t>Money Market</w:t>
            </w: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line="206" w:lineRule="exact"/>
              <w:rPr>
                <w:sz w:val="20"/>
                <w:szCs w:val="20"/>
                <w:color w:val="auto"/>
              </w:rPr>
            </w:pPr>
            <w:r>
              <w:rPr>
                <w:rFonts w:ascii="Arial" w:cs="Arial" w:eastAsia="Arial" w:hAnsi="Arial"/>
                <w:sz w:val="18"/>
                <w:szCs w:val="18"/>
                <w:color w:val="auto"/>
              </w:rPr>
              <w:t>7,112,949</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60"/>
              <w:spacing w:after="0" w:line="206" w:lineRule="exact"/>
              <w:rPr>
                <w:sz w:val="20"/>
                <w:szCs w:val="20"/>
                <w:color w:val="auto"/>
              </w:rPr>
            </w:pPr>
            <w:r>
              <w:rPr>
                <w:rFonts w:ascii="Arial" w:cs="Arial" w:eastAsia="Arial" w:hAnsi="Arial"/>
                <w:sz w:val="18"/>
                <w:szCs w:val="18"/>
                <w:color w:val="auto"/>
              </w:rPr>
              <w:t>7,112,949</w:t>
            </w:r>
          </w:p>
        </w:tc>
        <w:tc>
          <w:tcPr>
            <w:tcW w:w="720" w:type="dxa"/>
            <w:vAlign w:val="bottom"/>
            <w:gridSpan w:val="3"/>
            <w:shd w:val="clear" w:color="auto" w:fill="CCFFCC"/>
          </w:tcPr>
          <w:p>
            <w:pPr>
              <w:jc w:val="right"/>
              <w:ind w:right="200"/>
              <w:spacing w:after="0" w:line="206" w:lineRule="exact"/>
              <w:rPr>
                <w:sz w:val="20"/>
                <w:szCs w:val="20"/>
                <w:color w:val="auto"/>
              </w:rPr>
            </w:pPr>
            <w:r>
              <w:rPr>
                <w:rFonts w:ascii="Arial" w:cs="Arial" w:eastAsia="Arial" w:hAnsi="Arial"/>
                <w:sz w:val="18"/>
                <w:szCs w:val="18"/>
                <w:color w:val="auto"/>
              </w:rPr>
              <w:t>3</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40"/>
              <w:spacing w:after="0" w:line="206" w:lineRule="exact"/>
              <w:rPr>
                <w:sz w:val="20"/>
                <w:szCs w:val="20"/>
                <w:color w:val="auto"/>
              </w:rPr>
            </w:pPr>
            <w:r>
              <w:rPr>
                <w:rFonts w:ascii="Arial" w:cs="Arial" w:eastAsia="Arial" w:hAnsi="Arial"/>
                <w:sz w:val="18"/>
                <w:szCs w:val="18"/>
                <w:color w:val="auto"/>
                <w:w w:val="97"/>
              </w:rPr>
              <w:t>30,543,824</w:t>
            </w: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40"/>
              <w:spacing w:after="0" w:line="206" w:lineRule="exact"/>
              <w:rPr>
                <w:sz w:val="20"/>
                <w:szCs w:val="20"/>
                <w:color w:val="auto"/>
              </w:rPr>
            </w:pPr>
            <w:r>
              <w:rPr>
                <w:rFonts w:ascii="Arial" w:cs="Arial" w:eastAsia="Arial" w:hAnsi="Arial"/>
                <w:sz w:val="18"/>
                <w:szCs w:val="18"/>
                <w:color w:val="auto"/>
                <w:w w:val="97"/>
              </w:rPr>
              <w:t>30,543,824</w:t>
            </w:r>
          </w:p>
        </w:tc>
        <w:tc>
          <w:tcPr>
            <w:tcW w:w="720" w:type="dxa"/>
            <w:vAlign w:val="bottom"/>
            <w:gridSpan w:val="3"/>
            <w:shd w:val="clear" w:color="auto" w:fill="CCFFCC"/>
          </w:tcPr>
          <w:p>
            <w:pPr>
              <w:jc w:val="right"/>
              <w:ind w:right="200"/>
              <w:spacing w:after="0" w:line="206" w:lineRule="exact"/>
              <w:rPr>
                <w:sz w:val="20"/>
                <w:szCs w:val="20"/>
                <w:color w:val="auto"/>
              </w:rPr>
            </w:pPr>
            <w:r>
              <w:rPr>
                <w:rFonts w:ascii="Arial" w:cs="Arial" w:eastAsia="Arial" w:hAnsi="Arial"/>
                <w:sz w:val="18"/>
                <w:szCs w:val="18"/>
                <w:color w:val="auto"/>
              </w:rPr>
              <w:t>15</w:t>
            </w:r>
          </w:p>
        </w:tc>
      </w:tr>
      <w:tr>
        <w:trPr>
          <w:trHeight w:val="267"/>
        </w:trPr>
        <w:tc>
          <w:tcPr>
            <w:tcW w:w="20" w:type="dxa"/>
            <w:vAlign w:val="bottom"/>
            <w:shd w:val="clear" w:color="auto" w:fill="CCFFCC"/>
          </w:tcPr>
          <w:p>
            <w:pPr>
              <w:spacing w:after="0"/>
              <w:rPr>
                <w:sz w:val="23"/>
                <w:szCs w:val="23"/>
                <w:color w:val="auto"/>
              </w:rPr>
            </w:pPr>
          </w:p>
        </w:tc>
        <w:tc>
          <w:tcPr>
            <w:tcW w:w="2060" w:type="dxa"/>
            <w:vAlign w:val="bottom"/>
            <w:gridSpan w:val="3"/>
            <w:shd w:val="clear" w:color="auto" w:fill="CCFFCC"/>
          </w:tcPr>
          <w:p>
            <w:pPr>
              <w:ind w:left="180"/>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(2)</w:t>
            </w: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r>
      <w:tr>
        <w:trPr>
          <w:trHeight w:val="216"/>
        </w:trPr>
        <w:tc>
          <w:tcPr>
            <w:tcW w:w="2080" w:type="dxa"/>
            <w:vAlign w:val="bottom"/>
            <w:gridSpan w:val="4"/>
          </w:tcPr>
          <w:p>
            <w:pPr>
              <w:ind w:left="20"/>
              <w:spacing w:after="0"/>
              <w:rPr>
                <w:sz w:val="20"/>
                <w:szCs w:val="20"/>
                <w:color w:val="auto"/>
              </w:rPr>
            </w:pPr>
            <w:r>
              <w:rPr>
                <w:rFonts w:ascii="Arial" w:cs="Arial" w:eastAsia="Arial" w:hAnsi="Arial"/>
                <w:sz w:val="18"/>
                <w:szCs w:val="18"/>
                <w:color w:val="auto"/>
              </w:rPr>
              <w:t>Senior Secured Loan</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175,021,272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168,188,453</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67,874,565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60,258,885</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2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Junior Secured Loan</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50,831,407</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48,443,384</w:t>
            </w:r>
          </w:p>
        </w:tc>
        <w:tc>
          <w:tcPr>
            <w:tcW w:w="7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7"/>
              </w:rPr>
              <w:t>49,646,273</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7"/>
              </w:rPr>
              <w:t>33,486,956</w:t>
            </w:r>
          </w:p>
        </w:tc>
        <w:tc>
          <w:tcPr>
            <w:tcW w:w="7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17</w:t>
            </w:r>
          </w:p>
        </w:tc>
      </w:tr>
      <w:tr>
        <w:trPr>
          <w:trHeight w:val="216"/>
        </w:trPr>
        <w:tc>
          <w:tcPr>
            <w:tcW w:w="2080" w:type="dxa"/>
            <w:vAlign w:val="bottom"/>
            <w:gridSpan w:val="4"/>
          </w:tcPr>
          <w:p>
            <w:pPr>
              <w:ind w:left="20"/>
              <w:spacing w:after="0"/>
              <w:rPr>
                <w:sz w:val="20"/>
                <w:szCs w:val="20"/>
                <w:color w:val="auto"/>
              </w:rPr>
            </w:pPr>
            <w:r>
              <w:rPr>
                <w:rFonts w:ascii="Arial" w:cs="Arial" w:eastAsia="Arial" w:hAnsi="Arial"/>
                <w:sz w:val="18"/>
                <w:szCs w:val="18"/>
                <w:color w:val="auto"/>
              </w:rPr>
              <w:t>Senior Unsecured Loan</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23,000,000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23,000,000</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First Lien Bond</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2,948,332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2,546,400</w:t>
            </w:r>
          </w:p>
        </w:tc>
        <w:tc>
          <w:tcPr>
            <w:tcW w:w="7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2,928,762</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3,000,000</w:t>
            </w:r>
          </w:p>
        </w:tc>
        <w:tc>
          <w:tcPr>
            <w:tcW w:w="7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2080" w:type="dxa"/>
            <w:vAlign w:val="bottom"/>
            <w:gridSpan w:val="4"/>
          </w:tcPr>
          <w:p>
            <w:pPr>
              <w:ind w:left="20"/>
              <w:spacing w:after="0"/>
              <w:rPr>
                <w:sz w:val="20"/>
                <w:szCs w:val="20"/>
                <w:color w:val="auto"/>
              </w:rPr>
            </w:pPr>
            <w:r>
              <w:rPr>
                <w:rFonts w:ascii="Arial" w:cs="Arial" w:eastAsia="Arial" w:hAnsi="Arial"/>
                <w:sz w:val="18"/>
                <w:szCs w:val="18"/>
                <w:color w:val="auto"/>
                <w:w w:val="96"/>
              </w:rPr>
              <w:t>Senior Subordinated Bond</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1,037,707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1,051,540</w:t>
            </w: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2,729,088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2,735,881</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r>
      <w:tr>
        <w:trPr>
          <w:trHeight w:val="202"/>
        </w:trPr>
        <w:tc>
          <w:tcPr>
            <w:tcW w:w="2080" w:type="dxa"/>
            <w:vAlign w:val="bottom"/>
            <w:gridSpan w:val="4"/>
            <w:shd w:val="clear" w:color="auto" w:fill="CCFFCC"/>
          </w:tcPr>
          <w:p>
            <w:pPr>
              <w:ind w:left="20"/>
              <w:spacing w:after="0" w:line="201" w:lineRule="exact"/>
              <w:rPr>
                <w:sz w:val="20"/>
                <w:szCs w:val="20"/>
                <w:color w:val="auto"/>
              </w:rPr>
            </w:pPr>
            <w:r>
              <w:rPr>
                <w:rFonts w:ascii="Arial" w:cs="Arial" w:eastAsia="Arial" w:hAnsi="Arial"/>
                <w:sz w:val="18"/>
                <w:szCs w:val="18"/>
                <w:color w:val="auto"/>
              </w:rPr>
              <w:t>Senior Unsecured</w:t>
            </w: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w w:val="99"/>
              </w:rPr>
              <w:t>10,855,804</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w w:val="97"/>
              </w:rPr>
              <w:t>11,381,100</w:t>
            </w:r>
          </w:p>
        </w:tc>
        <w:tc>
          <w:tcPr>
            <w:tcW w:w="720" w:type="dxa"/>
            <w:vAlign w:val="bottom"/>
            <w:gridSpan w:val="3"/>
            <w:shd w:val="clear" w:color="auto" w:fill="CCFFCC"/>
          </w:tcPr>
          <w:p>
            <w:pPr>
              <w:jc w:val="right"/>
              <w:ind w:right="200"/>
              <w:spacing w:after="0" w:line="201" w:lineRule="exact"/>
              <w:rPr>
                <w:sz w:val="20"/>
                <w:szCs w:val="20"/>
                <w:color w:val="auto"/>
              </w:rPr>
            </w:pPr>
            <w:r>
              <w:rPr>
                <w:rFonts w:ascii="Arial" w:cs="Arial" w:eastAsia="Arial" w:hAnsi="Arial"/>
                <w:sz w:val="18"/>
                <w:szCs w:val="18"/>
                <w:color w:val="auto"/>
              </w:rPr>
              <w:t>5</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w w:val="97"/>
              </w:rPr>
              <w:t>10,798,463</w:t>
            </w: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w w:val="97"/>
              </w:rPr>
              <w:t>11,185,000</w:t>
            </w:r>
          </w:p>
        </w:tc>
        <w:tc>
          <w:tcPr>
            <w:tcW w:w="720" w:type="dxa"/>
            <w:vAlign w:val="bottom"/>
            <w:gridSpan w:val="3"/>
            <w:shd w:val="clear" w:color="auto" w:fill="CCFFCC"/>
          </w:tcPr>
          <w:p>
            <w:pPr>
              <w:jc w:val="right"/>
              <w:ind w:right="200"/>
              <w:spacing w:after="0" w:line="201" w:lineRule="exact"/>
              <w:rPr>
                <w:sz w:val="20"/>
                <w:szCs w:val="20"/>
                <w:color w:val="auto"/>
              </w:rPr>
            </w:pPr>
            <w:r>
              <w:rPr>
                <w:rFonts w:ascii="Arial" w:cs="Arial" w:eastAsia="Arial" w:hAnsi="Arial"/>
                <w:sz w:val="18"/>
                <w:szCs w:val="18"/>
                <w:color w:val="auto"/>
              </w:rPr>
              <w:t>5</w:t>
            </w:r>
          </w:p>
        </w:tc>
      </w:tr>
      <w:tr>
        <w:trPr>
          <w:trHeight w:val="230"/>
        </w:trPr>
        <w:tc>
          <w:tcPr>
            <w:tcW w:w="20" w:type="dxa"/>
            <w:vAlign w:val="bottom"/>
            <w:shd w:val="clear" w:color="auto" w:fill="CCFFCC"/>
          </w:tcPr>
          <w:p>
            <w:pPr>
              <w:spacing w:after="0"/>
              <w:rPr>
                <w:sz w:val="20"/>
                <w:szCs w:val="20"/>
                <w:color w:val="auto"/>
              </w:rPr>
            </w:pPr>
          </w:p>
        </w:tc>
        <w:tc>
          <w:tcPr>
            <w:tcW w:w="206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Bond</w:t>
            </w: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16"/>
        </w:trPr>
        <w:tc>
          <w:tcPr>
            <w:tcW w:w="2080" w:type="dxa"/>
            <w:vAlign w:val="bottom"/>
            <w:gridSpan w:val="4"/>
          </w:tcPr>
          <w:p>
            <w:pPr>
              <w:ind w:left="20"/>
              <w:spacing w:after="0"/>
              <w:rPr>
                <w:sz w:val="20"/>
                <w:szCs w:val="20"/>
                <w:color w:val="auto"/>
              </w:rPr>
            </w:pPr>
            <w:r>
              <w:rPr>
                <w:rFonts w:ascii="Arial" w:cs="Arial" w:eastAsia="Arial" w:hAnsi="Arial"/>
                <w:sz w:val="18"/>
                <w:szCs w:val="18"/>
                <w:color w:val="auto"/>
              </w:rPr>
              <w:t>Senior Secured Bond</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1,519,072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1,619,550</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CLO Fund Securities</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9"/>
              </w:rPr>
              <w:t>101,696,950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79,452,220</w:t>
            </w:r>
          </w:p>
        </w:tc>
        <w:tc>
          <w:tcPr>
            <w:tcW w:w="7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7"/>
              </w:rPr>
              <w:t>90,146,410</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7"/>
              </w:rPr>
              <w:t>83,257,507</w:t>
            </w:r>
          </w:p>
        </w:tc>
        <w:tc>
          <w:tcPr>
            <w:tcW w:w="7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40</w:t>
            </w:r>
          </w:p>
        </w:tc>
      </w:tr>
      <w:tr>
        <w:trPr>
          <w:trHeight w:val="216"/>
        </w:trPr>
        <w:tc>
          <w:tcPr>
            <w:tcW w:w="2080" w:type="dxa"/>
            <w:vAlign w:val="bottom"/>
            <w:gridSpan w:val="4"/>
          </w:tcPr>
          <w:p>
            <w:pPr>
              <w:ind w:left="2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18,755,684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11,006,398</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18,375,588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8,020,716</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2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Preferred</w:t>
            </w: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10,000,000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10,600,000</w:t>
            </w:r>
          </w:p>
        </w:tc>
        <w:tc>
          <w:tcPr>
            <w:tcW w:w="7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371,160</w:t>
            </w:r>
          </w:p>
        </w:tc>
        <w:tc>
          <w:tcPr>
            <w:tcW w:w="16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8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Asset Manager</w:t>
            </w: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w w:val="99"/>
              </w:rPr>
              <w:t>83,378,741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7"/>
              </w:rPr>
              <w:t>76,148,000</w:t>
            </w:r>
          </w:p>
        </w:tc>
        <w:tc>
          <w:tcPr>
            <w:tcW w:w="72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w w:val="97"/>
              </w:rPr>
              <w:t>83,161,529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w w:val="97"/>
              </w:rPr>
              <w:t>77,242,000</w:t>
            </w:r>
          </w:p>
        </w:tc>
        <w:tc>
          <w:tcPr>
            <w:tcW w:w="72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37</w:t>
            </w:r>
          </w:p>
        </w:tc>
      </w:tr>
      <w:tr>
        <w:trPr>
          <w:trHeight w:val="230"/>
        </w:trPr>
        <w:tc>
          <w:tcPr>
            <w:tcW w:w="20" w:type="dxa"/>
            <w:vAlign w:val="bottom"/>
          </w:tcPr>
          <w:p>
            <w:pPr>
              <w:spacing w:after="0"/>
              <w:rPr>
                <w:sz w:val="20"/>
                <w:szCs w:val="20"/>
                <w:color w:val="auto"/>
              </w:rPr>
            </w:pPr>
          </w:p>
        </w:tc>
        <w:tc>
          <w:tcPr>
            <w:tcW w:w="2060" w:type="dxa"/>
            <w:vAlign w:val="bottom"/>
            <w:gridSpan w:val="3"/>
          </w:tcPr>
          <w:p>
            <w:pPr>
              <w:ind w:left="180"/>
              <w:spacing w:after="0"/>
              <w:rPr>
                <w:sz w:val="20"/>
                <w:szCs w:val="20"/>
                <w:color w:val="auto"/>
              </w:rPr>
            </w:pPr>
            <w:r>
              <w:rPr>
                <w:rFonts w:ascii="Arial" w:cs="Arial" w:eastAsia="Arial" w:hAnsi="Arial"/>
                <w:sz w:val="18"/>
                <w:szCs w:val="18"/>
                <w:color w:val="auto"/>
              </w:rPr>
              <w:t>Affiliates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208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9"/>
              </w:rPr>
              <w:t>486,157,918</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7"/>
              </w:rPr>
              <w:t>440,549,994</w:t>
            </w:r>
          </w:p>
        </w:tc>
        <w:tc>
          <w:tcPr>
            <w:tcW w:w="7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176%</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7"/>
              </w:rPr>
              <w:t>358,547,336</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87"/>
              </w:rPr>
              <w:t>312,044,763</w:t>
            </w:r>
          </w:p>
        </w:tc>
        <w:tc>
          <w:tcPr>
            <w:tcW w:w="7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150%</w:t>
            </w: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9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13208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13208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-213995</wp:posOffset>
            </wp:positionV>
            <wp:extent cx="1371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1961515</wp:posOffset>
            </wp:positionH>
            <wp:positionV relativeFrom="paragraph">
              <wp:posOffset>-187960</wp:posOffset>
            </wp:positionV>
            <wp:extent cx="137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-213995</wp:posOffset>
            </wp:positionV>
            <wp:extent cx="137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2733040</wp:posOffset>
            </wp:positionH>
            <wp:positionV relativeFrom="paragraph">
              <wp:posOffset>-187960</wp:posOffset>
            </wp:positionV>
            <wp:extent cx="137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-213995</wp:posOffset>
            </wp:positionV>
            <wp:extent cx="231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-187960</wp:posOffset>
            </wp:positionV>
            <wp:extent cx="2317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-213995</wp:posOffset>
            </wp:positionV>
            <wp:extent cx="1371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-187960</wp:posOffset>
            </wp:positionV>
            <wp:extent cx="137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-213995</wp:posOffset>
            </wp:positionV>
            <wp:extent cx="137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137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-213995</wp:posOffset>
            </wp:positionV>
            <wp:extent cx="12890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-187960</wp:posOffset>
            </wp:positionV>
            <wp:extent cx="12890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Calculated as a percentage of Net Asset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 – (continued)</w:t>
      </w:r>
    </w:p>
    <w:p>
      <w:pPr>
        <w:spacing w:after="0" w:line="121" w:lineRule="exact"/>
        <w:rPr>
          <w:sz w:val="20"/>
          <w:szCs w:val="20"/>
          <w:color w:val="auto"/>
        </w:rPr>
      </w:pPr>
    </w:p>
    <w:p>
      <w:pPr>
        <w:ind w:left="60" w:right="779" w:firstLine="270"/>
        <w:spacing w:after="0" w:line="251" w:lineRule="auto"/>
        <w:rPr>
          <w:sz w:val="20"/>
          <w:szCs w:val="20"/>
          <w:color w:val="auto"/>
        </w:rPr>
      </w:pPr>
      <w:r>
        <w:rPr>
          <w:rFonts w:ascii="Arial" w:cs="Arial" w:eastAsia="Arial" w:hAnsi="Arial"/>
          <w:sz w:val="18"/>
          <w:szCs w:val="18"/>
          <w:color w:val="auto"/>
        </w:rPr>
        <w:t>The industry concentration of the Company’s investment portfolio as of December 31, 2013 and December 31, 2012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-67945</wp:posOffset>
            </wp:positionV>
            <wp:extent cx="52139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4"/>
                <w:szCs w:val="14"/>
                <w:b w:val="1"/>
                <w:bCs w:val="1"/>
                <w:color w:val="auto"/>
              </w:rPr>
              <w:t>December 31, 2012</w:t>
            </w:r>
            <w:r>
              <w:rPr>
                <w:rFonts w:ascii="Arial" w:cs="Arial" w:eastAsia="Arial" w:hAnsi="Arial"/>
                <w:sz w:val="23"/>
                <w:szCs w:val="23"/>
                <w:b w:val="1"/>
                <w:bCs w:val="1"/>
                <w:color w:val="auto"/>
                <w:vertAlign w:val="superscript"/>
              </w:rPr>
              <w:t>(3)</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196"/>
        </w:trPr>
        <w:tc>
          <w:tcPr>
            <w:tcW w:w="2360" w:type="dxa"/>
            <w:vAlign w:val="bottom"/>
            <w:gridSpan w:val="4"/>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140" w:type="dxa"/>
            <w:vAlign w:val="bottom"/>
          </w:tcPr>
          <w:p>
            <w:pPr>
              <w:spacing w:after="0"/>
              <w:rPr>
                <w:sz w:val="17"/>
                <w:szCs w:val="17"/>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660" w:type="dxa"/>
            <w:vAlign w:val="bottom"/>
            <w:gridSpan w:val="3"/>
          </w:tcPr>
          <w:p>
            <w:pPr>
              <w:jc w:val="right"/>
              <w:ind w:righ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Fair Value</w:t>
            </w:r>
          </w:p>
        </w:tc>
        <w:tc>
          <w:tcPr>
            <w:tcW w:w="720" w:type="dxa"/>
            <w:vAlign w:val="bottom"/>
            <w:gridSpan w:val="3"/>
          </w:tcPr>
          <w:p>
            <w:pPr>
              <w:jc w:val="right"/>
              <w:ind w:right="14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r>
      <w:tr>
        <w:trPr>
          <w:trHeight w:val="196"/>
        </w:trPr>
        <w:tc>
          <w:tcPr>
            <w:tcW w:w="226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color w:val="auto"/>
              </w:rPr>
              <w:t>Aerospace and Defense</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9,244,538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8,100,895</w:t>
            </w:r>
          </w:p>
        </w:tc>
        <w:tc>
          <w:tcPr>
            <w:tcW w:w="120" w:type="dxa"/>
            <w:vAlign w:val="bottom"/>
          </w:tcPr>
          <w:p>
            <w:pPr>
              <w:spacing w:after="0"/>
              <w:rPr>
                <w:sz w:val="17"/>
                <w:szCs w:val="17"/>
                <w:color w:val="auto"/>
              </w:rPr>
            </w:pPr>
          </w:p>
        </w:tc>
        <w:tc>
          <w:tcPr>
            <w:tcW w:w="5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5,278,896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3,874,742</w:t>
            </w:r>
          </w:p>
        </w:tc>
        <w:tc>
          <w:tcPr>
            <w:tcW w:w="120" w:type="dxa"/>
            <w:vAlign w:val="bottom"/>
          </w:tcPr>
          <w:p>
            <w:pPr>
              <w:spacing w:after="0"/>
              <w:rPr>
                <w:sz w:val="17"/>
                <w:szCs w:val="17"/>
                <w:color w:val="auto"/>
              </w:rPr>
            </w:pPr>
          </w:p>
        </w:tc>
        <w:tc>
          <w:tcPr>
            <w:tcW w:w="6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w:t>
            </w:r>
          </w:p>
        </w:tc>
      </w:tr>
      <w:tr>
        <w:trPr>
          <w:trHeight w:val="192"/>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Asset Management</w:t>
            </w: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83,378,741</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76,148,000</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83,161,529</w:t>
            </w:r>
          </w:p>
        </w:tc>
        <w:tc>
          <w:tcPr>
            <w:tcW w:w="12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77,242,000</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37</w:t>
            </w:r>
          </w:p>
        </w:tc>
      </w:tr>
      <w:tr>
        <w:trPr>
          <w:trHeight w:val="254"/>
        </w:trPr>
        <w:tc>
          <w:tcPr>
            <w:tcW w:w="20" w:type="dxa"/>
            <w:vAlign w:val="bottom"/>
            <w:shd w:val="clear" w:color="auto" w:fill="CCFFCC"/>
          </w:tcPr>
          <w:p>
            <w:pPr>
              <w:spacing w:after="0"/>
              <w:rPr>
                <w:sz w:val="22"/>
                <w:szCs w:val="22"/>
                <w:color w:val="auto"/>
              </w:rPr>
            </w:pPr>
          </w:p>
        </w:tc>
        <w:tc>
          <w:tcPr>
            <w:tcW w:w="2340" w:type="dxa"/>
            <w:vAlign w:val="bottom"/>
            <w:gridSpan w:val="3"/>
            <w:shd w:val="clear" w:color="auto" w:fill="CCFFCC"/>
          </w:tcPr>
          <w:p>
            <w:pPr>
              <w:ind w:left="180"/>
              <w:spacing w:after="0" w:line="254" w:lineRule="exact"/>
              <w:rPr>
                <w:sz w:val="20"/>
                <w:szCs w:val="20"/>
                <w:color w:val="auto"/>
              </w:rPr>
            </w:pPr>
            <w:r>
              <w:rPr>
                <w:rFonts w:ascii="Arial" w:cs="Arial" w:eastAsia="Arial" w:hAnsi="Arial"/>
                <w:sz w:val="16"/>
                <w:szCs w:val="16"/>
                <w:color w:val="auto"/>
              </w:rPr>
              <w:t>Company</w:t>
            </w:r>
            <w:r>
              <w:rPr>
                <w:rFonts w:ascii="Arial" w:cs="Arial" w:eastAsia="Arial" w:hAnsi="Arial"/>
                <w:sz w:val="27"/>
                <w:szCs w:val="27"/>
                <w:color w:val="auto"/>
                <w:vertAlign w:val="superscript"/>
              </w:rPr>
              <w:t>(2)</w:t>
            </w:r>
          </w:p>
        </w:tc>
        <w:tc>
          <w:tcPr>
            <w:tcW w:w="140" w:type="dxa"/>
            <w:vAlign w:val="bottom"/>
            <w:shd w:val="clear" w:color="auto" w:fill="CCFFCC"/>
          </w:tcPr>
          <w:p>
            <w:pPr>
              <w:spacing w:after="0"/>
              <w:rPr>
                <w:sz w:val="22"/>
                <w:szCs w:val="22"/>
                <w:color w:val="auto"/>
              </w:rPr>
            </w:pPr>
          </w:p>
        </w:tc>
        <w:tc>
          <w:tcPr>
            <w:tcW w:w="900" w:type="dxa"/>
            <w:vAlign w:val="bottom"/>
            <w:tcBorders>
              <w:right w:val="single" w:sz="8" w:color="CCFFCC"/>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900" w:type="dxa"/>
            <w:vAlign w:val="bottom"/>
            <w:tcBorders>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900" w:type="dxa"/>
            <w:vAlign w:val="bottom"/>
            <w:tcBorders>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900" w:type="dxa"/>
            <w:vAlign w:val="bottom"/>
            <w:tcBorders>
              <w:right w:val="single" w:sz="8" w:color="CCFFCC"/>
            </w:tcBorders>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Automotive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15,248,090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15,306,403</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4,945,696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5,011,609</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2</w:t>
            </w:r>
          </w:p>
        </w:tc>
      </w:tr>
      <w:tr>
        <w:trPr>
          <w:trHeight w:val="19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Banking, Finance, Insurance &amp;</w:t>
            </w: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4,190,265</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4,299,050</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14,569,139</w:t>
            </w:r>
          </w:p>
        </w:tc>
        <w:tc>
          <w:tcPr>
            <w:tcW w:w="12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12,146,826</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6</w:t>
            </w:r>
          </w:p>
        </w:tc>
      </w:tr>
      <w:tr>
        <w:trPr>
          <w:trHeight w:val="212"/>
        </w:trPr>
        <w:tc>
          <w:tcPr>
            <w:tcW w:w="20" w:type="dxa"/>
            <w:vAlign w:val="bottom"/>
            <w:shd w:val="clear" w:color="auto" w:fill="CCFFCC"/>
          </w:tcPr>
          <w:p>
            <w:pPr>
              <w:spacing w:after="0"/>
              <w:rPr>
                <w:sz w:val="18"/>
                <w:szCs w:val="18"/>
                <w:color w:val="auto"/>
              </w:rPr>
            </w:pPr>
          </w:p>
        </w:tc>
        <w:tc>
          <w:tcPr>
            <w:tcW w:w="2340" w:type="dxa"/>
            <w:vAlign w:val="bottom"/>
            <w:gridSpan w:val="3"/>
            <w:shd w:val="clear" w:color="auto" w:fill="CCFFCC"/>
          </w:tcPr>
          <w:p>
            <w:pPr>
              <w:ind w:left="180"/>
              <w:spacing w:after="0"/>
              <w:rPr>
                <w:sz w:val="20"/>
                <w:szCs w:val="20"/>
                <w:color w:val="auto"/>
              </w:rPr>
            </w:pPr>
            <w:r>
              <w:rPr>
                <w:rFonts w:ascii="Arial" w:cs="Arial" w:eastAsia="Arial" w:hAnsi="Arial"/>
                <w:sz w:val="16"/>
                <w:szCs w:val="16"/>
                <w:color w:val="auto"/>
              </w:rPr>
              <w:t>Real Estate</w:t>
            </w: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Beverage, Food and Tobacco</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33,758,684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34,026,889</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22,685,119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22,929,556</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11</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Capital Equipment</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11,450,641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11,792,925</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11,408,091</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11,581,245</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6</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Chemicals, Plastics and Rubber</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2,921,597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2,906,601</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2,954,774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2,950,577</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CLO Fund Securities</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2"/>
              </w:rPr>
              <w:t>101,696,950</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79,452,220</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90,146,410</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83,257,507</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40</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Construction &amp; Building</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18,224,720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190,244</w:t>
            </w:r>
          </w:p>
        </w:tc>
        <w:tc>
          <w:tcPr>
            <w:tcW w:w="12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18,535,511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455,524</w:t>
            </w:r>
          </w:p>
        </w:tc>
        <w:tc>
          <w:tcPr>
            <w:tcW w:w="12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Consumer goods: Durable</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7,713,071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9,751,622</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3,611,556</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4,333,473</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2</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Consumer goods: Non-durable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18,864,695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18,266,939</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12,208,911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11,257,247</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5</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w w:val="97"/>
              </w:rPr>
              <w:t>Containers, Packaging and Glass</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5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1,949,236</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1,971,898</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1</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Energy: Oil &amp; Gas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11,734,558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12,930,563</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11,692,913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11,692,000</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6</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Environmental Industries</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6,937,663</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6,965,896</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Finance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26,669,356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26,712,914</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Healthcare &amp; Pharmaceuticals</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14,352,172</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14,430,726</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2,877,729</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2,865,000</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1</w:t>
            </w:r>
          </w:p>
        </w:tc>
      </w:tr>
      <w:tr>
        <w:trPr>
          <w:trHeight w:val="19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Healthcare, Education and</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18,340,534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18,445,673</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2340" w:type="dxa"/>
            <w:vAlign w:val="bottom"/>
            <w:gridSpan w:val="3"/>
          </w:tcPr>
          <w:p>
            <w:pPr>
              <w:ind w:left="180"/>
              <w:spacing w:after="0"/>
              <w:rPr>
                <w:sz w:val="20"/>
                <w:szCs w:val="20"/>
                <w:color w:val="auto"/>
              </w:rPr>
            </w:pPr>
            <w:r>
              <w:rPr>
                <w:rFonts w:ascii="Arial" w:cs="Arial" w:eastAsia="Arial" w:hAnsi="Arial"/>
                <w:sz w:val="16"/>
                <w:szCs w:val="16"/>
                <w:color w:val="auto"/>
              </w:rPr>
              <w:t>Childcare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High Tech Industries</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17,989,624</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17,989,034</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6,137,592</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6,252,380</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3</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Hotel, Gaming &amp; Leisure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3,825,126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3,466,520</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2,491,007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2,053,481</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r>
      <w:tr>
        <w:trPr>
          <w:trHeight w:val="19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Media: Advertising, Printing &amp;</w:t>
            </w: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12,797,615</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13,035,590</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4,633,622</w:t>
            </w:r>
          </w:p>
        </w:tc>
        <w:tc>
          <w:tcPr>
            <w:tcW w:w="12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4,942,454</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2</w:t>
            </w:r>
          </w:p>
        </w:tc>
      </w:tr>
      <w:tr>
        <w:trPr>
          <w:trHeight w:val="212"/>
        </w:trPr>
        <w:tc>
          <w:tcPr>
            <w:tcW w:w="20" w:type="dxa"/>
            <w:vAlign w:val="bottom"/>
            <w:shd w:val="clear" w:color="auto" w:fill="CCFFCC"/>
          </w:tcPr>
          <w:p>
            <w:pPr>
              <w:spacing w:after="0"/>
              <w:rPr>
                <w:sz w:val="18"/>
                <w:szCs w:val="18"/>
                <w:color w:val="auto"/>
              </w:rPr>
            </w:pPr>
          </w:p>
        </w:tc>
        <w:tc>
          <w:tcPr>
            <w:tcW w:w="2340" w:type="dxa"/>
            <w:vAlign w:val="bottom"/>
            <w:gridSpan w:val="3"/>
            <w:shd w:val="clear" w:color="auto" w:fill="CCFFCC"/>
          </w:tcPr>
          <w:p>
            <w:pPr>
              <w:ind w:left="180"/>
              <w:spacing w:after="0"/>
              <w:rPr>
                <w:sz w:val="20"/>
                <w:szCs w:val="20"/>
                <w:color w:val="auto"/>
              </w:rPr>
            </w:pPr>
            <w:r>
              <w:rPr>
                <w:rFonts w:ascii="Arial" w:cs="Arial" w:eastAsia="Arial" w:hAnsi="Arial"/>
                <w:sz w:val="16"/>
                <w:szCs w:val="16"/>
                <w:color w:val="auto"/>
              </w:rPr>
              <w:t>Publishing</w:t>
            </w: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r>
      <w:tr>
        <w:trPr>
          <w:trHeight w:val="19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Media: Broadcasting &amp;</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9,853,341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9,915,921</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1,978,846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1,990,930</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r>
      <w:tr>
        <w:trPr>
          <w:trHeight w:val="209"/>
        </w:trPr>
        <w:tc>
          <w:tcPr>
            <w:tcW w:w="20" w:type="dxa"/>
            <w:vAlign w:val="bottom"/>
          </w:tcPr>
          <w:p>
            <w:pPr>
              <w:spacing w:after="0"/>
              <w:rPr>
                <w:sz w:val="18"/>
                <w:szCs w:val="18"/>
                <w:color w:val="auto"/>
              </w:rPr>
            </w:pPr>
          </w:p>
        </w:tc>
        <w:tc>
          <w:tcPr>
            <w:tcW w:w="2340" w:type="dxa"/>
            <w:vAlign w:val="bottom"/>
            <w:gridSpan w:val="3"/>
          </w:tcPr>
          <w:p>
            <w:pPr>
              <w:ind w:left="180"/>
              <w:spacing w:after="0"/>
              <w:rPr>
                <w:sz w:val="20"/>
                <w:szCs w:val="20"/>
                <w:color w:val="auto"/>
              </w:rPr>
            </w:pPr>
            <w:r>
              <w:rPr>
                <w:rFonts w:ascii="Arial" w:cs="Arial" w:eastAsia="Arial" w:hAnsi="Arial"/>
                <w:sz w:val="16"/>
                <w:szCs w:val="16"/>
                <w:color w:val="auto"/>
              </w:rPr>
              <w:t>Subscription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6"/>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Metals &amp; Mining</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228,563</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FFCC"/>
          </w:tcPr>
          <w:p>
            <w:pPr>
              <w:spacing w:after="0"/>
              <w:rPr>
                <w:sz w:val="17"/>
                <w:szCs w:val="17"/>
                <w:color w:val="auto"/>
              </w:rPr>
            </w:pPr>
          </w:p>
        </w:tc>
        <w:tc>
          <w:tcPr>
            <w:tcW w:w="54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773,718</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264,864</w:t>
            </w:r>
          </w:p>
        </w:tc>
        <w:tc>
          <w:tcPr>
            <w:tcW w:w="120" w:type="dxa"/>
            <w:vAlign w:val="bottom"/>
            <w:shd w:val="clear" w:color="auto" w:fill="CCFFCC"/>
          </w:tcPr>
          <w:p>
            <w:pPr>
              <w:spacing w:after="0"/>
              <w:rPr>
                <w:sz w:val="17"/>
                <w:szCs w:val="17"/>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Retail</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3,364,579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3,325,032</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5,781,672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5,772,767</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3</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Services: Business</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2,984,555</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2,999,791</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Services: Consumer</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4,065,671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3,001,899</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13,104,093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1,753,521</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Telecommunications</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17,251,743</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17,337,834</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2,952,654</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2,783,195</w:t>
            </w:r>
          </w:p>
        </w:tc>
        <w:tc>
          <w:tcPr>
            <w:tcW w:w="72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1</w:t>
            </w:r>
          </w:p>
        </w:tc>
      </w:tr>
      <w:tr>
        <w:trPr>
          <w:trHeight w:val="192"/>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Time Deposit and Money Market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7,112,949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7,112,949</w:t>
            </w: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32,486,658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32,486,658</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16</w:t>
            </w:r>
          </w:p>
        </w:tc>
      </w:tr>
      <w:tr>
        <w:trPr>
          <w:trHeight w:val="254"/>
        </w:trPr>
        <w:tc>
          <w:tcPr>
            <w:tcW w:w="20" w:type="dxa"/>
            <w:vAlign w:val="bottom"/>
          </w:tcPr>
          <w:p>
            <w:pPr>
              <w:spacing w:after="0"/>
              <w:rPr>
                <w:sz w:val="22"/>
                <w:szCs w:val="22"/>
                <w:color w:val="auto"/>
              </w:rPr>
            </w:pPr>
          </w:p>
        </w:tc>
        <w:tc>
          <w:tcPr>
            <w:tcW w:w="2340" w:type="dxa"/>
            <w:vAlign w:val="bottom"/>
            <w:gridSpan w:val="3"/>
          </w:tcPr>
          <w:p>
            <w:pPr>
              <w:ind w:left="180"/>
              <w:spacing w:after="0" w:line="254" w:lineRule="exact"/>
              <w:rPr>
                <w:sz w:val="20"/>
                <w:szCs w:val="20"/>
                <w:color w:val="auto"/>
              </w:rPr>
            </w:pPr>
            <w:r>
              <w:rPr>
                <w:rFonts w:ascii="Arial" w:cs="Arial" w:eastAsia="Arial" w:hAnsi="Arial"/>
                <w:sz w:val="16"/>
                <w:szCs w:val="16"/>
                <w:color w:val="auto"/>
              </w:rPr>
              <w:t>Accounts</w:t>
            </w:r>
            <w:r>
              <w:rPr>
                <w:rFonts w:ascii="Arial" w:cs="Arial" w:eastAsia="Arial" w:hAnsi="Arial"/>
                <w:sz w:val="27"/>
                <w:szCs w:val="27"/>
                <w:color w:val="auto"/>
                <w:vertAlign w:val="superscript"/>
              </w:rPr>
              <w:t>(4)</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Transportation: Cargo</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16,030,051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16,643,254</w:t>
            </w:r>
          </w:p>
        </w:tc>
        <w:tc>
          <w:tcPr>
            <w:tcW w:w="66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FFCC"/>
          </w:tcPr>
          <w:p>
            <w:pPr>
              <w:spacing w:after="0"/>
              <w:rPr>
                <w:sz w:val="17"/>
                <w:szCs w:val="17"/>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Transportation: Consumer</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2,012,685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2,005,353</w:t>
            </w:r>
          </w:p>
        </w:tc>
        <w:tc>
          <w:tcPr>
            <w:tcW w:w="720" w:type="dxa"/>
            <w:vAlign w:val="bottom"/>
            <w:gridSpan w:val="3"/>
          </w:tcPr>
          <w:p>
            <w:pPr>
              <w:jc w:val="right"/>
              <w:ind w:right="220"/>
              <w:spacing w:after="0"/>
              <w:rPr>
                <w:sz w:val="20"/>
                <w:szCs w:val="20"/>
                <w:color w:val="auto"/>
              </w:rPr>
            </w:pPr>
            <w:r>
              <w:rPr>
                <w:rFonts w:ascii="Arial" w:cs="Arial" w:eastAsia="Arial" w:hAnsi="Arial"/>
                <w:sz w:val="16"/>
                <w:szCs w:val="16"/>
                <w:color w:val="auto"/>
              </w:rPr>
              <w:t>1</w:t>
            </w:r>
          </w:p>
        </w:tc>
      </w:tr>
      <w:tr>
        <w:trPr>
          <w:trHeight w:val="203"/>
        </w:trPr>
        <w:tc>
          <w:tcPr>
            <w:tcW w:w="2360" w:type="dxa"/>
            <w:vAlign w:val="bottom"/>
            <w:gridSpan w:val="4"/>
            <w:shd w:val="clear" w:color="auto" w:fill="CCFFCC"/>
          </w:tcPr>
          <w:p>
            <w:pPr>
              <w:ind w:left="20"/>
              <w:spacing w:after="0"/>
              <w:rPr>
                <w:sz w:val="20"/>
                <w:szCs w:val="20"/>
                <w:color w:val="auto"/>
              </w:rPr>
            </w:pPr>
            <w:r>
              <w:rPr>
                <w:rFonts w:ascii="Arial" w:cs="Arial" w:eastAsia="Arial" w:hAnsi="Arial"/>
                <w:sz w:val="16"/>
                <w:szCs w:val="16"/>
                <w:color w:val="auto"/>
              </w:rPr>
              <w:t>Utilities: Electric</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5,927,826</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5,993,610</w:t>
            </w:r>
          </w:p>
        </w:tc>
        <w:tc>
          <w:tcPr>
            <w:tcW w:w="120" w:type="dxa"/>
            <w:vAlign w:val="bottom"/>
            <w:shd w:val="clear" w:color="auto" w:fill="CCFFCC"/>
          </w:tcPr>
          <w:p>
            <w:pPr>
              <w:spacing w:after="0"/>
              <w:rPr>
                <w:sz w:val="17"/>
                <w:szCs w:val="17"/>
                <w:color w:val="auto"/>
              </w:rPr>
            </w:pPr>
          </w:p>
        </w:tc>
        <w:tc>
          <w:tcPr>
            <w:tcW w:w="3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169,280</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169,956</w:t>
            </w:r>
          </w:p>
        </w:tc>
        <w:tc>
          <w:tcPr>
            <w:tcW w:w="120" w:type="dxa"/>
            <w:vAlign w:val="bottom"/>
            <w:shd w:val="clear" w:color="auto" w:fill="CCFFCC"/>
          </w:tcPr>
          <w:p>
            <w:pPr>
              <w:spacing w:after="0"/>
              <w:rPr>
                <w:sz w:val="17"/>
                <w:szCs w:val="17"/>
                <w:color w:val="auto"/>
              </w:rPr>
            </w:pPr>
          </w:p>
        </w:tc>
        <w:tc>
          <w:tcPr>
            <w:tcW w:w="60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12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196"/>
        </w:trPr>
        <w:tc>
          <w:tcPr>
            <w:tcW w:w="2360" w:type="dxa"/>
            <w:vAlign w:val="bottom"/>
            <w:gridSpan w:val="4"/>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2"/>
              </w:rPr>
              <w:t>486,157,918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4"/>
              </w:rPr>
              <w:t>440,549,994</w:t>
            </w:r>
          </w:p>
        </w:tc>
        <w:tc>
          <w:tcPr>
            <w:tcW w:w="12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176%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4"/>
              </w:rPr>
              <w:t>358,547,337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4"/>
              </w:rPr>
              <w:t>312,044,763</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color w:val="auto"/>
              </w:rPr>
              <w:t>150%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Calculated as a percentage of Net Asset Value.</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Asset Manager Affiliates.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prior year amounts have been reclassified to conform to the current year presentation.</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restricted cash held under employee benefit plans.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INVESTMENTS – (continued)</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79" w:lineRule="exact"/>
        <w:rPr>
          <w:sz w:val="20"/>
          <w:szCs w:val="20"/>
          <w:color w:val="auto"/>
        </w:rPr>
      </w:pPr>
    </w:p>
    <w:p>
      <w:pPr>
        <w:ind w:left="40" w:right="619" w:firstLine="270"/>
        <w:spacing w:after="0" w:line="279" w:lineRule="auto"/>
        <w:rPr>
          <w:sz w:val="20"/>
          <w:szCs w:val="20"/>
          <w:color w:val="auto"/>
        </w:rPr>
      </w:pPr>
      <w:r>
        <w:rPr>
          <w:rFonts w:ascii="Arial" w:cs="Arial" w:eastAsia="Arial" w:hAnsi="Arial"/>
          <w:sz w:val="17"/>
          <w:szCs w:val="17"/>
          <w:color w:val="auto"/>
        </w:rPr>
        <w:t>At December 31, 2013 and December 31, 2012, the total amount of non-qualifying assets was approximately 19% and 30% of total assets, respectively. The majority of non-qualifying assets were foreign investments which were approximately 18% and 27% of the Company’s investments (including the Company’s investments in CLO Funds, which are typically domiciled outside the U.S. and represented approximately 18% and 27% of its portfolio on such dates), respectively.</w:t>
      </w:r>
    </w:p>
    <w:p>
      <w:pPr>
        <w:spacing w:after="0" w:line="63"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At December 31, 2013 and December 31, 2012, the Company’s ten largest portfolio companies represented approximately 42% and 62%, respectively, of the total fair value of its investments. The Company’s largest investment, the Asset Manager Affiliates which are its wholly-owned asset manager affiliates, represented 17% and 25% of the total fair value of the Company’s investments at December 31, 2013 and December 31, 2012, respectively. Excluding the Asset Manager Affiliates and CLO Fund securities, the Company’s ten largest portfolio companies represented approximately 18% and 17% of the total fair value of the Company’s investments at December 31, 2013 and December 31, 2012, respectively.</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Investments in CLO Fund Securities</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dividend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70" w:lineRule="exact"/>
        <w:rPr>
          <w:sz w:val="20"/>
          <w:szCs w:val="20"/>
          <w:color w:val="auto"/>
        </w:rPr>
      </w:pPr>
    </w:p>
    <w:p>
      <w:pPr>
        <w:ind w:left="40" w:right="759" w:firstLine="270"/>
        <w:spacing w:after="0" w:line="264" w:lineRule="auto"/>
        <w:rPr>
          <w:sz w:val="20"/>
          <w:szCs w:val="20"/>
          <w:color w:val="auto"/>
        </w:rPr>
      </w:pPr>
      <w:r>
        <w:rPr>
          <w:rFonts w:ascii="Arial" w:cs="Arial" w:eastAsia="Arial" w:hAnsi="Arial"/>
          <w:sz w:val="18"/>
          <w:szCs w:val="18"/>
          <w:color w:val="auto"/>
        </w:rPr>
        <w:t>In December, 2012 the Company purchased $4.5 million par value of the class F Notes and $8.9 million par value of the Subordinated Notes of Catamaran 2012-1 CLO (“Catamaran 2012-1”) managed by Trimaran Advisors. The Company purchased the class F and Subordinate Notes for 84% and 100% of the par value, respectively.</w:t>
      </w:r>
    </w:p>
    <w:p>
      <w:pPr>
        <w:spacing w:after="0" w:line="73" w:lineRule="exact"/>
        <w:rPr>
          <w:sz w:val="20"/>
          <w:szCs w:val="20"/>
          <w:color w:val="auto"/>
        </w:rPr>
      </w:pPr>
    </w:p>
    <w:p>
      <w:pPr>
        <w:ind w:left="40" w:right="1139" w:firstLine="270"/>
        <w:spacing w:after="0" w:line="277" w:lineRule="auto"/>
        <w:rPr>
          <w:sz w:val="20"/>
          <w:szCs w:val="20"/>
          <w:color w:val="auto"/>
        </w:rPr>
      </w:pPr>
      <w:r>
        <w:rPr>
          <w:rFonts w:ascii="Arial" w:cs="Arial" w:eastAsia="Arial" w:hAnsi="Arial"/>
          <w:sz w:val="18"/>
          <w:szCs w:val="18"/>
          <w:color w:val="auto"/>
        </w:rPr>
        <w:t>In June 2013, the Company purchased $9 million of the par value of the Subordinated Notes of Catamaran 2013-1 CLO (“Catamaran 2013-1”) managed by Trimaran Advisors.</w:t>
      </w:r>
    </w:p>
    <w:p>
      <w:pPr>
        <w:spacing w:after="0" w:line="62"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All CLO Funds managed by the Asset Manager Affiliates are currently making quarterly dividend distributions to the Company and are paying all senior and subordinate management fees to the Asset Manager Affiliates. With the exception of the Katonah III, Ltd. CLO Fund and the Katonah V, Ltd. CLO Funds, all third-party managed CLO Funds are making dividend distributions to the Company.</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INVESTMENTS – (continued)</w:t>
      </w:r>
    </w:p>
    <w:p>
      <w:pPr>
        <w:spacing w:after="0" w:line="121" w:lineRule="exact"/>
        <w:rPr>
          <w:sz w:val="20"/>
          <w:szCs w:val="20"/>
          <w:color w:val="auto"/>
        </w:rPr>
      </w:pPr>
    </w:p>
    <w:p>
      <w:pPr>
        <w:ind w:left="40" w:right="619"/>
        <w:spacing w:after="0" w:line="289" w:lineRule="auto"/>
        <w:rPr>
          <w:sz w:val="20"/>
          <w:szCs w:val="20"/>
          <w:color w:val="auto"/>
        </w:rPr>
      </w:pPr>
      <w:r>
        <w:rPr>
          <w:rFonts w:ascii="Arial" w:cs="Arial" w:eastAsia="Arial" w:hAnsi="Arial"/>
          <w:sz w:val="16"/>
          <w:szCs w:val="16"/>
          <w:color w:val="auto"/>
        </w:rPr>
        <w:t>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“Significant Accounting Policies — Investments”).</w:t>
      </w:r>
    </w:p>
    <w:p>
      <w:pPr>
        <w:spacing w:after="0" w:line="59"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62" w:lineRule="exact"/>
        <w:rPr>
          <w:sz w:val="20"/>
          <w:szCs w:val="20"/>
          <w:color w:val="auto"/>
        </w:rPr>
      </w:pPr>
    </w:p>
    <w:p>
      <w:pPr>
        <w:ind w:left="320" w:right="719" w:firstLine="270"/>
        <w:spacing w:after="0" w:line="259" w:lineRule="auto"/>
        <w:rPr>
          <w:sz w:val="20"/>
          <w:szCs w:val="20"/>
          <w:color w:val="auto"/>
        </w:rPr>
      </w:pPr>
      <w:r>
        <w:rPr>
          <w:rFonts w:ascii="Arial" w:cs="Arial" w:eastAsia="Arial" w:hAnsi="Arial"/>
          <w:sz w:val="18"/>
          <w:szCs w:val="18"/>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79" w:lineRule="exact"/>
        <w:rPr>
          <w:sz w:val="20"/>
          <w:szCs w:val="20"/>
          <w:color w:val="auto"/>
        </w:rPr>
      </w:pPr>
    </w:p>
    <w:p>
      <w:pPr>
        <w:ind w:left="320" w:right="519" w:firstLine="270"/>
        <w:spacing w:after="0" w:line="273"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70" w:lineRule="exact"/>
        <w:rPr>
          <w:sz w:val="20"/>
          <w:szCs w:val="20"/>
          <w:color w:val="auto"/>
        </w:rPr>
      </w:pPr>
    </w:p>
    <w:p>
      <w:pPr>
        <w:ind w:left="320" w:right="619" w:firstLine="270"/>
        <w:spacing w:after="0" w:line="291"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59" w:lineRule="exact"/>
        <w:rPr>
          <w:sz w:val="20"/>
          <w:szCs w:val="20"/>
          <w:color w:val="auto"/>
        </w:rPr>
      </w:pPr>
    </w:p>
    <w:p>
      <w:pPr>
        <w:ind w:left="40" w:right="639" w:firstLine="270"/>
        <w:spacing w:after="0" w:line="287"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200" w:lineRule="exact"/>
        <w:rPr>
          <w:sz w:val="20"/>
          <w:szCs w:val="20"/>
          <w:color w:val="auto"/>
        </w:r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 – (continued)</w:t>
      </w:r>
    </w:p>
    <w:p>
      <w:pPr>
        <w:spacing w:after="0" w:line="121" w:lineRule="exact"/>
        <w:rPr>
          <w:sz w:val="20"/>
          <w:szCs w:val="20"/>
          <w:color w:val="auto"/>
        </w:rPr>
      </w:pPr>
    </w:p>
    <w:p>
      <w:pPr>
        <w:ind w:left="60" w:right="719" w:firstLine="270"/>
        <w:spacing w:after="0" w:line="269"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December 31, 2013 and December 31,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9684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0"/>
              </w:rPr>
              <w:t>As of December 31, 2013</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00" w:type="dxa"/>
            <w:vAlign w:val="bottom"/>
            <w:vMerge w:val="restart"/>
          </w:tcPr>
          <w:p>
            <w:pPr>
              <w:ind w:left="20"/>
              <w:spacing w:after="0"/>
              <w:rPr>
                <w:sz w:val="20"/>
                <w:szCs w:val="20"/>
                <w:color w:val="auto"/>
              </w:rPr>
            </w:pPr>
            <w:r>
              <w:rPr>
                <w:rFonts w:ascii="Arial" w:cs="Arial" w:eastAsia="Arial" w:hAnsi="Arial"/>
                <w:sz w:val="18"/>
                <w:szCs w:val="18"/>
                <w:color w:val="auto"/>
              </w:rPr>
              <w:t>Money market accounts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Level II</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III</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200" w:type="dxa"/>
            <w:vAlign w:val="bottom"/>
          </w:tcPr>
          <w:p>
            <w:pPr>
              <w:jc w:val="right"/>
              <w:ind w:right="102"/>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ind w:right="42"/>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7,112,949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ind w:right="17"/>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7,112,949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right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68,733,053</w:t>
            </w:r>
          </w:p>
        </w:tc>
        <w:tc>
          <w:tcPr>
            <w:tcW w:w="126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8"/>
                <w:szCs w:val="18"/>
                <w:color w:val="auto"/>
              </w:rPr>
              <w:t>198,097,374</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266,830,427</w:t>
            </w:r>
          </w:p>
        </w:tc>
        <w:tc>
          <w:tcPr>
            <w:tcW w:w="8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79,452,221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79,452,221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right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11,006,398</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11,006,398</w:t>
            </w:r>
          </w:p>
        </w:tc>
        <w:tc>
          <w:tcPr>
            <w:tcW w:w="80" w:type="dxa"/>
            <w:vAlign w:val="bottom"/>
            <w:tcBorders>
              <w:lef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20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76,148,000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76,148,000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right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FFCC"/>
          </w:tcPr>
          <w:p>
            <w:pPr>
              <w:jc w:val="right"/>
              <w:ind w:right="102"/>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FFCC"/>
          </w:tcPr>
          <w:p>
            <w:pPr>
              <w:ind w:left="400"/>
              <w:spacing w:after="0"/>
              <w:rPr>
                <w:sz w:val="20"/>
                <w:szCs w:val="20"/>
                <w:color w:val="auto"/>
              </w:rPr>
            </w:pPr>
            <w:r>
              <w:rPr>
                <w:rFonts w:ascii="Arial" w:cs="Arial" w:eastAsia="Arial" w:hAnsi="Arial"/>
                <w:sz w:val="18"/>
                <w:szCs w:val="18"/>
                <w:color w:val="auto"/>
                <w:w w:val="77"/>
              </w:rPr>
              <w:t>—</w:t>
            </w:r>
          </w:p>
        </w:tc>
        <w:tc>
          <w:tcPr>
            <w:tcW w:w="140" w:type="dxa"/>
            <w:vAlign w:val="bottom"/>
            <w:tcBorders>
              <w:left w:val="single" w:sz="8" w:color="CCFFCC"/>
            </w:tcBorders>
            <w:shd w:val="clear" w:color="auto" w:fill="CCFFCC"/>
          </w:tcPr>
          <w:p>
            <w:pPr>
              <w:spacing w:after="0"/>
              <w:rPr>
                <w:sz w:val="20"/>
                <w:szCs w:val="20"/>
                <w:color w:val="auto"/>
              </w:rPr>
            </w:pPr>
          </w:p>
        </w:tc>
        <w:tc>
          <w:tcPr>
            <w:tcW w:w="460" w:type="dxa"/>
            <w:vAlign w:val="bottom"/>
            <w:gridSpan w:val="4"/>
            <w:shd w:val="clear" w:color="auto" w:fill="CCFFCC"/>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75,846,002</w:t>
            </w:r>
          </w:p>
        </w:tc>
        <w:tc>
          <w:tcPr>
            <w:tcW w:w="1260" w:type="dxa"/>
            <w:vAlign w:val="bottom"/>
            <w:tcBorders>
              <w:left w:val="single" w:sz="8" w:color="CCFFCC"/>
            </w:tcBorders>
            <w:gridSpan w:val="4"/>
            <w:shd w:val="clear" w:color="auto" w:fill="CCFFCC"/>
          </w:tcPr>
          <w:p>
            <w:pPr>
              <w:jc w:val="right"/>
              <w:spacing w:after="0"/>
              <w:rPr>
                <w:sz w:val="20"/>
                <w:szCs w:val="20"/>
                <w:color w:val="auto"/>
              </w:rPr>
            </w:pPr>
            <w:r>
              <w:rPr>
                <w:rFonts w:ascii="Arial" w:cs="Arial" w:eastAsia="Arial" w:hAnsi="Arial"/>
                <w:sz w:val="18"/>
                <w:szCs w:val="18"/>
                <w:color w:val="auto"/>
              </w:rPr>
              <w:t>$ 364,703,993</w:t>
            </w:r>
          </w:p>
        </w:tc>
        <w:tc>
          <w:tcPr>
            <w:tcW w:w="400" w:type="dxa"/>
            <w:vAlign w:val="bottom"/>
            <w:tcBorders>
              <w:left w:val="single" w:sz="8" w:color="CCFFCC"/>
            </w:tcBorders>
            <w:gridSpan w:val="3"/>
            <w:shd w:val="clear" w:color="auto" w:fill="CCFFCC"/>
          </w:tcPr>
          <w:p>
            <w:pPr>
              <w:jc w:val="right"/>
              <w:ind w:right="1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440,549,995</w:t>
            </w:r>
          </w:p>
        </w:tc>
        <w:tc>
          <w:tcPr>
            <w:tcW w:w="80" w:type="dxa"/>
            <w:vAlign w:val="bottom"/>
            <w:tcBorders>
              <w:left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89"/>
              </w:rPr>
              <w:t>As of December 31, 2012</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vMerge w:val="restart"/>
          </w:tcPr>
          <w:p>
            <w:pPr>
              <w:ind w:left="20"/>
              <w:spacing w:after="0"/>
              <w:rPr>
                <w:sz w:val="20"/>
                <w:szCs w:val="20"/>
                <w:color w:val="auto"/>
              </w:rPr>
            </w:pPr>
            <w:r>
              <w:rPr>
                <w:rFonts w:ascii="Arial" w:cs="Arial" w:eastAsia="Arial" w:hAnsi="Arial"/>
                <w:sz w:val="18"/>
                <w:szCs w:val="18"/>
                <w:color w:val="auto"/>
                <w:w w:val="94"/>
              </w:rPr>
              <w:t>Time deposits and money market accounts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I</w:t>
            </w: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II</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Level III</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20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32,486,658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32,486,658</w:t>
            </w:r>
          </w:p>
        </w:tc>
        <w:tc>
          <w:tcPr>
            <w:tcW w:w="0" w:type="dxa"/>
            <w:vAlign w:val="bottom"/>
          </w:tcPr>
          <w:p>
            <w:pPr>
              <w:spacing w:after="0"/>
              <w:rPr>
                <w:sz w:val="1"/>
                <w:szCs w:val="1"/>
                <w:color w:val="auto"/>
              </w:rPr>
            </w:pPr>
          </w:p>
        </w:tc>
      </w:tr>
      <w:tr>
        <w:trPr>
          <w:trHeight w:val="216"/>
        </w:trPr>
        <w:tc>
          <w:tcPr>
            <w:tcW w:w="3300" w:type="dxa"/>
            <w:vAlign w:val="bottom"/>
            <w:tcBorders>
              <w:right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59,172,476</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51,865,406</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111,037,882</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CLO fund securities</w:t>
            </w:r>
          </w:p>
        </w:tc>
        <w:tc>
          <w:tcPr>
            <w:tcW w:w="20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83,257,507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83,257,507</w:t>
            </w:r>
          </w:p>
        </w:tc>
        <w:tc>
          <w:tcPr>
            <w:tcW w:w="0" w:type="dxa"/>
            <w:vAlign w:val="bottom"/>
          </w:tcPr>
          <w:p>
            <w:pPr>
              <w:spacing w:after="0"/>
              <w:rPr>
                <w:sz w:val="1"/>
                <w:szCs w:val="1"/>
                <w:color w:val="auto"/>
              </w:rPr>
            </w:pPr>
          </w:p>
        </w:tc>
      </w:tr>
      <w:tr>
        <w:trPr>
          <w:trHeight w:val="216"/>
        </w:trPr>
        <w:tc>
          <w:tcPr>
            <w:tcW w:w="3300" w:type="dxa"/>
            <w:vAlign w:val="bottom"/>
            <w:tcBorders>
              <w:right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8,020,716</w:t>
            </w:r>
          </w:p>
        </w:tc>
        <w:tc>
          <w:tcPr>
            <w:tcW w:w="100" w:type="dxa"/>
            <w:vAlign w:val="bottom"/>
            <w:tcBorders>
              <w:left w:val="single" w:sz="8" w:color="CCFFCC"/>
            </w:tcBorders>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8,020,716</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Asset Manager Affiliates</w:t>
            </w:r>
          </w:p>
        </w:tc>
        <w:tc>
          <w:tcPr>
            <w:tcW w:w="20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77,242,000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77,242,000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tcBorders>
              <w:right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FFCC"/>
          </w:tcPr>
          <w:p>
            <w:pPr>
              <w:jc w:val="right"/>
              <w:ind w:right="4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FFCC"/>
          </w:tcPr>
          <w:p>
            <w:pPr>
              <w:ind w:left="460"/>
              <w:spacing w:after="0"/>
              <w:rPr>
                <w:sz w:val="20"/>
                <w:szCs w:val="20"/>
                <w:color w:val="auto"/>
              </w:rPr>
            </w:pPr>
            <w:r>
              <w:rPr>
                <w:rFonts w:ascii="Arial" w:cs="Arial" w:eastAsia="Arial" w:hAnsi="Arial"/>
                <w:sz w:val="18"/>
                <w:szCs w:val="18"/>
                <w:color w:val="auto"/>
              </w:rPr>
              <w:t>—</w:t>
            </w:r>
          </w:p>
        </w:tc>
        <w:tc>
          <w:tcPr>
            <w:tcW w:w="46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91,659,134</w:t>
            </w:r>
          </w:p>
        </w:tc>
        <w:tc>
          <w:tcPr>
            <w:tcW w:w="380" w:type="dxa"/>
            <w:vAlign w:val="bottom"/>
            <w:tcBorders>
              <w:lef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220,385,629</w:t>
            </w:r>
          </w:p>
        </w:tc>
        <w:tc>
          <w:tcPr>
            <w:tcW w:w="400" w:type="dxa"/>
            <w:vAlign w:val="bottom"/>
            <w:tcBorders>
              <w:lef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312,044,763</w:t>
            </w:r>
          </w:p>
        </w:tc>
        <w:tc>
          <w:tcPr>
            <w:tcW w:w="0" w:type="dxa"/>
            <w:vAlign w:val="bottom"/>
          </w:tcPr>
          <w:p>
            <w:pPr>
              <w:spacing w:after="0"/>
              <w:rPr>
                <w:sz w:val="1"/>
                <w:szCs w:val="1"/>
                <w:color w:val="auto"/>
              </w:rPr>
            </w:pPr>
          </w:p>
        </w:tc>
      </w:tr>
      <w:tr>
        <w:trPr>
          <w:trHeight w:val="20"/>
        </w:trPr>
        <w:tc>
          <w:tcPr>
            <w:tcW w:w="33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left w:val="single" w:sz="8" w:color="auto"/>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-1174115</wp:posOffset>
            </wp:positionV>
            <wp:extent cx="5213985"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-1217295</wp:posOffset>
            </wp:positionV>
            <wp:extent cx="52139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79" w:lineRule="auto"/>
        <w:rPr>
          <w:sz w:val="20"/>
          <w:szCs w:val="20"/>
          <w:color w:val="auto"/>
        </w:rPr>
      </w:pPr>
      <w:r>
        <w:rPr>
          <w:rFonts w:ascii="Arial" w:cs="Arial" w:eastAsia="Arial" w:hAnsi="Arial"/>
          <w:sz w:val="17"/>
          <w:szCs w:val="17"/>
          <w:color w:val="auto"/>
        </w:rPr>
        <w:t>As a BDC, it is required that the Company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63" w:lineRule="exact"/>
        <w:rPr>
          <w:sz w:val="20"/>
          <w:szCs w:val="20"/>
          <w:color w:val="auto"/>
        </w:rPr>
      </w:pPr>
    </w:p>
    <w:p>
      <w:pPr>
        <w:ind w:left="60" w:right="699" w:firstLine="270"/>
        <w:spacing w:after="0" w:line="273" w:lineRule="auto"/>
        <w:rPr>
          <w:sz w:val="20"/>
          <w:szCs w:val="20"/>
          <w:color w:val="auto"/>
        </w:rPr>
      </w:pPr>
      <w:r>
        <w:rPr>
          <w:rFonts w:ascii="Arial" w:cs="Arial" w:eastAsia="Arial" w:hAnsi="Arial"/>
          <w:sz w:val="17"/>
          <w:szCs w:val="17"/>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70" w:lineRule="exact"/>
        <w:rPr>
          <w:sz w:val="20"/>
          <w:szCs w:val="20"/>
          <w:color w:val="auto"/>
        </w:rPr>
      </w:pPr>
    </w:p>
    <w:p>
      <w:pPr>
        <w:ind w:left="60" w:right="559" w:firstLine="270"/>
        <w:spacing w:after="0" w:line="291" w:lineRule="auto"/>
        <w:rPr>
          <w:sz w:val="20"/>
          <w:szCs w:val="20"/>
          <w:color w:val="auto"/>
        </w:rPr>
      </w:pPr>
      <w:r>
        <w:rPr>
          <w:rFonts w:ascii="Arial" w:cs="Arial" w:eastAsia="Arial" w:hAnsi="Arial"/>
          <w:sz w:val="16"/>
          <w:szCs w:val="16"/>
          <w:color w:val="auto"/>
        </w:rPr>
        <w:t>Values derived for the Asset Manager Affiliates using comparable public/private companies generally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200" w:lineRule="exact"/>
        <w:rPr>
          <w:sz w:val="20"/>
          <w:szCs w:val="20"/>
          <w:color w:val="auto"/>
        </w:rPr>
      </w:pPr>
    </w:p>
    <w:p>
      <w:pPr>
        <w:spacing w:after="0" w:line="31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5" w:name="page106"/>
    <w:bookmarkEnd w:id="10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 – (continued)</w:t>
      </w:r>
    </w:p>
    <w:p>
      <w:pPr>
        <w:spacing w:after="0" w:line="121" w:lineRule="exact"/>
        <w:rPr>
          <w:sz w:val="20"/>
          <w:szCs w:val="20"/>
          <w:color w:val="auto"/>
        </w:rPr>
      </w:pPr>
    </w:p>
    <w:p>
      <w:pPr>
        <w:ind w:left="60" w:right="880" w:firstLine="270"/>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52654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Year Ended December 31, 2013</w:t>
            </w: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13"/>
                <w:szCs w:val="13"/>
                <w:color w:val="auto"/>
              </w:rPr>
            </w:pPr>
          </w:p>
        </w:tc>
        <w:tc>
          <w:tcPr>
            <w:tcW w:w="1080" w:type="dxa"/>
            <w:vAlign w:val="bottom"/>
            <w:gridSpan w:val="2"/>
          </w:tcPr>
          <w:p>
            <w:pPr>
              <w:jc w:val="right"/>
              <w:ind w:right="200"/>
              <w:spacing w:after="0" w:line="160" w:lineRule="exact"/>
              <w:rPr>
                <w:sz w:val="20"/>
                <w:szCs w:val="20"/>
                <w:color w:val="auto"/>
              </w:rPr>
            </w:pPr>
            <w:r>
              <w:rPr>
                <w:rFonts w:ascii="Arial" w:cs="Arial" w:eastAsia="Arial" w:hAnsi="Arial"/>
                <w:sz w:val="14"/>
                <w:szCs w:val="14"/>
                <w:b w:val="1"/>
                <w:bCs w:val="1"/>
                <w:color w:val="auto"/>
              </w:rPr>
              <w:t>CLO Fund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3"/>
                <w:szCs w:val="13"/>
                <w:color w:val="auto"/>
              </w:rPr>
            </w:pPr>
          </w:p>
        </w:tc>
        <w:tc>
          <w:tcPr>
            <w:tcW w:w="1000" w:type="dxa"/>
            <w:vAlign w:val="bottom"/>
            <w:gridSpan w:val="2"/>
          </w:tcPr>
          <w:p>
            <w:pPr>
              <w:jc w:val="right"/>
              <w:ind w:right="40"/>
              <w:spacing w:after="0" w:line="160" w:lineRule="exact"/>
              <w:rPr>
                <w:sz w:val="20"/>
                <w:szCs w:val="20"/>
                <w:color w:val="auto"/>
              </w:rPr>
            </w:pPr>
            <w:r>
              <w:rPr>
                <w:rFonts w:ascii="Arial" w:cs="Arial" w:eastAsia="Arial" w:hAnsi="Arial"/>
                <w:sz w:val="14"/>
                <w:szCs w:val="14"/>
                <w:b w:val="1"/>
                <w:bCs w:val="1"/>
                <w:color w:val="auto"/>
                <w:w w:val="94"/>
              </w:rPr>
              <w:t>Asset Manager</w:t>
            </w:r>
          </w:p>
        </w:tc>
        <w:tc>
          <w:tcPr>
            <w:tcW w:w="60" w:type="dxa"/>
            <w:vAlign w:val="bottom"/>
          </w:tcPr>
          <w:p>
            <w:pPr>
              <w:spacing w:after="0"/>
              <w:rPr>
                <w:sz w:val="13"/>
                <w:szCs w:val="13"/>
                <w:color w:val="auto"/>
              </w:rPr>
            </w:pPr>
          </w:p>
        </w:tc>
        <w:tc>
          <w:tcPr>
            <w:tcW w:w="1100" w:type="dxa"/>
            <w:vAlign w:val="bottom"/>
            <w:gridSpan w:val="2"/>
          </w:tcPr>
          <w:p>
            <w:pPr>
              <w:jc w:val="right"/>
              <w:ind w:right="38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gridSpan w:val="3"/>
            <w:vMerge w:val="restart"/>
          </w:tcPr>
          <w:p>
            <w:pPr>
              <w:ind w:left="20"/>
              <w:spacing w:after="0"/>
              <w:rPr>
                <w:sz w:val="20"/>
                <w:szCs w:val="20"/>
                <w:color w:val="auto"/>
              </w:rPr>
            </w:pPr>
            <w:r>
              <w:rPr>
                <w:rFonts w:ascii="Arial" w:cs="Arial" w:eastAsia="Arial" w:hAnsi="Arial"/>
                <w:sz w:val="18"/>
                <w:szCs w:val="18"/>
                <w:color w:val="auto"/>
              </w:rPr>
              <w:t>Balance, December 31, 2012</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Affiliates</w:t>
            </w:r>
          </w:p>
        </w:tc>
        <w:tc>
          <w:tcPr>
            <w:tcW w:w="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51,865,406</w:t>
            </w:r>
          </w:p>
        </w:tc>
        <w:tc>
          <w:tcPr>
            <w:tcW w:w="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$ 83,257,507</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8,020,716</w:t>
            </w:r>
          </w:p>
        </w:tc>
        <w:tc>
          <w:tcPr>
            <w:tcW w:w="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$77,242,000</w:t>
            </w:r>
          </w:p>
        </w:tc>
        <w:tc>
          <w:tcPr>
            <w:tcW w:w="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$220,385,629</w:t>
            </w:r>
          </w:p>
        </w:tc>
        <w:tc>
          <w:tcPr>
            <w:tcW w:w="0" w:type="dxa"/>
            <w:vAlign w:val="bottom"/>
          </w:tcPr>
          <w:p>
            <w:pPr>
              <w:spacing w:after="0"/>
              <w:rPr>
                <w:sz w:val="1"/>
                <w:szCs w:val="1"/>
                <w:color w:val="auto"/>
              </w:rPr>
            </w:pPr>
          </w:p>
        </w:tc>
      </w:tr>
      <w:tr>
        <w:trPr>
          <w:trHeight w:val="257"/>
        </w:trPr>
        <w:tc>
          <w:tcPr>
            <w:tcW w:w="284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Transfers out of Level III</w:t>
            </w:r>
            <w:r>
              <w:rPr>
                <w:rFonts w:ascii="Arial" w:cs="Arial" w:eastAsia="Arial" w:hAnsi="Arial"/>
                <w:sz w:val="29"/>
                <w:szCs w:val="29"/>
                <w:color w:val="auto"/>
                <w:vertAlign w:val="superscript"/>
              </w:rPr>
              <w:t>(1)</w:t>
            </w:r>
          </w:p>
        </w:tc>
        <w:tc>
          <w:tcPr>
            <w:tcW w:w="10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(2,783,195)</w:t>
            </w:r>
          </w:p>
        </w:tc>
        <w:tc>
          <w:tcPr>
            <w:tcW w:w="6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(2,783,195)</w:t>
            </w:r>
          </w:p>
        </w:tc>
        <w:tc>
          <w:tcPr>
            <w:tcW w:w="0" w:type="dxa"/>
            <w:vAlign w:val="bottom"/>
          </w:tcPr>
          <w:p>
            <w:pPr>
              <w:spacing w:after="0"/>
              <w:rPr>
                <w:sz w:val="1"/>
                <w:szCs w:val="1"/>
                <w:color w:val="auto"/>
              </w:rPr>
            </w:pPr>
          </w:p>
        </w:tc>
      </w:tr>
      <w:tr>
        <w:trPr>
          <w:trHeight w:val="257"/>
        </w:trPr>
        <w:tc>
          <w:tcPr>
            <w:tcW w:w="2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Transfers into Level III</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34,070,557</w:t>
            </w:r>
          </w:p>
        </w:tc>
        <w:tc>
          <w:tcPr>
            <w:tcW w:w="6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34,070,557</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accretion of discount</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174,977</w:t>
            </w:r>
          </w:p>
        </w:tc>
        <w:tc>
          <w:tcPr>
            <w:tcW w:w="11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216,443</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217,212</w:t>
            </w:r>
          </w:p>
        </w:tc>
        <w:tc>
          <w:tcPr>
            <w:tcW w:w="11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608,632</w:t>
            </w: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192,112,854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11,957,500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3,813,838</w:t>
            </w:r>
          </w:p>
        </w:tc>
        <w:tc>
          <w:tcPr>
            <w:tcW w:w="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207,884,192</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Sales/Paydowns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(70,461,486)</w:t>
            </w:r>
          </w:p>
        </w:tc>
        <w:tc>
          <w:tcPr>
            <w:tcW w:w="11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(623,403)</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3"/>
              </w:rPr>
              <w:t>(2,882,107)</w:t>
            </w:r>
          </w:p>
        </w:tc>
        <w:tc>
          <w:tcPr>
            <w:tcW w:w="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(73,966,996)</w:t>
            </w:r>
          </w:p>
        </w:tc>
        <w:tc>
          <w:tcPr>
            <w:tcW w:w="0" w:type="dxa"/>
            <w:vAlign w:val="bottom"/>
          </w:tcPr>
          <w:p>
            <w:pPr>
              <w:spacing w:after="0"/>
              <w:rPr>
                <w:sz w:val="1"/>
                <w:szCs w:val="1"/>
                <w:color w:val="auto"/>
              </w:rPr>
            </w:pPr>
          </w:p>
        </w:tc>
      </w:tr>
      <w:tr>
        <w:trPr>
          <w:trHeight w:val="202"/>
        </w:trPr>
        <w:tc>
          <w:tcPr>
            <w:tcW w:w="28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Total realized gain included in</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2,972,071</w:t>
            </w:r>
          </w:p>
        </w:tc>
        <w:tc>
          <w:tcPr>
            <w:tcW w:w="60" w:type="dxa"/>
            <w:vAlign w:val="bottom"/>
          </w:tcPr>
          <w:p>
            <w:pPr>
              <w:spacing w:after="0"/>
              <w:rPr>
                <w:sz w:val="17"/>
                <w:szCs w:val="17"/>
                <w:color w:val="auto"/>
              </w:rPr>
            </w:pPr>
          </w:p>
        </w:tc>
        <w:tc>
          <w:tcPr>
            <w:tcW w:w="10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(551,636)</w:t>
            </w:r>
          </w:p>
        </w:tc>
        <w:tc>
          <w:tcPr>
            <w:tcW w:w="6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2,420,435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4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Total unrealized gain (loss) included</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(9,853,810)</w:t>
            </w:r>
          </w:p>
        </w:tc>
        <w:tc>
          <w:tcPr>
            <w:tcW w:w="1140" w:type="dxa"/>
            <w:vAlign w:val="bottom"/>
            <w:gridSpan w:val="3"/>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(15,355,827)</w:t>
            </w: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w w:val="99"/>
              </w:rPr>
              <w:t>2,605,588</w:t>
            </w:r>
          </w:p>
        </w:tc>
        <w:tc>
          <w:tcPr>
            <w:tcW w:w="1060" w:type="dxa"/>
            <w:vAlign w:val="bottom"/>
            <w:gridSpan w:val="3"/>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(1,311,212)</w:t>
            </w:r>
          </w:p>
        </w:tc>
        <w:tc>
          <w:tcPr>
            <w:tcW w:w="1160" w:type="dxa"/>
            <w:vAlign w:val="bottom"/>
            <w:gridSpan w:val="3"/>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(23,915,261)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FFCC"/>
            </w:tcBorders>
            <w:shd w:val="clear" w:color="auto" w:fill="CCFFCC"/>
          </w:tcPr>
          <w:p>
            <w:pPr>
              <w:spacing w:after="0"/>
              <w:rPr>
                <w:sz w:val="20"/>
                <w:szCs w:val="20"/>
                <w:color w:val="auto"/>
              </w:rPr>
            </w:pPr>
          </w:p>
        </w:tc>
        <w:tc>
          <w:tcPr>
            <w:tcW w:w="28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in earnings</w:t>
            </w: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40" w:type="dxa"/>
            <w:vAlign w:val="bottom"/>
            <w:gridSpan w:val="3"/>
          </w:tcPr>
          <w:p>
            <w:pPr>
              <w:ind w:left="20"/>
              <w:spacing w:after="0"/>
              <w:rPr>
                <w:sz w:val="20"/>
                <w:szCs w:val="20"/>
                <w:color w:val="auto"/>
              </w:rPr>
            </w:pPr>
            <w:r>
              <w:rPr>
                <w:rFonts w:ascii="Arial" w:cs="Arial" w:eastAsia="Arial" w:hAnsi="Arial"/>
                <w:sz w:val="18"/>
                <w:szCs w:val="18"/>
                <w:color w:val="auto"/>
              </w:rPr>
              <w:t>Balance, December 31, 2013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198,097,374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$ 79,452,220</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11,006,399</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76,148,000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364,703,993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840" w:type="dxa"/>
            <w:vAlign w:val="bottom"/>
            <w:gridSpan w:val="3"/>
            <w:shd w:val="clear" w:color="auto" w:fill="CCFFCC"/>
          </w:tcPr>
          <w:p>
            <w:pPr>
              <w:ind w:left="20"/>
              <w:spacing w:after="0" w:line="195" w:lineRule="exact"/>
              <w:rPr>
                <w:sz w:val="20"/>
                <w:szCs w:val="20"/>
                <w:color w:val="auto"/>
              </w:rPr>
            </w:pPr>
            <w:r>
              <w:rPr>
                <w:rFonts w:ascii="Arial" w:cs="Arial" w:eastAsia="Arial" w:hAnsi="Arial"/>
                <w:sz w:val="18"/>
                <w:szCs w:val="18"/>
                <w:color w:val="auto"/>
                <w:w w:val="94"/>
              </w:rPr>
              <w:t>Changes in unrealized gains (losses)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40"/>
              <w:spacing w:after="0" w:line="195" w:lineRule="exact"/>
              <w:rPr>
                <w:sz w:val="20"/>
                <w:szCs w:val="20"/>
                <w:color w:val="auto"/>
              </w:rPr>
            </w:pPr>
            <w:r>
              <w:rPr>
                <w:rFonts w:ascii="Arial" w:cs="Arial" w:eastAsia="Arial" w:hAnsi="Arial"/>
                <w:sz w:val="18"/>
                <w:szCs w:val="18"/>
                <w:color w:val="auto"/>
              </w:rPr>
              <w:t>(9,853,810)</w:t>
            </w:r>
          </w:p>
        </w:tc>
        <w:tc>
          <w:tcPr>
            <w:tcW w:w="1140" w:type="dxa"/>
            <w:vAlign w:val="bottom"/>
            <w:gridSpan w:val="3"/>
            <w:shd w:val="clear" w:color="auto" w:fill="CCFFCC"/>
          </w:tcPr>
          <w:p>
            <w:pPr>
              <w:jc w:val="right"/>
              <w:ind w:right="40"/>
              <w:spacing w:after="0" w:line="195" w:lineRule="exact"/>
              <w:rPr>
                <w:sz w:val="20"/>
                <w:szCs w:val="20"/>
                <w:color w:val="auto"/>
              </w:rPr>
            </w:pPr>
            <w:r>
              <w:rPr>
                <w:rFonts w:ascii="Arial" w:cs="Arial" w:eastAsia="Arial" w:hAnsi="Arial"/>
                <w:sz w:val="18"/>
                <w:szCs w:val="18"/>
                <w:color w:val="auto"/>
                <w:w w:val="96"/>
              </w:rPr>
              <w:t>$(15,355,827)</w:t>
            </w:r>
          </w:p>
        </w:tc>
        <w:tc>
          <w:tcPr>
            <w:tcW w:w="140" w:type="dxa"/>
            <w:vAlign w:val="bottom"/>
            <w:gridSpan w:val="2"/>
            <w:shd w:val="clear" w:color="auto" w:fill="CCFFCC"/>
          </w:tcPr>
          <w:p>
            <w:pPr>
              <w:jc w:val="right"/>
              <w:spacing w:after="0" w:line="195"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w w:val="99"/>
              </w:rPr>
              <w:t>2,605,588</w:t>
            </w:r>
          </w:p>
        </w:tc>
        <w:tc>
          <w:tcPr>
            <w:tcW w:w="1060" w:type="dxa"/>
            <w:vAlign w:val="bottom"/>
            <w:gridSpan w:val="3"/>
            <w:shd w:val="clear" w:color="auto" w:fill="CCFFCC"/>
          </w:tcPr>
          <w:p>
            <w:pPr>
              <w:jc w:val="right"/>
              <w:ind w:right="40"/>
              <w:spacing w:after="0" w:line="195" w:lineRule="exact"/>
              <w:rPr>
                <w:sz w:val="20"/>
                <w:szCs w:val="20"/>
                <w:color w:val="auto"/>
              </w:rPr>
            </w:pPr>
            <w:r>
              <w:rPr>
                <w:rFonts w:ascii="Arial" w:cs="Arial" w:eastAsia="Arial" w:hAnsi="Arial"/>
                <w:sz w:val="18"/>
                <w:szCs w:val="18"/>
                <w:color w:val="auto"/>
                <w:w w:val="93"/>
              </w:rPr>
              <w:t>$ (1,311,212)</w:t>
            </w:r>
          </w:p>
        </w:tc>
        <w:tc>
          <w:tcPr>
            <w:tcW w:w="1160" w:type="dxa"/>
            <w:vAlign w:val="bottom"/>
            <w:gridSpan w:val="3"/>
            <w:shd w:val="clear" w:color="auto" w:fill="CCFFCC"/>
          </w:tcPr>
          <w:p>
            <w:pPr>
              <w:jc w:val="right"/>
              <w:ind w:right="40"/>
              <w:spacing w:after="0" w:line="195" w:lineRule="exact"/>
              <w:rPr>
                <w:sz w:val="20"/>
                <w:szCs w:val="20"/>
                <w:color w:val="auto"/>
              </w:rPr>
            </w:pPr>
            <w:r>
              <w:rPr>
                <w:rFonts w:ascii="Arial" w:cs="Arial" w:eastAsia="Arial" w:hAnsi="Arial"/>
                <w:sz w:val="18"/>
                <w:szCs w:val="18"/>
                <w:color w:val="auto"/>
                <w:w w:val="93"/>
              </w:rPr>
              <w:t>$ (23,915,261)</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8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included in earnings related to</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28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9"/>
              </w:rPr>
              <w:t>investments still held at reporting</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Borders>
              <w:bottom w:val="single" w:sz="8" w:color="CCFFCC"/>
            </w:tcBorders>
            <w:shd w:val="clear" w:color="auto" w:fill="CCFFCC"/>
          </w:tcPr>
          <w:p>
            <w:pPr>
              <w:spacing w:after="0"/>
              <w:rPr>
                <w:sz w:val="23"/>
                <w:szCs w:val="23"/>
                <w:color w:val="auto"/>
              </w:rPr>
            </w:pPr>
          </w:p>
        </w:tc>
        <w:tc>
          <w:tcPr>
            <w:tcW w:w="28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date</w:t>
            </w:r>
          </w:p>
        </w:tc>
        <w:tc>
          <w:tcPr>
            <w:tcW w:w="100" w:type="dxa"/>
            <w:vAlign w:val="bottom"/>
            <w:tcBorders>
              <w:bottom w:val="single" w:sz="8" w:color="auto"/>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4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auto"/>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00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-951230</wp:posOffset>
            </wp:positionV>
            <wp:extent cx="5308600" cy="1803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30860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-222250</wp:posOffset>
            </wp:positionV>
            <wp:extent cx="530860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308600" cy="34290"/>
                    </a:xfrm>
                    <a:prstGeom prst="rect">
                      <a:avLst/>
                    </a:prstGeom>
                    <a:noFill/>
                  </pic:spPr>
                </pic:pic>
              </a:graphicData>
            </a:graphic>
          </wp:anchor>
        </w:drawing>
      </w:r>
    </w:p>
    <w:p>
      <w:pPr>
        <w:spacing w:after="0" w:line="236" w:lineRule="exact"/>
        <w:rPr>
          <w:sz w:val="20"/>
          <w:szCs w:val="20"/>
          <w:color w:val="auto"/>
        </w:rPr>
      </w:pPr>
    </w:p>
    <w:p>
      <w:pPr>
        <w:ind w:left="300" w:right="980" w:hanging="272"/>
        <w:spacing w:after="0" w:line="277"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Transfers out of Level III represent a transfer of $2,783,195 relating to debt securities for which pricing inputs, other than their quoted prices in active markets were observable as of Dec 31, 2013.</w:t>
      </w:r>
    </w:p>
    <w:p>
      <w:pPr>
        <w:spacing w:after="0" w:line="62" w:lineRule="exact"/>
        <w:rPr>
          <w:rFonts w:ascii="Arial" w:cs="Arial" w:eastAsia="Arial" w:hAnsi="Arial"/>
          <w:sz w:val="18"/>
          <w:szCs w:val="18"/>
          <w:color w:val="auto"/>
        </w:rPr>
      </w:pPr>
    </w:p>
    <w:p>
      <w:pPr>
        <w:ind w:left="300" w:right="1040" w:hanging="272"/>
        <w:spacing w:after="0" w:line="269"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Transfers into Level III represent a transfer of $34,070,557 relating to debt securities for which pricing inputs, other than their quoted prices in active markets were unobservable as of Dec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968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Year Ended December 31, 2012</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40"/>
              <w:spacing w:after="0" w:line="160" w:lineRule="exact"/>
              <w:rPr>
                <w:sz w:val="20"/>
                <w:szCs w:val="20"/>
                <w:color w:val="auto"/>
              </w:rPr>
            </w:pPr>
            <w:r>
              <w:rPr>
                <w:rFonts w:ascii="Arial" w:cs="Arial" w:eastAsia="Arial" w:hAnsi="Arial"/>
                <w:sz w:val="14"/>
                <w:szCs w:val="14"/>
                <w:b w:val="1"/>
                <w:bCs w:val="1"/>
                <w:color w:val="auto"/>
              </w:rPr>
              <w:t>Debt</w:t>
            </w:r>
          </w:p>
        </w:tc>
        <w:tc>
          <w:tcPr>
            <w:tcW w:w="1080" w:type="dxa"/>
            <w:vAlign w:val="bottom"/>
            <w:gridSpan w:val="2"/>
          </w:tcPr>
          <w:p>
            <w:pPr>
              <w:jc w:val="right"/>
              <w:ind w:right="220"/>
              <w:spacing w:after="0" w:line="160" w:lineRule="exact"/>
              <w:rPr>
                <w:sz w:val="20"/>
                <w:szCs w:val="20"/>
                <w:color w:val="auto"/>
              </w:rPr>
            </w:pPr>
            <w:r>
              <w:rPr>
                <w:rFonts w:ascii="Arial" w:cs="Arial" w:eastAsia="Arial" w:hAnsi="Arial"/>
                <w:sz w:val="14"/>
                <w:szCs w:val="14"/>
                <w:b w:val="1"/>
                <w:bCs w:val="1"/>
                <w:color w:val="auto"/>
              </w:rPr>
              <w:t>CLO Fund</w:t>
            </w:r>
          </w:p>
        </w:tc>
        <w:tc>
          <w:tcPr>
            <w:tcW w:w="140" w:type="dxa"/>
            <w:vAlign w:val="bottom"/>
          </w:tcPr>
          <w:p>
            <w:pPr>
              <w:spacing w:after="0"/>
              <w:rPr>
                <w:sz w:val="13"/>
                <w:szCs w:val="13"/>
                <w:color w:val="auto"/>
              </w:rPr>
            </w:pPr>
          </w:p>
        </w:tc>
        <w:tc>
          <w:tcPr>
            <w:tcW w:w="90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8"/>
              </w:rPr>
              <w:t>Equity</w:t>
            </w:r>
          </w:p>
        </w:tc>
        <w:tc>
          <w:tcPr>
            <w:tcW w:w="108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w w:val="96"/>
              </w:rPr>
              <w:t>Asset Manager</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Total</w:t>
            </w: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4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December 31, 2011</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Securities</w:t>
            </w:r>
          </w:p>
        </w:tc>
        <w:tc>
          <w:tcPr>
            <w:tcW w:w="10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Securities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Affiliates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83,094,677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$48,438,317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6,040,895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$40,814,000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178,387,889</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Transfers out of Level III</w:t>
            </w:r>
            <w:r>
              <w:rPr>
                <w:rFonts w:ascii="Arial" w:cs="Arial" w:eastAsia="Arial" w:hAnsi="Arial"/>
                <w:sz w:val="29"/>
                <w:szCs w:val="29"/>
                <w:color w:val="auto"/>
                <w:vertAlign w:val="superscript"/>
              </w:rPr>
              <w:t>(1)</w:t>
            </w:r>
          </w:p>
        </w:tc>
        <w:tc>
          <w:tcPr>
            <w:tcW w:w="100" w:type="dxa"/>
            <w:vAlign w:val="bottom"/>
            <w:shd w:val="clear" w:color="auto" w:fill="CCFFCC"/>
          </w:tcPr>
          <w:p>
            <w:pPr>
              <w:spacing w:after="0"/>
              <w:rPr>
                <w:sz w:val="22"/>
                <w:szCs w:val="22"/>
                <w:color w:val="auto"/>
              </w:rPr>
            </w:pPr>
          </w:p>
        </w:tc>
        <w:tc>
          <w:tcPr>
            <w:tcW w:w="10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(5,611,522)</w:t>
            </w: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2"/>
                <w:szCs w:val="22"/>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(5,611,522)</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Transfers into Level III</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5,978,696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5,978,696</w:t>
            </w: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accretion of discount</w:t>
            </w:r>
          </w:p>
        </w:tc>
        <w:tc>
          <w:tcPr>
            <w:tcW w:w="100" w:type="dxa"/>
            <w:vAlign w:val="bottom"/>
            <w:shd w:val="clear" w:color="auto" w:fill="CCFFCC"/>
          </w:tcPr>
          <w:p>
            <w:pPr>
              <w:spacing w:after="0"/>
              <w:rPr>
                <w:sz w:val="18"/>
                <w:szCs w:val="18"/>
                <w:color w:val="auto"/>
              </w:rPr>
            </w:pP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96,275</w:t>
            </w: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1,137,344</w:t>
            </w: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1,233,619</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24,076,063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24,715,500</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1,815,978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13,263,228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63,870,769</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Sales/Paydowns</w:t>
            </w:r>
          </w:p>
        </w:tc>
        <w:tc>
          <w:tcPr>
            <w:tcW w:w="100" w:type="dxa"/>
            <w:vAlign w:val="bottom"/>
            <w:shd w:val="clear" w:color="auto" w:fill="CCFFCC"/>
          </w:tcPr>
          <w:p>
            <w:pPr>
              <w:spacing w:after="0"/>
              <w:rPr>
                <w:sz w:val="18"/>
                <w:szCs w:val="18"/>
                <w:color w:val="auto"/>
              </w:rPr>
            </w:pPr>
          </w:p>
        </w:tc>
        <w:tc>
          <w:tcPr>
            <w:tcW w:w="102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8"/>
              </w:rPr>
              <w:t>(34,476,308)</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(2,234,916)</w:t>
            </w:r>
          </w:p>
        </w:tc>
        <w:tc>
          <w:tcPr>
            <w:tcW w:w="140" w:type="dxa"/>
            <w:vAlign w:val="bottom"/>
            <w:shd w:val="clear" w:color="auto" w:fill="CCFFCC"/>
          </w:tcPr>
          <w:p>
            <w:pPr>
              <w:spacing w:after="0"/>
              <w:rPr>
                <w:sz w:val="18"/>
                <w:szCs w:val="18"/>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(36,711,224)</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Total realized gain included in</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467,320</w:t>
            </w:r>
          </w:p>
        </w:tc>
        <w:tc>
          <w:tcPr>
            <w:tcW w:w="10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467,320</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0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Total unrealized gain (loss) included</w:t>
            </w:r>
          </w:p>
        </w:tc>
        <w:tc>
          <w:tcPr>
            <w:tcW w:w="100" w:type="dxa"/>
            <w:vAlign w:val="bottom"/>
            <w:shd w:val="clear" w:color="auto" w:fill="CCFFCC"/>
          </w:tcPr>
          <w:p>
            <w:pPr>
              <w:spacing w:after="0"/>
              <w:rPr>
                <w:sz w:val="17"/>
                <w:szCs w:val="17"/>
                <w:color w:val="auto"/>
              </w:rPr>
            </w:pPr>
          </w:p>
        </w:tc>
        <w:tc>
          <w:tcPr>
            <w:tcW w:w="1020" w:type="dxa"/>
            <w:vAlign w:val="bottom"/>
            <w:tcBorders>
              <w:right w:val="single" w:sz="8" w:color="CCFFCC"/>
            </w:tcBorders>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w w:val="88"/>
              </w:rPr>
              <w:t>(21,759,795)</w:t>
            </w:r>
          </w:p>
        </w:tc>
        <w:tc>
          <w:tcPr>
            <w:tcW w:w="1080" w:type="dxa"/>
            <w:vAlign w:val="bottom"/>
            <w:tcBorders>
              <w:right w:val="single" w:sz="8" w:color="CCFFCC"/>
            </w:tcBorders>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w w:val="99"/>
              </w:rPr>
              <w:t>11,201,262</w:t>
            </w:r>
          </w:p>
        </w:tc>
        <w:tc>
          <w:tcPr>
            <w:tcW w:w="14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163,843</w:t>
            </w:r>
          </w:p>
        </w:tc>
        <w:tc>
          <w:tcPr>
            <w:tcW w:w="1080" w:type="dxa"/>
            <w:vAlign w:val="bottom"/>
            <w:tcBorders>
              <w:right w:val="single" w:sz="8" w:color="CCFFCC"/>
            </w:tcBorders>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(2,395,228)</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w w:val="92"/>
              </w:rPr>
              <w:t>(12,789,918)</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 earnings</w:t>
            </w:r>
          </w:p>
        </w:tc>
        <w:tc>
          <w:tcPr>
            <w:tcW w:w="10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60" w:type="dxa"/>
            <w:vAlign w:val="bottom"/>
            <w:tcBorders>
              <w:right w:val="single" w:sz="8" w:color="CCFFCC"/>
            </w:tcBorders>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60" w:type="dxa"/>
            <w:vAlign w:val="bottom"/>
            <w:tcBorders>
              <w:right w:val="single" w:sz="8" w:color="CCFFCC"/>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60" w:type="dxa"/>
            <w:vAlign w:val="bottom"/>
            <w:tcBorders>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25,560,000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25,560,000</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December 31, 2012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3"/>
              </w:rPr>
              <w:t>51,865,406</w:t>
            </w: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83,257,507</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4"/>
              </w:rPr>
              <w:t>8,020,716</w:t>
            </w:r>
          </w:p>
        </w:tc>
        <w:tc>
          <w:tcPr>
            <w:tcW w:w="108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77,242,000</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220,385,629</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20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4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4"/>
              </w:rPr>
              <w:t>Changes in unrealized gains (losses)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w w:val="97"/>
              </w:rPr>
              <w:t>(8,246,695)</w:t>
            </w:r>
          </w:p>
        </w:tc>
        <w:tc>
          <w:tcPr>
            <w:tcW w:w="108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w w:val="89"/>
              </w:rPr>
              <w:t>$11,908,905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163,843</w:t>
            </w:r>
          </w:p>
        </w:tc>
        <w:tc>
          <w:tcPr>
            <w:tcW w:w="108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w w:val="89"/>
              </w:rPr>
              <w:t>$ (2,880,201)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945,852</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200"/>
              <w:spacing w:after="0"/>
              <w:rPr>
                <w:sz w:val="20"/>
                <w:szCs w:val="20"/>
                <w:color w:val="auto"/>
              </w:rPr>
            </w:pPr>
            <w:r>
              <w:rPr>
                <w:rFonts w:ascii="Arial" w:cs="Arial" w:eastAsia="Arial" w:hAnsi="Arial"/>
                <w:sz w:val="18"/>
                <w:szCs w:val="18"/>
                <w:color w:val="auto"/>
              </w:rPr>
              <w:t>included in earnings related to</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200"/>
              <w:spacing w:after="0"/>
              <w:rPr>
                <w:sz w:val="20"/>
                <w:szCs w:val="20"/>
                <w:color w:val="auto"/>
              </w:rPr>
            </w:pPr>
            <w:r>
              <w:rPr>
                <w:rFonts w:ascii="Arial" w:cs="Arial" w:eastAsia="Arial" w:hAnsi="Arial"/>
                <w:sz w:val="18"/>
                <w:szCs w:val="18"/>
                <w:color w:val="auto"/>
                <w:w w:val="99"/>
              </w:rPr>
              <w:t>investments still held at reporting</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00"/>
              <w:spacing w:after="0"/>
              <w:rPr>
                <w:sz w:val="20"/>
                <w:szCs w:val="20"/>
                <w:color w:val="auto"/>
              </w:rPr>
            </w:pPr>
            <w:r>
              <w:rPr>
                <w:rFonts w:ascii="Arial" w:cs="Arial" w:eastAsia="Arial" w:hAnsi="Arial"/>
                <w:sz w:val="18"/>
                <w:szCs w:val="18"/>
                <w:color w:val="auto"/>
              </w:rPr>
              <w:t>date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F-34</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0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1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0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-1242695</wp:posOffset>
            </wp:positionV>
            <wp:extent cx="5240020" cy="6172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40020" cy="61722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06" w:name="page107"/>
    <w:bookmarkEnd w:id="10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189230</wp:posOffset>
            </wp:positionV>
            <wp:extent cx="6172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00" w:right="679" w:hanging="272"/>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out of Level III represent a transfer of $5,611,522 relating to debt securities for which pricing inputs, other than their quoted prices in active markets were observable as of Dec 31, 2012.</w:t>
      </w:r>
    </w:p>
    <w:p>
      <w:pPr>
        <w:spacing w:after="0" w:line="62" w:lineRule="exact"/>
        <w:rPr>
          <w:rFonts w:ascii="Arial" w:cs="Arial" w:eastAsia="Arial" w:hAnsi="Arial"/>
          <w:sz w:val="18"/>
          <w:szCs w:val="18"/>
          <w:color w:val="auto"/>
        </w:rPr>
      </w:pPr>
    </w:p>
    <w:p>
      <w:pPr>
        <w:ind w:left="300" w:right="819" w:hanging="272"/>
        <w:spacing w:after="0" w:line="27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Transfers into Level III represent a transfer of $5,978,696 relating to debt securities for which pricing inputs, other than their quoted prices in active markets were unobservable as of Dec 31, 2012.</w:t>
      </w:r>
    </w:p>
    <w:p>
      <w:pPr>
        <w:spacing w:after="0" w:line="62" w:lineRule="exact"/>
        <w:rPr>
          <w:sz w:val="20"/>
          <w:szCs w:val="20"/>
          <w:color w:val="auto"/>
        </w:rPr>
      </w:pPr>
    </w:p>
    <w:p>
      <w:pPr>
        <w:ind w:left="60" w:right="619" w:firstLine="270"/>
        <w:spacing w:after="0" w:line="302" w:lineRule="auto"/>
        <w:rPr>
          <w:sz w:val="20"/>
          <w:szCs w:val="20"/>
          <w:color w:val="auto"/>
        </w:rPr>
      </w:pPr>
      <w:r>
        <w:rPr>
          <w:rFonts w:ascii="Arial" w:cs="Arial" w:eastAsia="Arial" w:hAnsi="Arial"/>
          <w:sz w:val="16"/>
          <w:szCs w:val="16"/>
          <w:color w:val="auto"/>
        </w:rPr>
        <w:t>As of December 31, 2013, the Company’s Level II portfolio investments were valued by a third party pricing service for which the prices are not adjusted and for which inputs are observable or can be corroborated by observable market data for substantially the full character of the financial instrument, or inputs that are derived principally from, or corroborated by, observable market information. The fair value of the Company’s Level II portfolio investments was $75,846,002 as of December 31, 2013.</w:t>
      </w:r>
    </w:p>
    <w:p>
      <w:pPr>
        <w:spacing w:after="0" w:line="46" w:lineRule="exact"/>
        <w:rPr>
          <w:sz w:val="20"/>
          <w:szCs w:val="20"/>
          <w:color w:val="auto"/>
        </w:rPr>
      </w:pPr>
    </w:p>
    <w:p>
      <w:pPr>
        <w:ind w:left="60" w:right="1319" w:firstLine="270"/>
        <w:spacing w:after="0" w:line="277" w:lineRule="auto"/>
        <w:rPr>
          <w:sz w:val="20"/>
          <w:szCs w:val="20"/>
          <w:color w:val="auto"/>
        </w:rPr>
      </w:pPr>
      <w:r>
        <w:rPr>
          <w:rFonts w:ascii="Arial" w:cs="Arial" w:eastAsia="Arial" w:hAnsi="Arial"/>
          <w:sz w:val="18"/>
          <w:szCs w:val="18"/>
          <w:color w:val="auto"/>
        </w:rPr>
        <w:t>As of December 31, 2013, the Company’s Level III portfolio investments had the following valuation techniques and significant inputs: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0" w:type="dxa"/>
            <w:vAlign w:val="bottom"/>
            <w:tcBorders>
              <w:top w:val="single" w:sz="8" w:color="auto"/>
              <w:bottom w:val="single" w:sz="8" w:color="auto"/>
              <w:right w:val="single" w:sz="8" w:color="auto"/>
            </w:tcBorders>
            <w:shd w:val="clear" w:color="auto" w:fill="000000"/>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200" w:type="dxa"/>
            <w:vAlign w:val="bottom"/>
            <w:tcBorders>
              <w:top w:val="single" w:sz="8" w:color="auto"/>
              <w:bottom w:val="single" w:sz="8" w:color="auto"/>
            </w:tcBorders>
          </w:tcPr>
          <w:p>
            <w:pPr>
              <w:spacing w:after="0"/>
              <w:rPr>
                <w:sz w:val="5"/>
                <w:szCs w:val="5"/>
                <w:color w:val="auto"/>
              </w:rPr>
            </w:pPr>
          </w:p>
        </w:tc>
        <w:tc>
          <w:tcPr>
            <w:tcW w:w="140" w:type="dxa"/>
            <w:vAlign w:val="bottom"/>
            <w:tcBorders>
              <w:top w:val="single" w:sz="8" w:color="auto"/>
              <w:bottom w:val="single" w:sz="8" w:color="auto"/>
            </w:tcBorders>
          </w:tcPr>
          <w:p>
            <w:pPr>
              <w:spacing w:after="0"/>
              <w:rPr>
                <w:sz w:val="5"/>
                <w:szCs w:val="5"/>
                <w:color w:val="auto"/>
              </w:rPr>
            </w:pPr>
          </w:p>
        </w:tc>
        <w:tc>
          <w:tcPr>
            <w:tcW w:w="520" w:type="dxa"/>
            <w:vAlign w:val="bottom"/>
            <w:tcBorders>
              <w:top w:val="single" w:sz="8" w:color="auto"/>
              <w:bottom w:val="single" w:sz="8" w:color="auto"/>
            </w:tcBorders>
          </w:tcPr>
          <w:p>
            <w:pPr>
              <w:spacing w:after="0"/>
              <w:rPr>
                <w:sz w:val="5"/>
                <w:szCs w:val="5"/>
                <w:color w:val="auto"/>
              </w:rPr>
            </w:pPr>
          </w:p>
        </w:tc>
        <w:tc>
          <w:tcPr>
            <w:tcW w:w="240" w:type="dxa"/>
            <w:vAlign w:val="bottom"/>
            <w:tcBorders>
              <w:top w:val="single" w:sz="8" w:color="auto"/>
              <w:bottom w:val="single" w:sz="8" w:color="auto"/>
            </w:tcBorders>
          </w:tcPr>
          <w:p>
            <w:pPr>
              <w:spacing w:after="0"/>
              <w:rPr>
                <w:sz w:val="5"/>
                <w:szCs w:val="5"/>
                <w:color w:val="auto"/>
              </w:rPr>
            </w:pPr>
          </w:p>
        </w:tc>
        <w:tc>
          <w:tcPr>
            <w:tcW w:w="2000" w:type="dxa"/>
            <w:vAlign w:val="bottom"/>
            <w:tcBorders>
              <w:top w:val="single" w:sz="8" w:color="auto"/>
              <w:bottom w:val="single" w:sz="8" w:color="auto"/>
            </w:tcBorders>
          </w:tcPr>
          <w:p>
            <w:pPr>
              <w:spacing w:after="0"/>
              <w:rPr>
                <w:sz w:val="5"/>
                <w:szCs w:val="5"/>
                <w:color w:val="auto"/>
              </w:rPr>
            </w:pPr>
          </w:p>
        </w:tc>
        <w:tc>
          <w:tcPr>
            <w:tcW w:w="1500" w:type="dxa"/>
            <w:vAlign w:val="bottom"/>
            <w:tcBorders>
              <w:top w:val="single" w:sz="8" w:color="auto"/>
              <w:bottom w:val="single" w:sz="8" w:color="auto"/>
            </w:tcBorders>
          </w:tcPr>
          <w:p>
            <w:pPr>
              <w:spacing w:after="0"/>
              <w:rPr>
                <w:sz w:val="5"/>
                <w:szCs w:val="5"/>
                <w:color w:val="auto"/>
              </w:rPr>
            </w:pPr>
          </w:p>
        </w:tc>
        <w:tc>
          <w:tcPr>
            <w:tcW w:w="1760" w:type="dxa"/>
            <w:vAlign w:val="bottom"/>
            <w:tcBorders>
              <w:top w:val="single" w:sz="8" w:color="auto"/>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shd w:val="clear" w:color="auto" w:fill="000000"/>
          </w:tcPr>
          <w:p>
            <w:pPr>
              <w:spacing w:after="0"/>
              <w:rPr>
                <w:sz w:val="13"/>
                <w:szCs w:val="13"/>
                <w:color w:val="auto"/>
              </w:rPr>
            </w:pPr>
          </w:p>
        </w:tc>
        <w:tc>
          <w:tcPr>
            <w:tcW w:w="1720" w:type="dxa"/>
            <w:vAlign w:val="bottom"/>
            <w:tcBorders>
              <w:right w:val="single" w:sz="8" w:color="auto"/>
            </w:tcBorders>
            <w:gridSpan w:val="2"/>
          </w:tcPr>
          <w:p>
            <w:pPr>
              <w:jc w:val="center"/>
              <w:spacing w:after="0" w:line="150" w:lineRule="exact"/>
              <w:rPr>
                <w:sz w:val="20"/>
                <w:szCs w:val="20"/>
                <w:color w:val="auto"/>
              </w:rPr>
            </w:pPr>
            <w:r>
              <w:rPr>
                <w:rFonts w:ascii="Arial" w:cs="Arial" w:eastAsia="Arial" w:hAnsi="Arial"/>
                <w:sz w:val="14"/>
                <w:szCs w:val="14"/>
                <w:b w:val="1"/>
                <w:bCs w:val="1"/>
                <w:color w:val="auto"/>
                <w:w w:val="91"/>
              </w:rPr>
              <w:t>Type</w:t>
            </w:r>
          </w:p>
        </w:tc>
        <w:tc>
          <w:tcPr>
            <w:tcW w:w="100" w:type="dxa"/>
            <w:vAlign w:val="bottom"/>
          </w:tcPr>
          <w:p>
            <w:pPr>
              <w:spacing w:after="0"/>
              <w:rPr>
                <w:sz w:val="13"/>
                <w:szCs w:val="13"/>
                <w:color w:val="auto"/>
              </w:rPr>
            </w:pPr>
          </w:p>
        </w:tc>
        <w:tc>
          <w:tcPr>
            <w:tcW w:w="860" w:type="dxa"/>
            <w:vAlign w:val="bottom"/>
            <w:tcBorders>
              <w:right w:val="single" w:sz="8" w:color="auto"/>
            </w:tcBorders>
            <w:gridSpan w:val="3"/>
          </w:tcPr>
          <w:p>
            <w:pPr>
              <w:jc w:val="right"/>
              <w:ind w:right="68"/>
              <w:spacing w:after="0" w:line="150" w:lineRule="exact"/>
              <w:rPr>
                <w:sz w:val="20"/>
                <w:szCs w:val="20"/>
                <w:color w:val="auto"/>
              </w:rPr>
            </w:pPr>
            <w:r>
              <w:rPr>
                <w:rFonts w:ascii="Arial" w:cs="Arial" w:eastAsia="Arial" w:hAnsi="Arial"/>
                <w:sz w:val="14"/>
                <w:szCs w:val="14"/>
                <w:b w:val="1"/>
                <w:bCs w:val="1"/>
                <w:color w:val="auto"/>
              </w:rPr>
              <w:t>Fair Value</w:t>
            </w:r>
          </w:p>
        </w:tc>
        <w:tc>
          <w:tcPr>
            <w:tcW w:w="2240" w:type="dxa"/>
            <w:vAlign w:val="bottom"/>
            <w:tcBorders>
              <w:right w:val="single" w:sz="8" w:color="auto"/>
            </w:tcBorders>
            <w:gridSpan w:val="2"/>
          </w:tcPr>
          <w:p>
            <w:pPr>
              <w:jc w:val="center"/>
              <w:spacing w:after="0" w:line="150" w:lineRule="exact"/>
              <w:rPr>
                <w:sz w:val="20"/>
                <w:szCs w:val="20"/>
                <w:color w:val="auto"/>
              </w:rPr>
            </w:pPr>
            <w:r>
              <w:rPr>
                <w:rFonts w:ascii="Arial" w:cs="Arial" w:eastAsia="Arial" w:hAnsi="Arial"/>
                <w:sz w:val="14"/>
                <w:szCs w:val="14"/>
                <w:b w:val="1"/>
                <w:bCs w:val="1"/>
                <w:color w:val="auto"/>
                <w:w w:val="95"/>
              </w:rPr>
              <w:t>Primary Valuation Methodology</w:t>
            </w:r>
          </w:p>
        </w:tc>
        <w:tc>
          <w:tcPr>
            <w:tcW w:w="15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2"/>
              </w:rPr>
              <w:t>Unobservable Inputs</w:t>
            </w:r>
          </w:p>
        </w:tc>
        <w:tc>
          <w:tcPr>
            <w:tcW w:w="17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2"/>
              </w:rPr>
              <w:t>Range of Inputs</w:t>
            </w:r>
          </w:p>
        </w:tc>
        <w:tc>
          <w:tcPr>
            <w:tcW w:w="0" w:type="dxa"/>
            <w:vAlign w:val="bottom"/>
          </w:tcPr>
          <w:p>
            <w:pPr>
              <w:spacing w:after="0"/>
              <w:rPr>
                <w:sz w:val="1"/>
                <w:szCs w:val="1"/>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4"/>
        </w:trPr>
        <w:tc>
          <w:tcPr>
            <w:tcW w:w="40" w:type="dxa"/>
            <w:vAlign w:val="bottom"/>
            <w:tcBorders>
              <w:right w:val="single" w:sz="8" w:color="auto"/>
            </w:tcBorders>
            <w:shd w:val="clear" w:color="auto" w:fill="000000"/>
          </w:tcPr>
          <w:p>
            <w:pPr>
              <w:spacing w:after="0"/>
              <w:rPr>
                <w:sz w:val="13"/>
                <w:szCs w:val="13"/>
                <w:color w:val="auto"/>
              </w:rPr>
            </w:pPr>
          </w:p>
        </w:tc>
        <w:tc>
          <w:tcPr>
            <w:tcW w:w="1720" w:type="dxa"/>
            <w:vAlign w:val="bottom"/>
            <w:tcBorders>
              <w:right w:val="single" w:sz="8" w:color="auto"/>
            </w:tcBorders>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Debt Securities</w:t>
            </w:r>
          </w:p>
        </w:tc>
        <w:tc>
          <w:tcPr>
            <w:tcW w:w="100" w:type="dxa"/>
            <w:vAlign w:val="bottom"/>
          </w:tcPr>
          <w:p>
            <w:pPr>
              <w:spacing w:after="0"/>
              <w:rPr>
                <w:sz w:val="13"/>
                <w:szCs w:val="13"/>
                <w:color w:val="auto"/>
              </w:rPr>
            </w:pPr>
          </w:p>
        </w:tc>
        <w:tc>
          <w:tcPr>
            <w:tcW w:w="860" w:type="dxa"/>
            <w:vAlign w:val="bottom"/>
            <w:tcBorders>
              <w:right w:val="single" w:sz="8" w:color="auto"/>
            </w:tcBorders>
            <w:gridSpan w:val="3"/>
          </w:tcPr>
          <w:p>
            <w:pPr>
              <w:jc w:val="right"/>
              <w:spacing w:after="0" w:line="153" w:lineRule="exact"/>
              <w:rPr>
                <w:sz w:val="20"/>
                <w:szCs w:val="20"/>
                <w:color w:val="auto"/>
              </w:rPr>
            </w:pPr>
            <w:r>
              <w:rPr>
                <w:rFonts w:ascii="Arial" w:cs="Arial" w:eastAsia="Arial" w:hAnsi="Arial"/>
                <w:sz w:val="14"/>
                <w:szCs w:val="14"/>
                <w:color w:val="auto"/>
              </w:rPr>
              <w:t>$ 1,863,721</w:t>
            </w:r>
          </w:p>
        </w:tc>
        <w:tc>
          <w:tcPr>
            <w:tcW w:w="240" w:type="dxa"/>
            <w:vAlign w:val="bottom"/>
          </w:tcPr>
          <w:p>
            <w:pPr>
              <w:spacing w:after="0"/>
              <w:rPr>
                <w:sz w:val="13"/>
                <w:szCs w:val="13"/>
                <w:color w:val="auto"/>
              </w:rPr>
            </w:pPr>
          </w:p>
        </w:tc>
        <w:tc>
          <w:tcPr>
            <w:tcW w:w="2000" w:type="dxa"/>
            <w:vAlign w:val="bottom"/>
            <w:tcBorders>
              <w:right w:val="single" w:sz="8" w:color="auto"/>
            </w:tcBorders>
          </w:tcPr>
          <w:p>
            <w:pPr>
              <w:jc w:val="center"/>
              <w:ind w:right="208"/>
              <w:spacing w:after="0" w:line="153" w:lineRule="exact"/>
              <w:rPr>
                <w:sz w:val="20"/>
                <w:szCs w:val="20"/>
                <w:color w:val="auto"/>
              </w:rPr>
            </w:pPr>
            <w:r>
              <w:rPr>
                <w:rFonts w:ascii="Arial" w:cs="Arial" w:eastAsia="Arial" w:hAnsi="Arial"/>
                <w:sz w:val="14"/>
                <w:szCs w:val="14"/>
                <w:color w:val="auto"/>
                <w:w w:val="92"/>
              </w:rPr>
              <w:t>Enterprise Value</w:t>
            </w:r>
          </w:p>
        </w:tc>
        <w:tc>
          <w:tcPr>
            <w:tcW w:w="15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7"/>
              </w:rPr>
              <w:t>Average EBITDA</w:t>
            </w:r>
          </w:p>
        </w:tc>
        <w:tc>
          <w:tcPr>
            <w:tcW w:w="17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5"/>
              </w:rPr>
              <w:t>9.22x/14.63%</w:t>
            </w: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Multiple/WAAC</w:t>
            </w:r>
          </w:p>
        </w:tc>
        <w:tc>
          <w:tcPr>
            <w:tcW w:w="1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w w:val="91"/>
              </w:rPr>
              <w:t>$161,619,660</w:t>
            </w: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right="208"/>
              <w:spacing w:after="0"/>
              <w:rPr>
                <w:sz w:val="20"/>
                <w:szCs w:val="20"/>
                <w:color w:val="auto"/>
              </w:rPr>
            </w:pPr>
            <w:r>
              <w:rPr>
                <w:rFonts w:ascii="Arial" w:cs="Arial" w:eastAsia="Arial" w:hAnsi="Arial"/>
                <w:sz w:val="14"/>
                <w:szCs w:val="14"/>
                <w:color w:val="auto"/>
                <w:w w:val="94"/>
              </w:rPr>
              <w:t>Income Approach</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Implied Discount Rate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2.2% – 15.3% (4.9%)</w:t>
            </w: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w w:val="95"/>
              </w:rPr>
              <w:t>$ 34,542,309</w:t>
            </w: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right="188"/>
              <w:spacing w:after="0"/>
              <w:rPr>
                <w:sz w:val="20"/>
                <w:szCs w:val="20"/>
                <w:color w:val="auto"/>
              </w:rPr>
            </w:pPr>
            <w:r>
              <w:rPr>
                <w:rFonts w:ascii="Arial" w:cs="Arial" w:eastAsia="Arial" w:hAnsi="Arial"/>
                <w:sz w:val="14"/>
                <w:szCs w:val="14"/>
                <w:color w:val="auto"/>
                <w:w w:val="95"/>
              </w:rPr>
              <w:t>Market Approach</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Third Party Quote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3 – 100</w:t>
            </w: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31,015</w:t>
            </w: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ind w:right="188"/>
              <w:spacing w:after="0"/>
              <w:rPr>
                <w:sz w:val="20"/>
                <w:szCs w:val="20"/>
                <w:color w:val="auto"/>
              </w:rPr>
            </w:pPr>
            <w:r>
              <w:rPr>
                <w:rFonts w:ascii="Arial" w:cs="Arial" w:eastAsia="Arial" w:hAnsi="Arial"/>
                <w:sz w:val="14"/>
                <w:szCs w:val="14"/>
                <w:color w:val="auto"/>
                <w:w w:val="93"/>
              </w:rPr>
              <w:t>Options Value</w:t>
            </w:r>
          </w:p>
        </w:tc>
        <w:tc>
          <w:tcPr>
            <w:tcW w:w="150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92"/>
              </w:rPr>
              <w:t>Qualitative Inputs</w:t>
            </w:r>
            <w:r>
              <w:rPr>
                <w:rFonts w:ascii="Arial" w:cs="Arial" w:eastAsia="Arial" w:hAnsi="Arial"/>
                <w:sz w:val="23"/>
                <w:szCs w:val="23"/>
                <w:color w:val="auto"/>
                <w:w w:val="92"/>
                <w:vertAlign w:val="superscript"/>
              </w:rPr>
              <w:t>(1)</w:t>
            </w:r>
          </w:p>
        </w:tc>
        <w:tc>
          <w:tcPr>
            <w:tcW w:w="1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40,669</w:t>
            </w: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ind w:right="208"/>
              <w:spacing w:after="0"/>
              <w:rPr>
                <w:sz w:val="20"/>
                <w:szCs w:val="20"/>
                <w:color w:val="auto"/>
              </w:rPr>
            </w:pPr>
            <w:r>
              <w:rPr>
                <w:rFonts w:ascii="Arial" w:cs="Arial" w:eastAsia="Arial" w:hAnsi="Arial"/>
                <w:sz w:val="14"/>
                <w:szCs w:val="14"/>
                <w:color w:val="auto"/>
                <w:w w:val="94"/>
              </w:rPr>
              <w:t>Recovery Approach</w:t>
            </w:r>
          </w:p>
        </w:tc>
        <w:tc>
          <w:tcPr>
            <w:tcW w:w="150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92"/>
              </w:rPr>
              <w:t>Qualitative Inputs</w:t>
            </w:r>
            <w:r>
              <w:rPr>
                <w:rFonts w:ascii="Arial" w:cs="Arial" w:eastAsia="Arial" w:hAnsi="Arial"/>
                <w:sz w:val="23"/>
                <w:szCs w:val="23"/>
                <w:color w:val="auto"/>
                <w:w w:val="92"/>
                <w:vertAlign w:val="superscript"/>
              </w:rPr>
              <w:t>(1)</w:t>
            </w:r>
          </w:p>
        </w:tc>
        <w:tc>
          <w:tcPr>
            <w:tcW w:w="1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40" w:type="dxa"/>
            <w:vAlign w:val="bottom"/>
            <w:tcBorders>
              <w:right w:val="single" w:sz="8" w:color="auto"/>
            </w:tcBorders>
            <w:shd w:val="clear" w:color="auto" w:fill="000000"/>
          </w:tcPr>
          <w:p>
            <w:pPr>
              <w:spacing w:after="0"/>
              <w:rPr>
                <w:sz w:val="13"/>
                <w:szCs w:val="13"/>
                <w:color w:val="auto"/>
              </w:rPr>
            </w:pPr>
          </w:p>
        </w:tc>
        <w:tc>
          <w:tcPr>
            <w:tcW w:w="1720" w:type="dxa"/>
            <w:vAlign w:val="bottom"/>
            <w:tcBorders>
              <w:right w:val="single" w:sz="8" w:color="auto"/>
            </w:tcBorders>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Equity Securities</w:t>
            </w:r>
          </w:p>
        </w:tc>
        <w:tc>
          <w:tcPr>
            <w:tcW w:w="100" w:type="dxa"/>
            <w:vAlign w:val="bottom"/>
          </w:tcPr>
          <w:p>
            <w:pPr>
              <w:spacing w:after="0"/>
              <w:rPr>
                <w:sz w:val="13"/>
                <w:szCs w:val="13"/>
                <w:color w:val="auto"/>
              </w:rPr>
            </w:pPr>
          </w:p>
        </w:tc>
        <w:tc>
          <w:tcPr>
            <w:tcW w:w="860" w:type="dxa"/>
            <w:vAlign w:val="bottom"/>
            <w:tcBorders>
              <w:right w:val="single" w:sz="8" w:color="auto"/>
            </w:tcBorders>
            <w:gridSpan w:val="3"/>
          </w:tcPr>
          <w:p>
            <w:pPr>
              <w:jc w:val="right"/>
              <w:spacing w:after="0" w:line="153" w:lineRule="exact"/>
              <w:rPr>
                <w:sz w:val="20"/>
                <w:szCs w:val="20"/>
                <w:color w:val="auto"/>
              </w:rPr>
            </w:pPr>
            <w:r>
              <w:rPr>
                <w:rFonts w:ascii="Arial" w:cs="Arial" w:eastAsia="Arial" w:hAnsi="Arial"/>
                <w:sz w:val="14"/>
                <w:szCs w:val="14"/>
                <w:color w:val="auto"/>
                <w:w w:val="95"/>
              </w:rPr>
              <w:t>$ 11,002,398</w:t>
            </w:r>
          </w:p>
        </w:tc>
        <w:tc>
          <w:tcPr>
            <w:tcW w:w="240" w:type="dxa"/>
            <w:vAlign w:val="bottom"/>
          </w:tcPr>
          <w:p>
            <w:pPr>
              <w:spacing w:after="0"/>
              <w:rPr>
                <w:sz w:val="13"/>
                <w:szCs w:val="13"/>
                <w:color w:val="auto"/>
              </w:rPr>
            </w:pPr>
          </w:p>
        </w:tc>
        <w:tc>
          <w:tcPr>
            <w:tcW w:w="2000" w:type="dxa"/>
            <w:vAlign w:val="bottom"/>
            <w:tcBorders>
              <w:right w:val="single" w:sz="8" w:color="auto"/>
            </w:tcBorders>
          </w:tcPr>
          <w:p>
            <w:pPr>
              <w:jc w:val="center"/>
              <w:ind w:right="208"/>
              <w:spacing w:after="0" w:line="153" w:lineRule="exact"/>
              <w:rPr>
                <w:sz w:val="20"/>
                <w:szCs w:val="20"/>
                <w:color w:val="auto"/>
              </w:rPr>
            </w:pPr>
            <w:r>
              <w:rPr>
                <w:rFonts w:ascii="Arial" w:cs="Arial" w:eastAsia="Arial" w:hAnsi="Arial"/>
                <w:sz w:val="14"/>
                <w:szCs w:val="14"/>
                <w:color w:val="auto"/>
                <w:w w:val="92"/>
              </w:rPr>
              <w:t>Enterprise Value</w:t>
            </w:r>
          </w:p>
        </w:tc>
        <w:tc>
          <w:tcPr>
            <w:tcW w:w="150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7"/>
              </w:rPr>
              <w:t>Average EBITDA</w:t>
            </w:r>
          </w:p>
        </w:tc>
        <w:tc>
          <w:tcPr>
            <w:tcW w:w="1760" w:type="dxa"/>
            <w:vAlign w:val="bottom"/>
            <w:tcBorders>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3"/>
              </w:rPr>
              <w:t>3.5x – 8.2x/9.35% – 4.5%</w:t>
            </w: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Multiple/WAAC</w:t>
            </w:r>
          </w:p>
        </w:tc>
        <w:tc>
          <w:tcPr>
            <w:tcW w:w="17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right w:val="single" w:sz="8" w:color="auto"/>
            </w:tcBorders>
          </w:tcPr>
          <w:p>
            <w:pPr>
              <w:jc w:val="center"/>
              <w:ind w:right="188"/>
              <w:spacing w:after="0"/>
              <w:rPr>
                <w:sz w:val="20"/>
                <w:szCs w:val="20"/>
                <w:color w:val="auto"/>
              </w:rPr>
            </w:pPr>
            <w:r>
              <w:rPr>
                <w:rFonts w:ascii="Arial" w:cs="Arial" w:eastAsia="Arial" w:hAnsi="Arial"/>
                <w:sz w:val="14"/>
                <w:szCs w:val="14"/>
                <w:color w:val="auto"/>
                <w:w w:val="93"/>
              </w:rPr>
              <w:t>Options Value</w:t>
            </w:r>
          </w:p>
        </w:tc>
        <w:tc>
          <w:tcPr>
            <w:tcW w:w="150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92"/>
              </w:rPr>
              <w:t>Qualitative Inputs</w:t>
            </w:r>
            <w:r>
              <w:rPr>
                <w:rFonts w:ascii="Arial" w:cs="Arial" w:eastAsia="Arial" w:hAnsi="Arial"/>
                <w:sz w:val="23"/>
                <w:szCs w:val="23"/>
                <w:color w:val="auto"/>
                <w:w w:val="92"/>
                <w:vertAlign w:val="superscript"/>
              </w:rPr>
              <w:t>(1)</w:t>
            </w:r>
          </w:p>
        </w:tc>
        <w:tc>
          <w:tcPr>
            <w:tcW w:w="17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CLO Fund Securities</w:t>
            </w:r>
          </w:p>
        </w:tc>
        <w:tc>
          <w:tcPr>
            <w:tcW w:w="100" w:type="dxa"/>
            <w:vAlign w:val="bottom"/>
          </w:tcPr>
          <w:p>
            <w:pPr>
              <w:spacing w:after="0"/>
              <w:rPr>
                <w:sz w:val="18"/>
                <w:szCs w:val="18"/>
                <w:color w:val="auto"/>
              </w:rPr>
            </w:pPr>
          </w:p>
        </w:tc>
        <w:tc>
          <w:tcPr>
            <w:tcW w:w="86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w w:val="95"/>
              </w:rPr>
              <w:t>$ 47,466,849</w:t>
            </w:r>
          </w:p>
        </w:tc>
        <w:tc>
          <w:tcPr>
            <w:tcW w:w="240" w:type="dxa"/>
            <w:vAlign w:val="bottom"/>
          </w:tcPr>
          <w:p>
            <w:pPr>
              <w:spacing w:after="0"/>
              <w:rPr>
                <w:sz w:val="18"/>
                <w:szCs w:val="18"/>
                <w:color w:val="auto"/>
              </w:rPr>
            </w:pPr>
          </w:p>
        </w:tc>
        <w:tc>
          <w:tcPr>
            <w:tcW w:w="2000" w:type="dxa"/>
            <w:vAlign w:val="bottom"/>
            <w:tcBorders>
              <w:right w:val="single" w:sz="8" w:color="auto"/>
            </w:tcBorders>
          </w:tcPr>
          <w:p>
            <w:pPr>
              <w:jc w:val="center"/>
              <w:ind w:right="208"/>
              <w:spacing w:after="0"/>
              <w:rPr>
                <w:sz w:val="20"/>
                <w:szCs w:val="20"/>
                <w:color w:val="auto"/>
              </w:rPr>
            </w:pPr>
            <w:r>
              <w:rPr>
                <w:rFonts w:ascii="Arial" w:cs="Arial" w:eastAsia="Arial" w:hAnsi="Arial"/>
                <w:sz w:val="14"/>
                <w:szCs w:val="14"/>
                <w:color w:val="auto"/>
                <w:w w:val="94"/>
              </w:rPr>
              <w:t>Discounted Cash Flow</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Discount Rate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7.5% – 11%</w:t>
            </w: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Probability of Default</w:t>
            </w:r>
          </w:p>
        </w:tc>
        <w:tc>
          <w:tcPr>
            <w:tcW w:w="176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8"/>
              </w:rPr>
              <w:t>1% – 3%</w:t>
            </w:r>
            <w:r>
              <w:rPr>
                <w:rFonts w:ascii="Arial" w:cs="Arial" w:eastAsia="Arial" w:hAnsi="Arial"/>
                <w:sz w:val="23"/>
                <w:szCs w:val="23"/>
                <w:color w:val="auto"/>
                <w:w w:val="88"/>
                <w:vertAlign w:val="superscript"/>
              </w:rPr>
              <w:t>(2)</w:t>
            </w: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Loss Severity</w:t>
            </w:r>
          </w:p>
        </w:tc>
        <w:tc>
          <w:tcPr>
            <w:tcW w:w="176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92"/>
              </w:rPr>
              <w:t>20% – 30% (21%)</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Recovery Rate</w:t>
            </w:r>
          </w:p>
        </w:tc>
        <w:tc>
          <w:tcPr>
            <w:tcW w:w="176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92"/>
              </w:rPr>
              <w:t>70% – 80% (79%)</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Prepayment Rate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w w:val="95"/>
              </w:rPr>
              <w:t>$ 31,985,371</w:t>
            </w: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center"/>
              <w:ind w:right="188"/>
              <w:spacing w:after="0"/>
              <w:rPr>
                <w:sz w:val="20"/>
                <w:szCs w:val="20"/>
                <w:color w:val="auto"/>
              </w:rPr>
            </w:pPr>
            <w:r>
              <w:rPr>
                <w:rFonts w:ascii="Arial" w:cs="Arial" w:eastAsia="Arial" w:hAnsi="Arial"/>
                <w:sz w:val="14"/>
                <w:szCs w:val="14"/>
                <w:color w:val="auto"/>
                <w:w w:val="95"/>
              </w:rPr>
              <w:t>Market Approach</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Third Party Quote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77 – 93.4</w:t>
            </w:r>
          </w:p>
        </w:tc>
        <w:tc>
          <w:tcPr>
            <w:tcW w:w="0" w:type="dxa"/>
            <w:vAlign w:val="bottom"/>
          </w:tcPr>
          <w:p>
            <w:pPr>
              <w:spacing w:after="0"/>
              <w:rPr>
                <w:sz w:val="1"/>
                <w:szCs w:val="1"/>
                <w:color w:val="auto"/>
              </w:rPr>
            </w:pP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Asset Manager Affiliates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4"/>
                <w:szCs w:val="14"/>
                <w:color w:val="auto"/>
                <w:w w:val="95"/>
              </w:rPr>
              <w:t>$ 76,148,000</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jc w:val="center"/>
              <w:ind w:right="208"/>
              <w:spacing w:after="0"/>
              <w:rPr>
                <w:sz w:val="20"/>
                <w:szCs w:val="20"/>
                <w:color w:val="auto"/>
              </w:rPr>
            </w:pPr>
            <w:r>
              <w:rPr>
                <w:rFonts w:ascii="Arial" w:cs="Arial" w:eastAsia="Arial" w:hAnsi="Arial"/>
                <w:sz w:val="14"/>
                <w:szCs w:val="14"/>
                <w:color w:val="auto"/>
                <w:w w:val="94"/>
              </w:rPr>
              <w:t>Discounted Cash Flow</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Discount Rate</w:t>
            </w:r>
          </w:p>
        </w:tc>
        <w:tc>
          <w:tcPr>
            <w:tcW w:w="176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92"/>
              </w:rPr>
              <w:t>2.09% – 10.5% (7.08%)</w:t>
            </w:r>
            <w:r>
              <w:rPr>
                <w:rFonts w:ascii="Arial" w:cs="Arial" w:eastAsia="Arial" w:hAnsi="Arial"/>
                <w:sz w:val="23"/>
                <w:szCs w:val="23"/>
                <w:color w:val="auto"/>
                <w:w w:val="92"/>
                <w:vertAlign w:val="superscript"/>
              </w:rPr>
              <w:t>(2)</w:t>
            </w: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Level III</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760" w:type="dxa"/>
            <w:vAlign w:val="bottom"/>
            <w:gridSpan w:val="3"/>
          </w:tcPr>
          <w:p>
            <w:pPr>
              <w:jc w:val="right"/>
              <w:ind w:right="1908"/>
              <w:spacing w:after="0"/>
              <w:rPr>
                <w:sz w:val="20"/>
                <w:szCs w:val="20"/>
                <w:color w:val="auto"/>
              </w:rPr>
            </w:pPr>
            <w:r>
              <w:rPr>
                <w:rFonts w:ascii="Arial" w:cs="Arial" w:eastAsia="Arial" w:hAnsi="Arial"/>
                <w:sz w:val="14"/>
                <w:szCs w:val="14"/>
                <w:color w:val="auto"/>
                <w:w w:val="97"/>
              </w:rPr>
              <w:t>364,703,993</w:t>
            </w:r>
          </w:p>
        </w:tc>
        <w:tc>
          <w:tcPr>
            <w:tcW w:w="1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960" w:type="dxa"/>
            <w:vAlign w:val="bottom"/>
            <w:vMerge w:val="restart"/>
          </w:tcPr>
          <w:p>
            <w:pPr>
              <w:spacing w:after="0"/>
              <w:rPr>
                <w:sz w:val="10"/>
                <w:szCs w:val="10"/>
                <w:color w:val="auto"/>
              </w:rPr>
            </w:pPr>
          </w:p>
        </w:tc>
        <w:tc>
          <w:tcPr>
            <w:tcW w:w="860" w:type="dxa"/>
            <w:vAlign w:val="bottom"/>
            <w:gridSpan w:val="2"/>
            <w:vMerge w:val="restart"/>
          </w:tcPr>
          <w:p>
            <w:pPr>
              <w:jc w:val="right"/>
              <w:spacing w:after="0" w:line="158" w:lineRule="exact"/>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-419735</wp:posOffset>
            </wp:positionV>
            <wp:extent cx="52139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right="659" w:hanging="272"/>
        <w:spacing w:after="0" w:line="277"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62" w:lineRule="exact"/>
        <w:rPr>
          <w:sz w:val="20"/>
          <w:szCs w:val="20"/>
          <w:color w:val="auto"/>
        </w:rPr>
      </w:pPr>
    </w:p>
    <w:p>
      <w:pPr>
        <w:ind w:left="60" w:right="719" w:firstLine="27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79" w:lineRule="exact"/>
        <w:rPr>
          <w:sz w:val="20"/>
          <w:szCs w:val="20"/>
          <w:color w:val="auto"/>
        </w:rPr>
      </w:pPr>
    </w:p>
    <w:p>
      <w:pPr>
        <w:ind w:left="60" w:right="539" w:firstLine="270"/>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73" w:lineRule="exact"/>
        <w:rPr>
          <w:sz w:val="20"/>
          <w:szCs w:val="20"/>
          <w:color w:val="auto"/>
        </w:rPr>
      </w:pPr>
    </w:p>
    <w:p>
      <w:pPr>
        <w:ind w:left="60" w:right="939" w:firstLine="270"/>
        <w:spacing w:after="0" w:line="277" w:lineRule="auto"/>
        <w:rPr>
          <w:sz w:val="20"/>
          <w:szCs w:val="20"/>
          <w:color w:val="auto"/>
        </w:rPr>
      </w:pPr>
      <w:r>
        <w:rPr>
          <w:rFonts w:ascii="Arial" w:cs="Arial" w:eastAsia="Arial" w:hAnsi="Arial"/>
          <w:sz w:val="18"/>
          <w:szCs w:val="18"/>
          <w:color w:val="auto"/>
        </w:rPr>
        <w:t>Significant unobservable inputs used in the fair value measurement of the Company’s CLO Fund securities include default rates, recovery rates, prepayment rates, and spreads and the discount rate by which</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INVESTMENTS – (continued)</w:t>
      </w:r>
    </w:p>
    <w:p>
      <w:pPr>
        <w:spacing w:after="0" w:line="121" w:lineRule="exact"/>
        <w:rPr>
          <w:sz w:val="20"/>
          <w:szCs w:val="20"/>
          <w:color w:val="auto"/>
        </w:rPr>
      </w:pPr>
    </w:p>
    <w:p>
      <w:pPr>
        <w:ind w:left="40" w:right="599"/>
        <w:spacing w:after="0" w:line="288" w:lineRule="auto"/>
        <w:rPr>
          <w:sz w:val="20"/>
          <w:szCs w:val="20"/>
          <w:color w:val="auto"/>
        </w:rPr>
      </w:pPr>
      <w:r>
        <w:rPr>
          <w:rFonts w:ascii="Arial" w:cs="Arial" w:eastAsia="Arial" w:hAnsi="Arial"/>
          <w:sz w:val="16"/>
          <w:szCs w:val="16"/>
          <w:color w:val="auto"/>
        </w:rPr>
        <w:t>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61"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ASSET MANAGER AFFILIATES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Wholly-Owned Asset Managers</w:t>
      </w:r>
    </w:p>
    <w:p>
      <w:pPr>
        <w:spacing w:after="0" w:line="117" w:lineRule="exact"/>
        <w:rPr>
          <w:sz w:val="20"/>
          <w:szCs w:val="20"/>
          <w:color w:val="auto"/>
        </w:rPr>
      </w:pPr>
    </w:p>
    <w:p>
      <w:pPr>
        <w:ind w:left="40" w:right="739" w:firstLine="270"/>
        <w:spacing w:after="0" w:line="257" w:lineRule="auto"/>
        <w:rPr>
          <w:sz w:val="20"/>
          <w:szCs w:val="20"/>
          <w:color w:val="auto"/>
        </w:rPr>
      </w:pPr>
      <w:r>
        <w:rPr>
          <w:rFonts w:ascii="Arial" w:cs="Arial" w:eastAsia="Arial" w:hAnsi="Arial"/>
          <w:sz w:val="18"/>
          <w:szCs w:val="18"/>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December 31, 2013, the Asset Manager Affiliates had approximately $3.2 billion of par value of assets under management, and the Company’s 100% equity interest in the Asset Manager Affiliates had a fair value of approximately $76 million.</w:t>
      </w:r>
    </w:p>
    <w:p>
      <w:pPr>
        <w:spacing w:after="0" w:line="80"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operating income equal to the amount by which their fee income exceeds their operating expenses, including compensation of their employees. The annual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 Additionally, four managed funds received incentive fee distributions.</w:t>
      </w:r>
    </w:p>
    <w:p>
      <w:pPr>
        <w:spacing w:after="0" w:line="71" w:lineRule="exact"/>
        <w:rPr>
          <w:sz w:val="20"/>
          <w:szCs w:val="20"/>
          <w:color w:val="auto"/>
        </w:rPr>
      </w:pPr>
    </w:p>
    <w:p>
      <w:pPr>
        <w:ind w:left="40" w:right="699" w:firstLine="270"/>
        <w:spacing w:after="0" w:line="273" w:lineRule="auto"/>
        <w:rPr>
          <w:sz w:val="20"/>
          <w:szCs w:val="20"/>
          <w:color w:val="auto"/>
        </w:rPr>
      </w:pPr>
      <w:r>
        <w:rPr>
          <w:rFonts w:ascii="Arial" w:cs="Arial" w:eastAsia="Arial" w:hAnsi="Arial"/>
          <w:sz w:val="17"/>
          <w:szCs w:val="17"/>
          <w:color w:val="auto"/>
        </w:rPr>
        <w:t>The net income that the Asset Manager Affiliates generate through their operations may be distributed to the Company. Any distributions of the Asset Manager Affiliates’ net income are recorded as “Dividends from Asset Manager Affiliates” and are recorded as declared (where declaration date represents ex-dividend date) by the Asset Manager Affiliates on the Company’s statement of operations. For the year ended December 31, 2013, the Asset Manager Affiliates made distributions of $12.8 million to the Company. The fourth quarter 2013 dividend declared of approximately $3.1 million by the Asset Manager Affiliates was recorded as a dividend receivable as of December 31, 2013.</w:t>
      </w:r>
    </w:p>
    <w:p>
      <w:pPr>
        <w:spacing w:after="0" w:line="70"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color w:val="auto"/>
        </w:rPr>
        <w:t>The Asset Manager Affiliates’ fair value is determined quarterly. The valuation is primarily determined utilizing a discounted cash flow model. See Note 2, “Significant Accounting Policies” and Note 4,</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5. ASSET MANAGER AFFILIATES – (continued)</w:t>
      </w:r>
    </w:p>
    <w:p>
      <w:pPr>
        <w:spacing w:after="0" w:line="1"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color w:val="auto"/>
        </w:rPr>
        <w:t>“Investments” for further information relating to the Company’s valuation methodology. For the year ended December 31, 2013 the fair value of the Asset Manager Affiliates decreased by approximately $1.1 million.</w:t>
      </w:r>
    </w:p>
    <w:p>
      <w:pPr>
        <w:spacing w:after="0" w:line="62" w:lineRule="exact"/>
        <w:rPr>
          <w:sz w:val="20"/>
          <w:szCs w:val="20"/>
          <w:color w:val="auto"/>
        </w:rPr>
      </w:pPr>
    </w:p>
    <w:p>
      <w:pPr>
        <w:ind w:left="40" w:right="639" w:firstLine="270"/>
        <w:spacing w:after="0" w:line="270" w:lineRule="auto"/>
        <w:rPr>
          <w:sz w:val="20"/>
          <w:szCs w:val="20"/>
          <w:color w:val="auto"/>
        </w:rPr>
      </w:pPr>
      <w:r>
        <w:rPr>
          <w:rFonts w:ascii="Arial" w:cs="Arial" w:eastAsia="Arial" w:hAnsi="Arial"/>
          <w:sz w:val="17"/>
          <w:szCs w:val="17"/>
          <w:color w:val="auto"/>
        </w:rPr>
        <w:t>Effective January 1, 2010, the Asset Manager Affiliates adopted guidance encompassed in Accounting Standards Codification Topic 810, “Consolidation.” The adoption of this new guidance had an impact on the disclosures relating to the Asset Manager Affiliates which had previously not been required, as its provisions require the Asset Manager Affiliates to consolidate certain of their managed CLO Funds that were not previously consolidated. As a result of the consolidation of these CLO Funds into the Asset Manager Affiliates, the financial results of the Asset Manager Affiliates indicate that they qualify as a “significant subsidiary” of the Company requiring the following additional disclosures. In addition, Katonah 2007-I CLO and Katonah X CLO qualify as “significant subsidiaries” of the Company and the Company is also required to make the additional disclosures about them below. These disclosures regarding the Asset Manager Affiliates and Katonah 2007-I CLO and Katonah X CLO do not directly impact the financial position, results of operations, or cash flows of the Company.</w:t>
      </w:r>
    </w:p>
    <w:p>
      <w:pPr>
        <w:spacing w:after="0" w:line="74"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As a separately regarded entity for tax purposes, the Asset Manager Affiliates are taxed at normal corporate rates. For tax purposes, any distributions by the Asset Manager Affiliates to the Company would generally need to be distributed to the Company’s shareholders. Generally, such distributions of the Asset Manager Affiliates’ income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depreciation, bonuses to employees and stock option expense, among other things. Permanent differences may include adjustments, limitations or disallowances for meals and entertainment expenses, penalties, tax goodwill amortization and net operating loss carryforward.</w:t>
      </w:r>
    </w:p>
    <w:p>
      <w:pPr>
        <w:spacing w:after="0" w:line="71" w:lineRule="exact"/>
        <w:rPr>
          <w:sz w:val="20"/>
          <w:szCs w:val="20"/>
          <w:color w:val="auto"/>
        </w:rPr>
      </w:pPr>
    </w:p>
    <w:p>
      <w:pPr>
        <w:ind w:left="40" w:right="779" w:firstLine="270"/>
        <w:spacing w:after="0" w:line="291" w:lineRule="auto"/>
        <w:rPr>
          <w:sz w:val="20"/>
          <w:szCs w:val="20"/>
          <w:color w:val="auto"/>
        </w:rPr>
      </w:pPr>
      <w:r>
        <w:rPr>
          <w:rFonts w:ascii="Arial" w:cs="Arial" w:eastAsia="Arial" w:hAnsi="Arial"/>
          <w:sz w:val="16"/>
          <w:szCs w:val="16"/>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U.S. Internal Revenue Code. At the time of the transfer, Katonah Debt Advisors had equity of approximately $1 million resulting in tax goodwill of approximately $32 million which will be amortized for tax purposes on a straight-line basis over 15 years, which accounts for an annual difference between U.S. GAAP income and taxable income by approximately $2.1 million per year over such period.</w:t>
      </w:r>
    </w:p>
    <w:p>
      <w:pPr>
        <w:spacing w:after="0" w:line="59"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its sole member, Commodore Holding L.L.C., in exchange for shares of the KCAP Financial’s stock valued at $25.5 million and cash of $13.0 million. The transaction was considered an asset purchase under Section 351(a) of the code and resulted in tax goodwill of approximately $22.8 million which will be amortized for tax purposes on a straight-line basis over 15 years, which accounts for an annual difference between GAAP income and taxable income by approximately $1.5 million per year over such period.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left="40" w:right="659" w:firstLine="270"/>
        <w:spacing w:after="0" w:line="293" w:lineRule="auto"/>
        <w:rPr>
          <w:sz w:val="20"/>
          <w:szCs w:val="20"/>
          <w:color w:val="auto"/>
        </w:rPr>
      </w:pPr>
      <w:r>
        <w:rPr>
          <w:rFonts w:ascii="Arial" w:cs="Arial" w:eastAsia="Arial" w:hAnsi="Arial"/>
          <w:sz w:val="16"/>
          <w:szCs w:val="16"/>
          <w:color w:val="auto"/>
        </w:rPr>
        <w:t>On November 20, 2012, the Company entered into a senior credit agreement (the “Senior Credit Facility”) with Trimaran Advisors, pursuant to which Trimaran Advisors may borrow from time to time up to $20 million from the Company in order to provide the capital necessary to support one or more of Trimaran Advisors’ warehouse lines and/or working capital in connection with Trimaran Advisors’ warehouse activities. The Senior Credit Facility expires on November 20, 2017 and bears interest at an annual rate of 9.0%. On December 27, 2012, the Senior Credit Facility was terminated and there were no borrowings outstanding. For the year ended December 31, 2012, the Company recognized interest income of $185,000 related to the Senior Credit Facility.</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5. ASSET MANAGER AFFILIATES – (continued)</w:t>
      </w:r>
    </w:p>
    <w:p>
      <w:pPr>
        <w:spacing w:after="0" w:line="1" w:lineRule="exact"/>
        <w:rPr>
          <w:sz w:val="20"/>
          <w:szCs w:val="20"/>
          <w:color w:val="auto"/>
        </w:rPr>
      </w:pPr>
    </w:p>
    <w:p>
      <w:pPr>
        <w:ind w:left="60" w:right="599" w:firstLine="270"/>
        <w:spacing w:after="0" w:line="254"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On April 15, 2013, the Trimaran Credit Facility was amended and upsized from $20 million to $23 million. At December 31, 2013, there was $23 million outstanding under the Trimaran Credit Facility, which is included in our Listing of Investments. For the year ended December 31, 2013, the Company recognized interest income of approximately $1.3 million related to the Trimaran Credit Facility.</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obligations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421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2012</w:t>
            </w:r>
          </w:p>
        </w:tc>
      </w:tr>
      <w:tr>
        <w:trPr>
          <w:trHeight w:val="210"/>
        </w:trPr>
        <w:tc>
          <w:tcPr>
            <w:tcW w:w="4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Convertible Notes due March 15, 2016</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49,008,000</w:t>
            </w:r>
          </w:p>
        </w:tc>
        <w:tc>
          <w:tcPr>
            <w:tcW w:w="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9"/>
              <w:spacing w:after="0"/>
              <w:rPr>
                <w:sz w:val="20"/>
                <w:szCs w:val="20"/>
                <w:color w:val="auto"/>
              </w:rPr>
            </w:pPr>
            <w:r>
              <w:rPr>
                <w:rFonts w:ascii="Arial" w:cs="Arial" w:eastAsia="Arial" w:hAnsi="Arial"/>
                <w:sz w:val="18"/>
                <w:szCs w:val="18"/>
                <w:color w:val="auto"/>
              </w:rPr>
              <w:t>60,000,000</w:t>
            </w: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7.375% Notes due September 30,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41,400,000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41,400,000</w:t>
            </w:r>
          </w:p>
        </w:tc>
      </w:tr>
      <w:tr>
        <w:trPr>
          <w:trHeight w:val="202"/>
        </w:trPr>
        <w:tc>
          <w:tcPr>
            <w:tcW w:w="47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KCAP Senior Funding I Notes</w:t>
            </w:r>
          </w:p>
        </w:tc>
        <w:tc>
          <w:tcPr>
            <w:tcW w:w="1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7"/>
              </w:rPr>
              <w:t>102,184,373</w:t>
            </w:r>
          </w:p>
        </w:tc>
        <w:tc>
          <w:tcPr>
            <w:tcW w:w="32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1180" w:type="dxa"/>
            <w:vAlign w:val="bottom"/>
            <w:shd w:val="clear" w:color="auto" w:fill="CCFFCC"/>
          </w:tcPr>
          <w:p>
            <w:pPr>
              <w:jc w:val="right"/>
              <w:ind w:right="19"/>
              <w:spacing w:after="0" w:line="201" w:lineRule="exact"/>
              <w:rPr>
                <w:sz w:val="20"/>
                <w:szCs w:val="20"/>
                <w:color w:val="auto"/>
              </w:rPr>
            </w:pPr>
            <w:r>
              <w:rPr>
                <w:rFonts w:ascii="Arial" w:cs="Arial" w:eastAsia="Arial" w:hAnsi="Arial"/>
                <w:sz w:val="18"/>
                <w:szCs w:val="18"/>
                <w:color w:val="auto"/>
              </w:rPr>
              <w:t>—</w:t>
            </w:r>
          </w:p>
        </w:tc>
      </w:tr>
      <w:tr>
        <w:trPr>
          <w:trHeight w:val="230"/>
        </w:trPr>
        <w:tc>
          <w:tcPr>
            <w:tcW w:w="4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of discount: $3,065,627)</w:t>
            </w: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r>
    </w:tbl>
    <w:p>
      <w:pPr>
        <w:spacing w:after="0" w:line="94" w:lineRule="exact"/>
        <w:rPr>
          <w:sz w:val="20"/>
          <w:szCs w:val="20"/>
          <w:color w:val="auto"/>
        </w:rPr>
      </w:pPr>
    </w:p>
    <w:p>
      <w:pPr>
        <w:ind w:left="60" w:right="719" w:firstLine="270"/>
        <w:spacing w:after="0" w:line="308" w:lineRule="auto"/>
        <w:rPr>
          <w:sz w:val="20"/>
          <w:szCs w:val="20"/>
          <w:color w:val="auto"/>
        </w:rPr>
      </w:pPr>
      <w:r>
        <w:rPr>
          <w:rFonts w:ascii="Arial" w:cs="Arial" w:eastAsia="Arial" w:hAnsi="Arial"/>
          <w:sz w:val="17"/>
          <w:szCs w:val="17"/>
          <w:color w:val="auto"/>
        </w:rPr>
        <w:t>The weighted average stated interest rate and weighted average maturity on all our debt outstanding as of December 31, 2013 were 5.08% and 7.43 years, respectively, and as of December 31, 2012 were 8.19% and 4.68 years, respectively.</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left="60" w:right="559" w:firstLine="270"/>
        <w:spacing w:after="0" w:line="293"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57"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The Convertible Notes are convertible into shares of Company’s common stock. As of December 31, 2013 the conversion rate was 127.4733 shares of common stock per $1,000 principal amount of Convertible Notes, which is equivalent to a conversion price of approximately $7.84 per share of common stock. Upon conversion, the Company would issue the full amount of common stock and retire the full amount of debt outstanding.</w:t>
      </w:r>
    </w:p>
    <w:p>
      <w:pPr>
        <w:spacing w:after="0" w:line="79" w:lineRule="exact"/>
        <w:rPr>
          <w:sz w:val="20"/>
          <w:szCs w:val="20"/>
          <w:color w:val="auto"/>
        </w:rPr>
      </w:pPr>
    </w:p>
    <w:p>
      <w:pPr>
        <w:ind w:left="60" w:right="859" w:firstLine="270"/>
        <w:spacing w:after="0" w:line="279" w:lineRule="auto"/>
        <w:rPr>
          <w:sz w:val="20"/>
          <w:szCs w:val="20"/>
          <w:color w:val="auto"/>
        </w:rPr>
      </w:pPr>
      <w:r>
        <w:rPr>
          <w:rFonts w:ascii="Arial" w:cs="Arial" w:eastAsia="Arial" w:hAnsi="Arial"/>
          <w:sz w:val="17"/>
          <w:szCs w:val="17"/>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200" w:lineRule="exact"/>
        <w:rPr>
          <w:sz w:val="20"/>
          <w:szCs w:val="20"/>
          <w:color w:val="auto"/>
        </w:rPr>
      </w:pPr>
    </w:p>
    <w:p>
      <w:pPr>
        <w:spacing w:after="0" w:line="30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BORROWINGS – (continued)</w:t>
      </w:r>
    </w:p>
    <w:p>
      <w:pPr>
        <w:spacing w:after="0" w:line="121" w:lineRule="exact"/>
        <w:rPr>
          <w:sz w:val="20"/>
          <w:szCs w:val="20"/>
          <w:color w:val="auto"/>
        </w:rPr>
      </w:pPr>
    </w:p>
    <w:p>
      <w:pPr>
        <w:ind w:left="40" w:right="719" w:firstLine="270"/>
        <w:spacing w:after="0" w:line="276" w:lineRule="auto"/>
        <w:rPr>
          <w:sz w:val="20"/>
          <w:szCs w:val="20"/>
          <w:color w:val="auto"/>
        </w:rPr>
      </w:pPr>
      <w:r>
        <w:rPr>
          <w:rFonts w:ascii="Arial" w:cs="Arial" w:eastAsia="Arial" w:hAnsi="Arial"/>
          <w:sz w:val="17"/>
          <w:szCs w:val="17"/>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w:t>
      </w:r>
    </w:p>
    <w:p>
      <w:pPr>
        <w:spacing w:after="0" w:line="64"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85" w:lineRule="exact"/>
        <w:rPr>
          <w:sz w:val="20"/>
          <w:szCs w:val="20"/>
          <w:color w:val="auto"/>
        </w:rPr>
      </w:pPr>
    </w:p>
    <w:p>
      <w:pPr>
        <w:ind w:left="40" w:right="539" w:firstLine="270"/>
        <w:spacing w:after="0" w:line="288" w:lineRule="auto"/>
        <w:rPr>
          <w:sz w:val="20"/>
          <w:szCs w:val="20"/>
          <w:color w:val="auto"/>
        </w:rPr>
      </w:pPr>
      <w:r>
        <w:rPr>
          <w:rFonts w:ascii="Arial" w:cs="Arial" w:eastAsia="Arial" w:hAnsi="Arial"/>
          <w:sz w:val="16"/>
          <w:szCs w:val="16"/>
          <w:color w:val="auto"/>
        </w:rPr>
        <w:t>In connection with the issuance of the Convertible Notes, the Company incurred approximately $2.4 million of debt offering costs which are being amortized over the term of the facility on an effective yield method, of which approximately $949,000 remains to be amortized. 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Due to the cash conversion option imbedded in the Convertible Notes, the Company applied the guidance in ASC 470-40-20, Debt with Conversion and Other Options and realized a loss on the extinguishment of this debt. For the year ended December 31, 2013 total realized losses on extinguishment of debt were approximately $334,000. The indenture governing the Convertible Notes contains certain restrictive covenants, including compliance with certain provisions of the 1940 Act and conditions governing the undertaking of new debt.</w:t>
      </w:r>
    </w:p>
    <w:p>
      <w:pPr>
        <w:spacing w:after="0" w:line="61"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For the years ended the years ended December 31, 2013, 2012, and 2011, interest expense related to the Convertible Notes was $4.6 million, $5.2 million and $4.1 million, respectively.</w:t>
      </w:r>
    </w:p>
    <w:p>
      <w:pPr>
        <w:spacing w:after="0" w:line="62"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December 31, 2013, the Company was in compliance with all of its debt covenants.</w:t>
      </w:r>
    </w:p>
    <w:p>
      <w:pPr>
        <w:spacing w:after="0" w:line="7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placement and there is no active trading of these notes. The estimated fair value of the Company’s outstanding Convertible Notes was approximately $55.6 million at December 31, 2013. The fair value was determined based on the closing price as of December 31, 2013.</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7.375% Notes Due 2019</w:t>
      </w:r>
    </w:p>
    <w:p>
      <w:pPr>
        <w:spacing w:after="0" w:line="117"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these Notes,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w:t>
      </w:r>
    </w:p>
    <w:p>
      <w:pPr>
        <w:spacing w:after="0" w:line="200" w:lineRule="exact"/>
        <w:rPr>
          <w:sz w:val="20"/>
          <w:szCs w:val="20"/>
          <w:color w:val="auto"/>
        </w:rPr>
      </w:pP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BORROWINGS – (continued)</w:t>
      </w:r>
    </w:p>
    <w:p>
      <w:pPr>
        <w:spacing w:after="0" w:line="121" w:lineRule="exact"/>
        <w:rPr>
          <w:sz w:val="20"/>
          <w:szCs w:val="20"/>
          <w:color w:val="auto"/>
        </w:rPr>
      </w:pPr>
    </w:p>
    <w:p>
      <w:pPr>
        <w:ind w:left="40" w:right="579"/>
        <w:spacing w:after="0" w:line="277" w:lineRule="auto"/>
        <w:rPr>
          <w:sz w:val="20"/>
          <w:szCs w:val="20"/>
          <w:color w:val="auto"/>
        </w:rPr>
      </w:pPr>
      <w:r>
        <w:rPr>
          <w:rFonts w:ascii="Arial" w:cs="Arial" w:eastAsia="Arial" w:hAnsi="Arial"/>
          <w:sz w:val="18"/>
          <w:szCs w:val="18"/>
          <w:color w:val="auto"/>
        </w:rPr>
        <w:t>2019 contains certain restrictive covenants, including compliance with certain provisions of the 1940 Act relating to borrowing and dividends. At December 31, 2013, the Company was in compliance with all of its debt covenants.</w:t>
      </w:r>
    </w:p>
    <w:p>
      <w:pPr>
        <w:spacing w:after="0" w:line="62"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For the years ended December 31, 2013 and 2012 interest expense related to the 7.375% Notes Due 2019 was $3.1 million and $1.1 million, respectively.</w:t>
      </w:r>
    </w:p>
    <w:p>
      <w:pPr>
        <w:spacing w:after="0" w:line="62" w:lineRule="exact"/>
        <w:rPr>
          <w:sz w:val="20"/>
          <w:szCs w:val="20"/>
          <w:color w:val="auto"/>
        </w:rPr>
      </w:pPr>
    </w:p>
    <w:p>
      <w:pPr>
        <w:ind w:left="40" w:right="719" w:firstLine="270"/>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term of the facility on an effective yield method, of which approximately $1.28 million remains to be amortized.</w:t>
      </w:r>
    </w:p>
    <w:p>
      <w:pPr>
        <w:spacing w:after="0" w:line="73"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i w:val="1"/>
          <w:iCs w:val="1"/>
          <w:color w:val="auto"/>
        </w:rPr>
        <w:t xml:space="preserve">Fair Value of 7.375% Notes Due 2019. </w:t>
      </w:r>
      <w:r>
        <w:rPr>
          <w:rFonts w:ascii="Arial" w:cs="Arial" w:eastAsia="Arial" w:hAnsi="Arial"/>
          <w:sz w:val="18"/>
          <w:szCs w:val="18"/>
          <w:color w:val="auto"/>
        </w:rPr>
        <w:t>The 7.375% Notes Due 2019 were issued in a public offering on October 10,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are carried at cost. The fair value of the Company’s outstanding 7.375% Notes Due 2019 was approximately $42 million and $41 million at December 31, 2013 and 2012. The fair value was determined based on the average of indicative bid and offer pricing for the 7.375% Notes Due 2019.</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Facility</w:t>
      </w:r>
    </w:p>
    <w:p>
      <w:pPr>
        <w:spacing w:after="0" w:line="117"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color w:val="auto"/>
        </w:rPr>
        <w:t>In February 2012, the Company entered into a Note Purchase Agreement, under which it was able to obtain up to $30 million in financing (the “Facility”). The Facility was terminated on November 4, 2013, and remaining unamortized capitalized costs of approximately $203,000 were written off and are included in the Realized Losses on Extinguishments of Debt in the Statement of Operations.</w:t>
      </w:r>
    </w:p>
    <w:p>
      <w:pPr>
        <w:spacing w:after="0" w:line="79" w:lineRule="exact"/>
        <w:rPr>
          <w:sz w:val="20"/>
          <w:szCs w:val="20"/>
          <w:color w:val="auto"/>
        </w:rPr>
      </w:pPr>
    </w:p>
    <w:p>
      <w:pPr>
        <w:ind w:left="40" w:right="1299" w:firstLine="270"/>
        <w:spacing w:after="0" w:line="277" w:lineRule="auto"/>
        <w:rPr>
          <w:sz w:val="20"/>
          <w:szCs w:val="20"/>
          <w:color w:val="auto"/>
        </w:rPr>
      </w:pPr>
      <w:r>
        <w:rPr>
          <w:rFonts w:ascii="Arial" w:cs="Arial" w:eastAsia="Arial" w:hAnsi="Arial"/>
          <w:sz w:val="18"/>
          <w:szCs w:val="18"/>
          <w:color w:val="auto"/>
        </w:rPr>
        <w:t>For the years ended December 31, 2013 and 2012 interest expense related to the Facility was $123,000 and $118,000, respectively.</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117"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On June 18, 2013,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Subordinated Notes, and are backed by a diversified portfolio of bank loans. The indenture governing the KCAP Senior Funding I Notes contains an event of default that is triggered in the event that certain coverage tests are not met.</w:t>
      </w:r>
    </w:p>
    <w:p>
      <w:pPr>
        <w:spacing w:after="0" w:line="85" w:lineRule="exact"/>
        <w:rPr>
          <w:sz w:val="20"/>
          <w:szCs w:val="20"/>
          <w:color w:val="auto"/>
        </w:rPr>
      </w:pPr>
    </w:p>
    <w:p>
      <w:pPr>
        <w:ind w:left="40" w:right="519" w:firstLine="270"/>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A-1 senior secured floating rate notes which have an initial face amount of $77,250,000, are rated AAA (sf)/Aaa (sf) by Standard &amp; Poor’s Ratings Services and Moody’s Investors Service, Inc., respectively, and bear interest at the three-month LIBOR plus 1.50%, Class B-1 senior secured floating rate notes which have an initial face amount of $9,000,000, are rated AA (sf)/Aa2 (sf) by Standard &amp; Poor’s Ratings Services and Moody’s Investors Service, Inc., respectively, and bear interest at three-month LIBOR plus 3.25%, Class C-1 secured deferrable floating rate notes which have an initial face amount of $10,000,000, are rated A (sf)/A2 (sf) by Standard &amp; Poor’s Ratings Services and Moody’s Investors Service, Inc., respectively, and bear interest at three-month LIBOR plus 4.25%, and Class D-1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200" w:lineRule="exact"/>
        <w:rPr>
          <w:sz w:val="20"/>
          <w:szCs w:val="20"/>
          <w:color w:val="auto"/>
        </w:rPr>
      </w:pPr>
    </w:p>
    <w:p>
      <w:pPr>
        <w:spacing w:after="0" w:line="3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2" w:name="page113"/>
    <w:bookmarkEnd w:id="11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BORROWINGS – (continued)</w:t>
      </w:r>
    </w:p>
    <w:p>
      <w:pPr>
        <w:spacing w:after="0" w:line="121" w:lineRule="exact"/>
        <w:rPr>
          <w:sz w:val="20"/>
          <w:szCs w:val="20"/>
          <w:color w:val="auto"/>
        </w:rPr>
      </w:pPr>
    </w:p>
    <w:p>
      <w:pPr>
        <w:jc w:val="both"/>
        <w:ind w:left="60" w:right="939" w:firstLine="270"/>
        <w:spacing w:after="0" w:line="312" w:lineRule="auto"/>
        <w:rPr>
          <w:sz w:val="20"/>
          <w:szCs w:val="20"/>
          <w:color w:val="auto"/>
        </w:rPr>
      </w:pPr>
      <w:r>
        <w:rPr>
          <w:rFonts w:ascii="Arial" w:cs="Arial" w:eastAsia="Arial" w:hAnsi="Arial"/>
          <w:sz w:val="16"/>
          <w:szCs w:val="16"/>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39" w:lineRule="exact"/>
        <w:rPr>
          <w:sz w:val="20"/>
          <w:szCs w:val="20"/>
          <w:color w:val="auto"/>
        </w:rPr>
      </w:pPr>
    </w:p>
    <w:p>
      <w:pPr>
        <w:ind w:left="60" w:right="699" w:firstLine="270"/>
        <w:spacing w:after="0" w:line="271" w:lineRule="auto"/>
        <w:rPr>
          <w:sz w:val="20"/>
          <w:szCs w:val="20"/>
          <w:color w:val="auto"/>
        </w:rPr>
      </w:pPr>
      <w:r>
        <w:rPr>
          <w:rFonts w:ascii="Arial" w:cs="Arial" w:eastAsia="Arial" w:hAnsi="Arial"/>
          <w:sz w:val="17"/>
          <w:szCs w:val="17"/>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71" w:lineRule="exact"/>
        <w:rPr>
          <w:sz w:val="20"/>
          <w:szCs w:val="20"/>
          <w:color w:val="auto"/>
        </w:rPr>
      </w:pPr>
    </w:p>
    <w:p>
      <w:pPr>
        <w:ind w:left="60" w:right="959" w:firstLine="270"/>
        <w:spacing w:after="0" w:line="279" w:lineRule="auto"/>
        <w:rPr>
          <w:sz w:val="20"/>
          <w:szCs w:val="20"/>
          <w:color w:val="auto"/>
        </w:rPr>
      </w:pPr>
      <w:r>
        <w:rPr>
          <w:rFonts w:ascii="Arial" w:cs="Arial" w:eastAsia="Arial" w:hAnsi="Arial"/>
          <w:sz w:val="17"/>
          <w:szCs w:val="17"/>
          <w:color w:val="auto"/>
        </w:rPr>
        <w:t>The Company will serve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63" w:lineRule="exact"/>
        <w:rPr>
          <w:sz w:val="20"/>
          <w:szCs w:val="20"/>
          <w:color w:val="auto"/>
        </w:rPr>
      </w:pPr>
    </w:p>
    <w:p>
      <w:pPr>
        <w:ind w:left="60" w:right="619" w:firstLine="270"/>
        <w:spacing w:after="0" w:line="308" w:lineRule="auto"/>
        <w:rPr>
          <w:sz w:val="20"/>
          <w:szCs w:val="20"/>
          <w:color w:val="auto"/>
        </w:rPr>
      </w:pPr>
      <w:r>
        <w:rPr>
          <w:rFonts w:ascii="Arial" w:cs="Arial" w:eastAsia="Arial" w:hAnsi="Arial"/>
          <w:sz w:val="17"/>
          <w:szCs w:val="17"/>
          <w:color w:val="auto"/>
        </w:rPr>
        <w:t>In addition, because each is a consolidated subsidiary, the Company did not recognize any gain or loss on the transfer of any of our portfolio assets to such vehicles in connection with the issuance and sale of the KCAP Senior Funding I Notes.</w:t>
      </w:r>
    </w:p>
    <w:p>
      <w:pPr>
        <w:spacing w:after="0" w:line="38" w:lineRule="exact"/>
        <w:rPr>
          <w:sz w:val="20"/>
          <w:szCs w:val="20"/>
          <w:color w:val="auto"/>
        </w:rPr>
      </w:pPr>
    </w:p>
    <w:p>
      <w:pPr>
        <w:ind w:left="60" w:right="639" w:firstLine="270"/>
        <w:spacing w:after="0" w:line="255" w:lineRule="auto"/>
        <w:rPr>
          <w:sz w:val="20"/>
          <w:szCs w:val="20"/>
          <w:color w:val="auto"/>
        </w:rPr>
      </w:pPr>
      <w:r>
        <w:rPr>
          <w:rFonts w:ascii="Arial" w:cs="Arial" w:eastAsia="Arial" w:hAnsi="Arial"/>
          <w:sz w:val="18"/>
          <w:szCs w:val="18"/>
          <w:color w:val="auto"/>
        </w:rPr>
        <w:t>As of December 31, 2013, there were 52 investments in portfolio companies with a total fair value of approximately $137 million, collateralizing the secured notes of the Issuer. At December 31, 2013, there were unamortized issuance costs of approximately $3.6 million included in other assets, and unamortized original issue discount, (“OID”) costs of approximately $3.1 million included in liabilities in the accompanying balance sheet. The pool of loans in the securitization must meet certain requirements, including asset mix and concentration, collateral coverage, term, agency rating, minimum coupon, minimum spread and sector diversity requirements.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 ended December 31, 2013, interest expense, including the amortization of deferred debt issuance costs and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discount on the face amount of the notes was approximately $1.8 million consisting of stated interest expense of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$1.3 million, accreted discount of approximately $230,000 and amortization deferred debt issuance costs of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$276,000. As of December 31, 2013 the stated interest charged under the securitization was based on current three month LIBOR,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which was 0.24%. The classes, stated interest rates, spread over LIBOR, and annual stated interest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-63500</wp:posOffset>
            </wp:positionV>
            <wp:extent cx="47167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Stated</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LIBOR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Stated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4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Interest</w:t>
            </w:r>
          </w:p>
        </w:tc>
      </w:tr>
      <w:tr>
        <w:trPr>
          <w:trHeight w:val="212"/>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40" w:type="dxa"/>
            <w:vAlign w:val="bottom"/>
            <w:tcBorders>
              <w:bottom w:val="single" w:sz="8" w:color="auto"/>
            </w:tcBorders>
          </w:tcPr>
          <w:p>
            <w:pPr>
              <w:ind w:left="260"/>
              <w:spacing w:after="0" w:line="212"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23"/>
                <w:szCs w:val="23"/>
                <w:b w:val="1"/>
                <w:bCs w:val="1"/>
                <w:color w:val="auto"/>
                <w:vertAlign w:val="superscript"/>
              </w:rPr>
              <w:t>(1)</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(basis points)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60"/>
              <w:spacing w:after="0" w:line="212" w:lineRule="exact"/>
              <w:rPr>
                <w:sz w:val="20"/>
                <w:szCs w:val="20"/>
                <w:color w:val="auto"/>
              </w:rPr>
            </w:pPr>
            <w:r>
              <w:rPr>
                <w:rFonts w:ascii="Arial" w:cs="Arial" w:eastAsia="Arial" w:hAnsi="Arial"/>
                <w:sz w:val="14"/>
                <w:szCs w:val="14"/>
                <w:b w:val="1"/>
                <w:bCs w:val="1"/>
                <w:color w:val="auto"/>
                <w:w w:val="86"/>
              </w:rPr>
              <w:t>Expense</w:t>
            </w:r>
            <w:r>
              <w:rPr>
                <w:rFonts w:ascii="Arial" w:cs="Arial" w:eastAsia="Arial" w:hAnsi="Arial"/>
                <w:sz w:val="23"/>
                <w:szCs w:val="23"/>
                <w:b w:val="1"/>
                <w:bCs w:val="1"/>
                <w:color w:val="auto"/>
                <w:w w:val="86"/>
                <w:vertAlign w:val="superscript"/>
              </w:rPr>
              <w:t>(1)</w:t>
            </w:r>
          </w:p>
        </w:tc>
      </w:tr>
      <w:tr>
        <w:trPr>
          <w:trHeight w:val="210"/>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KCAP Senior Funding LLC Class A-1 Notes</w:t>
            </w:r>
          </w:p>
        </w:tc>
        <w:tc>
          <w:tcPr>
            <w:tcW w:w="9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1.74%</w:t>
            </w:r>
          </w:p>
        </w:tc>
        <w:tc>
          <w:tcPr>
            <w:tcW w:w="1100" w:type="dxa"/>
            <w:vAlign w:val="bottom"/>
            <w:gridSpan w:val="2"/>
            <w:shd w:val="clear" w:color="auto" w:fill="CCFFCC"/>
          </w:tcPr>
          <w:p>
            <w:pPr>
              <w:jc w:val="right"/>
              <w:ind w:right="88"/>
              <w:spacing w:after="0"/>
              <w:rPr>
                <w:sz w:val="20"/>
                <w:szCs w:val="20"/>
                <w:color w:val="auto"/>
              </w:rPr>
            </w:pPr>
            <w:r>
              <w:rPr>
                <w:rFonts w:ascii="Arial" w:cs="Arial" w:eastAsia="Arial" w:hAnsi="Arial"/>
                <w:sz w:val="18"/>
                <w:szCs w:val="18"/>
                <w:color w:val="auto"/>
              </w:rPr>
              <w:t>150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488,976</w:t>
            </w: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KCAP Senior Funding LLC Class B-1 Notes</w:t>
            </w:r>
          </w:p>
        </w:tc>
        <w:tc>
          <w:tcPr>
            <w:tcW w:w="940" w:type="dxa"/>
            <w:vAlign w:val="bottom"/>
          </w:tcPr>
          <w:p>
            <w:pPr>
              <w:ind w:left="300"/>
              <w:spacing w:after="0"/>
              <w:rPr>
                <w:sz w:val="20"/>
                <w:szCs w:val="20"/>
                <w:color w:val="auto"/>
              </w:rPr>
            </w:pPr>
            <w:r>
              <w:rPr>
                <w:rFonts w:ascii="Arial" w:cs="Arial" w:eastAsia="Arial" w:hAnsi="Arial"/>
                <w:sz w:val="18"/>
                <w:szCs w:val="18"/>
                <w:color w:val="auto"/>
              </w:rPr>
              <w:t>3.49%</w:t>
            </w:r>
          </w:p>
        </w:tc>
        <w:tc>
          <w:tcPr>
            <w:tcW w:w="1100" w:type="dxa"/>
            <w:vAlign w:val="bottom"/>
            <w:gridSpan w:val="2"/>
          </w:tcPr>
          <w:p>
            <w:pPr>
              <w:jc w:val="right"/>
              <w:ind w:right="88"/>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111,656</w:t>
            </w:r>
          </w:p>
        </w:tc>
      </w:tr>
      <w:tr>
        <w:trPr>
          <w:trHeight w:val="216"/>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KCAP Senior Funding LLC Class C-1 Notes</w:t>
            </w:r>
          </w:p>
        </w:tc>
        <w:tc>
          <w:tcPr>
            <w:tcW w:w="9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4.49%</w:t>
            </w:r>
          </w:p>
        </w:tc>
        <w:tc>
          <w:tcPr>
            <w:tcW w:w="1100" w:type="dxa"/>
            <w:vAlign w:val="bottom"/>
            <w:gridSpan w:val="2"/>
            <w:shd w:val="clear" w:color="auto" w:fill="CCFFCC"/>
          </w:tcPr>
          <w:p>
            <w:pPr>
              <w:jc w:val="right"/>
              <w:ind w:right="88"/>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158,784</w:t>
            </w: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KCAP Senior Funding LLC Class D-1 Notes</w:t>
            </w:r>
          </w:p>
        </w:tc>
        <w:tc>
          <w:tcPr>
            <w:tcW w:w="940" w:type="dxa"/>
            <w:vAlign w:val="bottom"/>
          </w:tcPr>
          <w:p>
            <w:pPr>
              <w:ind w:left="300"/>
              <w:spacing w:after="0"/>
              <w:rPr>
                <w:sz w:val="20"/>
                <w:szCs w:val="20"/>
                <w:color w:val="auto"/>
              </w:rPr>
            </w:pPr>
            <w:r>
              <w:rPr>
                <w:rFonts w:ascii="Arial" w:cs="Arial" w:eastAsia="Arial" w:hAnsi="Arial"/>
                <w:sz w:val="18"/>
                <w:szCs w:val="18"/>
                <w:color w:val="auto"/>
              </w:rPr>
              <w:t>5.49%</w:t>
            </w:r>
          </w:p>
        </w:tc>
        <w:tc>
          <w:tcPr>
            <w:tcW w:w="1100" w:type="dxa"/>
            <w:vAlign w:val="bottom"/>
            <w:gridSpan w:val="2"/>
          </w:tcPr>
          <w:p>
            <w:pPr>
              <w:jc w:val="right"/>
              <w:ind w:right="88"/>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174,156</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933,572</w:t>
            </w: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3200" w:type="dxa"/>
            <w:vAlign w:val="bottom"/>
            <w:tcBorders>
              <w:top w:val="single" w:sz="8" w:color="CCFFCC"/>
            </w:tcBorders>
          </w:tcPr>
          <w:p>
            <w:pPr>
              <w:spacing w:after="0"/>
              <w:rPr>
                <w:sz w:val="23"/>
                <w:szCs w:val="23"/>
                <w:color w:val="auto"/>
              </w:rPr>
            </w:pPr>
          </w:p>
        </w:tc>
        <w:tc>
          <w:tcPr>
            <w:tcW w:w="94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940" w:type="dxa"/>
            <w:vAlign w:val="bottom"/>
            <w:tcBorders>
              <w:top w:val="single" w:sz="8" w:color="CCFFCC"/>
            </w:tcBorders>
          </w:tcPr>
          <w:p>
            <w:pPr>
              <w:spacing w:after="0"/>
              <w:rPr>
                <w:sz w:val="23"/>
                <w:szCs w:val="23"/>
                <w:color w:val="auto"/>
              </w:rPr>
            </w:pPr>
          </w:p>
        </w:tc>
        <w:tc>
          <w:tcPr>
            <w:tcW w:w="160" w:type="dxa"/>
            <w:vAlign w:val="bottom"/>
            <w:tcBorders>
              <w:top w:val="single" w:sz="8" w:color="CCFFC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475107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jc w:val="center"/>
        <w:ind w:left="4500" w:right="1379" w:hanging="4472"/>
        <w:spacing w:after="0" w:line="919" w:lineRule="auto"/>
        <w:tabs>
          <w:tab w:leader="none" w:pos="299"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Stated Interest Rate and Stated Interest Expense will vary based upon prevailing 3 month LIBOR as of the reset date.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-280670</wp:posOffset>
            </wp:positionV>
            <wp:extent cx="6114415" cy="59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3" w:name="page114"/>
    <w:bookmarkEnd w:id="11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BORROWINGS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Class A-1 Notes</w:t>
            </w:r>
          </w:p>
        </w:tc>
        <w:tc>
          <w:tcPr>
            <w:tcW w:w="8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Class B-1 Notes</w:t>
            </w:r>
          </w:p>
        </w:tc>
        <w:tc>
          <w:tcPr>
            <w:tcW w:w="80" w:type="dxa"/>
            <w:vAlign w:val="bottom"/>
          </w:tcPr>
          <w:p>
            <w:pPr>
              <w:spacing w:after="0"/>
              <w:rPr>
                <w:sz w:val="16"/>
                <w:szCs w:val="16"/>
                <w:color w:val="auto"/>
              </w:rPr>
            </w:pPr>
          </w:p>
        </w:tc>
        <w:tc>
          <w:tcPr>
            <w:tcW w:w="1740" w:type="dxa"/>
            <w:vAlign w:val="bottom"/>
            <w:gridSpan w:val="6"/>
          </w:tcPr>
          <w:p>
            <w:pPr>
              <w:jc w:val="center"/>
              <w:ind w:right="110"/>
              <w:spacing w:after="0"/>
              <w:rPr>
                <w:sz w:val="20"/>
                <w:szCs w:val="20"/>
                <w:color w:val="auto"/>
              </w:rPr>
            </w:pPr>
            <w:r>
              <w:rPr>
                <w:rFonts w:ascii="Arial" w:cs="Arial" w:eastAsia="Arial" w:hAnsi="Arial"/>
                <w:sz w:val="14"/>
                <w:szCs w:val="14"/>
                <w:b w:val="1"/>
                <w:bCs w:val="1"/>
                <w:color w:val="auto"/>
                <w:w w:val="91"/>
              </w:rPr>
              <w:t>Class C-1 Notes</w:t>
            </w: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Class D-1 Notes</w:t>
            </w:r>
          </w:p>
        </w:tc>
        <w:tc>
          <w:tcPr>
            <w:tcW w:w="0" w:type="dxa"/>
            <w:vAlign w:val="bottom"/>
          </w:tcPr>
          <w:p>
            <w:pPr>
              <w:spacing w:after="0"/>
              <w:rPr>
                <w:sz w:val="1"/>
                <w:szCs w:val="1"/>
                <w:color w:val="auto"/>
              </w:rPr>
            </w:pPr>
          </w:p>
        </w:tc>
      </w:tr>
      <w:tr>
        <w:trPr>
          <w:trHeight w:val="195"/>
        </w:trPr>
        <w:tc>
          <w:tcPr>
            <w:tcW w:w="19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Type</w:t>
            </w:r>
          </w:p>
        </w:tc>
        <w:tc>
          <w:tcPr>
            <w:tcW w:w="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Senior Secured</w:t>
            </w:r>
          </w:p>
        </w:tc>
        <w:tc>
          <w:tcPr>
            <w:tcW w:w="80" w:type="dxa"/>
            <w:vAlign w:val="bottom"/>
          </w:tcPr>
          <w:p>
            <w:pPr>
              <w:spacing w:after="0"/>
              <w:rPr>
                <w:sz w:val="16"/>
                <w:szCs w:val="16"/>
                <w:color w:val="auto"/>
              </w:rPr>
            </w:pPr>
          </w:p>
        </w:tc>
        <w:tc>
          <w:tcPr>
            <w:tcW w:w="146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8"/>
              </w:rPr>
              <w:t>Senior Secured</w:t>
            </w:r>
          </w:p>
        </w:tc>
        <w:tc>
          <w:tcPr>
            <w:tcW w:w="80" w:type="dxa"/>
            <w:vAlign w:val="bottom"/>
          </w:tcPr>
          <w:p>
            <w:pPr>
              <w:spacing w:after="0"/>
              <w:rPr>
                <w:sz w:val="16"/>
                <w:szCs w:val="16"/>
                <w:color w:val="auto"/>
              </w:rPr>
            </w:pPr>
          </w:p>
        </w:tc>
        <w:tc>
          <w:tcPr>
            <w:tcW w:w="1520" w:type="dxa"/>
            <w:vAlign w:val="bottom"/>
            <w:tcBorders>
              <w:top w:val="single" w:sz="8" w:color="auto"/>
            </w:tcBorders>
            <w:gridSpan w:val="4"/>
          </w:tcPr>
          <w:p>
            <w:pPr>
              <w:jc w:val="center"/>
              <w:spacing w:after="0" w:line="195" w:lineRule="exact"/>
              <w:rPr>
                <w:sz w:val="20"/>
                <w:szCs w:val="20"/>
                <w:color w:val="auto"/>
              </w:rPr>
            </w:pPr>
            <w:r>
              <w:rPr>
                <w:rFonts w:ascii="Arial" w:cs="Arial" w:eastAsia="Arial" w:hAnsi="Arial"/>
                <w:sz w:val="18"/>
                <w:szCs w:val="18"/>
                <w:color w:val="auto"/>
                <w:w w:val="88"/>
              </w:rPr>
              <w:t>Secured Deferrable</w:t>
            </w:r>
          </w:p>
        </w:tc>
        <w:tc>
          <w:tcPr>
            <w:tcW w:w="80" w:type="dxa"/>
            <w:vAlign w:val="bottom"/>
          </w:tcPr>
          <w:p>
            <w:pPr>
              <w:spacing w:after="0"/>
              <w:rPr>
                <w:sz w:val="16"/>
                <w:szCs w:val="16"/>
                <w:color w:val="auto"/>
              </w:rPr>
            </w:pPr>
          </w:p>
        </w:tc>
        <w:tc>
          <w:tcPr>
            <w:tcW w:w="1540" w:type="dxa"/>
            <w:vAlign w:val="bottom"/>
            <w:tcBorders>
              <w:top w:val="single" w:sz="8" w:color="auto"/>
            </w:tcBorders>
            <w:gridSpan w:val="5"/>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Floating Rate</w:t>
            </w: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1"/>
              </w:rPr>
              <w:t>Floating Rate</w:t>
            </w:r>
          </w:p>
        </w:tc>
        <w:tc>
          <w:tcPr>
            <w:tcW w:w="80" w:type="dxa"/>
            <w:vAlign w:val="bottom"/>
          </w:tcPr>
          <w:p>
            <w:pPr>
              <w:spacing w:after="0"/>
              <w:rPr>
                <w:sz w:val="18"/>
                <w:szCs w:val="18"/>
                <w:color w:val="auto"/>
              </w:rPr>
            </w:pPr>
          </w:p>
        </w:tc>
        <w:tc>
          <w:tcPr>
            <w:tcW w:w="1740" w:type="dxa"/>
            <w:vAlign w:val="bottom"/>
            <w:gridSpan w:val="6"/>
          </w:tcPr>
          <w:p>
            <w:pPr>
              <w:jc w:val="center"/>
              <w:ind w:right="110"/>
              <w:spacing w:after="0"/>
              <w:rPr>
                <w:sz w:val="20"/>
                <w:szCs w:val="20"/>
                <w:color w:val="auto"/>
              </w:rPr>
            </w:pPr>
            <w:r>
              <w:rPr>
                <w:rFonts w:ascii="Arial" w:cs="Arial" w:eastAsia="Arial" w:hAnsi="Arial"/>
                <w:sz w:val="18"/>
                <w:szCs w:val="18"/>
                <w:color w:val="auto"/>
                <w:w w:val="91"/>
              </w:rPr>
              <w:t>Floating Rate</w:t>
            </w:r>
          </w:p>
        </w:tc>
        <w:tc>
          <w:tcPr>
            <w:tcW w:w="140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Floating Rate</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Amount Outstanding</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$77,250,000</w:t>
            </w:r>
          </w:p>
        </w:tc>
        <w:tc>
          <w:tcPr>
            <w:tcW w:w="1540" w:type="dxa"/>
            <w:vAlign w:val="bottom"/>
            <w:gridSpan w:val="3"/>
          </w:tcPr>
          <w:p>
            <w:pPr>
              <w:jc w:val="right"/>
              <w:ind w:right="236"/>
              <w:spacing w:after="0"/>
              <w:rPr>
                <w:sz w:val="20"/>
                <w:szCs w:val="20"/>
                <w:color w:val="auto"/>
              </w:rPr>
            </w:pPr>
            <w:r>
              <w:rPr>
                <w:rFonts w:ascii="Arial" w:cs="Arial" w:eastAsia="Arial" w:hAnsi="Arial"/>
                <w:sz w:val="18"/>
                <w:szCs w:val="18"/>
                <w:color w:val="auto"/>
              </w:rPr>
              <w:t>$9,000,000</w:t>
            </w:r>
          </w:p>
        </w:tc>
        <w:tc>
          <w:tcPr>
            <w:tcW w:w="1600" w:type="dxa"/>
            <w:vAlign w:val="bottom"/>
            <w:gridSpan w:val="5"/>
          </w:tcPr>
          <w:p>
            <w:pPr>
              <w:jc w:val="right"/>
              <w:ind w:right="215"/>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94"/>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 xml:space="preserve">Moody’s Rating </w:t>
            </w:r>
            <w:r>
              <w:rPr>
                <w:rFonts w:ascii="Arial" w:cs="Arial" w:eastAsia="Arial" w:hAnsi="Arial"/>
                <w:sz w:val="18"/>
                <w:szCs w:val="18"/>
                <w:i w:val="1"/>
                <w:iCs w:val="1"/>
                <w:color w:val="auto"/>
              </w:rPr>
              <w:t>(sf)</w:t>
            </w: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“Aaa”</w:t>
            </w: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“Aa2”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5"/>
          </w:tcPr>
          <w:p>
            <w:pPr>
              <w:jc w:val="center"/>
              <w:ind w:right="610"/>
              <w:spacing w:after="0"/>
              <w:rPr>
                <w:sz w:val="20"/>
                <w:szCs w:val="20"/>
                <w:color w:val="auto"/>
              </w:rPr>
            </w:pPr>
            <w:r>
              <w:rPr>
                <w:rFonts w:ascii="Arial" w:cs="Arial" w:eastAsia="Arial" w:hAnsi="Arial"/>
                <w:sz w:val="18"/>
                <w:szCs w:val="18"/>
                <w:color w:val="auto"/>
              </w:rPr>
              <w:t>“A2”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“Baa2”</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Standard &amp; Poor’s</w:t>
            </w: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“AAA”</w:t>
            </w: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rPr>
              <w:t>“AA”</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5"/>
          </w:tcPr>
          <w:p>
            <w:pPr>
              <w:jc w:val="center"/>
              <w:ind w:right="610"/>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rPr>
              <w:t>“BBB”</w:t>
            </w:r>
          </w:p>
        </w:tc>
        <w:tc>
          <w:tcPr>
            <w:tcW w:w="0" w:type="dxa"/>
            <w:vAlign w:val="bottom"/>
          </w:tcPr>
          <w:p>
            <w:pPr>
              <w:spacing w:after="0"/>
              <w:rPr>
                <w:sz w:val="1"/>
                <w:szCs w:val="1"/>
                <w:color w:val="auto"/>
              </w:rPr>
            </w:pPr>
          </w:p>
        </w:tc>
      </w:tr>
      <w:tr>
        <w:trPr>
          <w:trHeight w:val="216"/>
        </w:trPr>
        <w:tc>
          <w:tcPr>
            <w:tcW w:w="1920" w:type="dxa"/>
            <w:vAlign w:val="bottom"/>
          </w:tcPr>
          <w:p>
            <w:pPr>
              <w:ind w:left="200"/>
              <w:spacing w:after="0"/>
              <w:rPr>
                <w:sz w:val="20"/>
                <w:szCs w:val="20"/>
                <w:color w:val="auto"/>
              </w:rPr>
            </w:pPr>
            <w:r>
              <w:rPr>
                <w:rFonts w:ascii="Arial" w:cs="Arial" w:eastAsia="Arial" w:hAnsi="Arial"/>
                <w:sz w:val="18"/>
                <w:szCs w:val="18"/>
                <w:color w:val="auto"/>
              </w:rPr>
              <w:t xml:space="preserve">Rating </w:t>
            </w:r>
            <w:r>
              <w:rPr>
                <w:rFonts w:ascii="Arial" w:cs="Arial" w:eastAsia="Arial" w:hAnsi="Arial"/>
                <w:sz w:val="18"/>
                <w:szCs w:val="18"/>
                <w:i w:val="1"/>
                <w:iCs w:val="1"/>
                <w:color w:val="auto"/>
              </w:rPr>
              <w:t>(sf)</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LIBOR + 1.50%</w:t>
            </w: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5"/>
              </w:rPr>
              <w:t>LIBOR + 3.25%</w:t>
            </w:r>
          </w:p>
        </w:tc>
        <w:tc>
          <w:tcPr>
            <w:tcW w:w="80" w:type="dxa"/>
            <w:vAlign w:val="bottom"/>
          </w:tcPr>
          <w:p>
            <w:pPr>
              <w:spacing w:after="0"/>
              <w:rPr>
                <w:sz w:val="18"/>
                <w:szCs w:val="18"/>
                <w:color w:val="auto"/>
              </w:rPr>
            </w:pPr>
          </w:p>
        </w:tc>
        <w:tc>
          <w:tcPr>
            <w:tcW w:w="1740" w:type="dxa"/>
            <w:vAlign w:val="bottom"/>
            <w:gridSpan w:val="6"/>
          </w:tcPr>
          <w:p>
            <w:pPr>
              <w:jc w:val="center"/>
              <w:ind w:right="110"/>
              <w:spacing w:after="0"/>
              <w:rPr>
                <w:sz w:val="20"/>
                <w:szCs w:val="20"/>
                <w:color w:val="auto"/>
              </w:rPr>
            </w:pPr>
            <w:r>
              <w:rPr>
                <w:rFonts w:ascii="Arial" w:cs="Arial" w:eastAsia="Arial" w:hAnsi="Arial"/>
                <w:sz w:val="18"/>
                <w:szCs w:val="18"/>
                <w:color w:val="auto"/>
                <w:w w:val="93"/>
              </w:rPr>
              <w:t>LIBOR + 4.25%</w:t>
            </w: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color w:val="auto"/>
                <w:w w:val="95"/>
              </w:rPr>
              <w:t>LIBOR + 5.25%</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Stated Maturity</w:t>
            </w: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July, 2024</w:t>
            </w: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0"/>
              </w:rPr>
              <w:t>July, 2024</w:t>
            </w:r>
          </w:p>
        </w:tc>
        <w:tc>
          <w:tcPr>
            <w:tcW w:w="80" w:type="dxa"/>
            <w:vAlign w:val="bottom"/>
          </w:tcPr>
          <w:p>
            <w:pPr>
              <w:spacing w:after="0"/>
              <w:rPr>
                <w:sz w:val="18"/>
                <w:szCs w:val="18"/>
                <w:color w:val="auto"/>
              </w:rPr>
            </w:pPr>
          </w:p>
        </w:tc>
        <w:tc>
          <w:tcPr>
            <w:tcW w:w="1740" w:type="dxa"/>
            <w:vAlign w:val="bottom"/>
            <w:gridSpan w:val="6"/>
          </w:tcPr>
          <w:p>
            <w:pPr>
              <w:jc w:val="center"/>
              <w:ind w:right="110"/>
              <w:spacing w:after="0"/>
              <w:rPr>
                <w:sz w:val="20"/>
                <w:szCs w:val="20"/>
                <w:color w:val="auto"/>
              </w:rPr>
            </w:pPr>
            <w:r>
              <w:rPr>
                <w:rFonts w:ascii="Arial" w:cs="Arial" w:eastAsia="Arial" w:hAnsi="Arial"/>
                <w:sz w:val="18"/>
                <w:szCs w:val="18"/>
                <w:color w:val="auto"/>
                <w:w w:val="90"/>
              </w:rPr>
              <w:t>July, 2024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July, 2024</w:t>
            </w: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Arial" w:cs="Arial" w:eastAsia="Arial" w:hAnsi="Arial"/>
                <w:sz w:val="18"/>
                <w:szCs w:val="18"/>
                <w:color w:val="auto"/>
              </w:rPr>
              <w:t>Junior Classes</w:t>
            </w: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B-1, C-1, D-1</w:t>
            </w:r>
          </w:p>
        </w:tc>
        <w:tc>
          <w:tcPr>
            <w:tcW w:w="8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4"/>
              </w:rPr>
              <w:t>C-1, D-1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5"/>
          </w:tcPr>
          <w:p>
            <w:pPr>
              <w:jc w:val="center"/>
              <w:ind w:right="590"/>
              <w:spacing w:after="0"/>
              <w:rPr>
                <w:sz w:val="20"/>
                <w:szCs w:val="20"/>
                <w:color w:val="auto"/>
              </w:rPr>
            </w:pPr>
            <w:r>
              <w:rPr>
                <w:rFonts w:ascii="Arial" w:cs="Arial" w:eastAsia="Arial" w:hAnsi="Arial"/>
                <w:sz w:val="18"/>
                <w:szCs w:val="18"/>
                <w:color w:val="auto"/>
                <w:w w:val="87"/>
              </w:rPr>
              <w:t>D-1 and</w:t>
            </w:r>
          </w:p>
        </w:tc>
        <w:tc>
          <w:tcPr>
            <w:tcW w:w="140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Subordinated</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and Subordinated</w:t>
            </w:r>
          </w:p>
        </w:tc>
        <w:tc>
          <w:tcPr>
            <w:tcW w:w="8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8"/>
              </w:rPr>
              <w:t>and Subordinated</w:t>
            </w:r>
          </w:p>
        </w:tc>
        <w:tc>
          <w:tcPr>
            <w:tcW w:w="80" w:type="dxa"/>
            <w:vAlign w:val="bottom"/>
          </w:tcPr>
          <w:p>
            <w:pPr>
              <w:spacing w:after="0"/>
              <w:rPr>
                <w:sz w:val="20"/>
                <w:szCs w:val="20"/>
                <w:color w:val="auto"/>
              </w:rPr>
            </w:pPr>
          </w:p>
        </w:tc>
        <w:tc>
          <w:tcPr>
            <w:tcW w:w="1740" w:type="dxa"/>
            <w:vAlign w:val="bottom"/>
            <w:gridSpan w:val="6"/>
          </w:tcPr>
          <w:p>
            <w:pPr>
              <w:jc w:val="center"/>
              <w:ind w:right="130"/>
              <w:spacing w:after="0"/>
              <w:rPr>
                <w:sz w:val="20"/>
                <w:szCs w:val="20"/>
                <w:color w:val="auto"/>
              </w:rPr>
            </w:pPr>
            <w:r>
              <w:rPr>
                <w:rFonts w:ascii="Arial" w:cs="Arial" w:eastAsia="Arial" w:hAnsi="Arial"/>
                <w:sz w:val="18"/>
                <w:szCs w:val="18"/>
                <w:color w:val="auto"/>
                <w:w w:val="89"/>
              </w:rPr>
              <w:t>Subordinated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9"/>
          </w:tcPr>
          <w:p>
            <w:pPr>
              <w:jc w:val="right"/>
              <w:ind w:right="1120"/>
              <w:spacing w:after="0"/>
              <w:rPr>
                <w:sz w:val="20"/>
                <w:szCs w:val="20"/>
                <w:color w:val="auto"/>
              </w:rPr>
            </w:pPr>
            <w:r>
              <w:rPr>
                <w:rFonts w:ascii="Arial" w:cs="Arial" w:eastAsia="Arial" w:hAnsi="Arial"/>
                <w:sz w:val="14"/>
                <w:szCs w:val="14"/>
                <w:b w:val="1"/>
                <w:bCs w:val="1"/>
                <w:color w:val="auto"/>
                <w:w w:val="90"/>
              </w:rPr>
              <w:t>As of December 31, 2013</w:t>
            </w: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w w:val="94"/>
              </w:rPr>
              <w:t>Principal 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150"/>
              <w:spacing w:after="0" w:line="160"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460" w:type="dxa"/>
            <w:vAlign w:val="bottom"/>
            <w:gridSpan w:val="3"/>
            <w:vMerge w:val="restart"/>
          </w:tcPr>
          <w:p>
            <w:pPr>
              <w:ind w:left="20"/>
              <w:spacing w:after="0"/>
              <w:rPr>
                <w:sz w:val="20"/>
                <w:szCs w:val="20"/>
                <w:color w:val="auto"/>
              </w:rPr>
            </w:pPr>
            <w:r>
              <w:rPr>
                <w:rFonts w:ascii="Arial" w:cs="Arial" w:eastAsia="Arial" w:hAnsi="Arial"/>
                <w:sz w:val="18"/>
                <w:szCs w:val="18"/>
                <w:color w:val="auto"/>
                <w:w w:val="97"/>
              </w:rPr>
              <w:t>KCAP Senior Funding LLC Class A-1 Notes</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460" w:type="dxa"/>
            <w:vAlign w:val="bottom"/>
            <w:gridSpan w:val="3"/>
            <w:vMerge w:val="continue"/>
          </w:tcPr>
          <w:p>
            <w:pPr>
              <w:spacing w:after="0"/>
              <w:rPr>
                <w:sz w:val="18"/>
                <w:szCs w:val="18"/>
                <w:color w:val="auto"/>
              </w:rPr>
            </w:pPr>
          </w:p>
        </w:tc>
        <w:tc>
          <w:tcPr>
            <w:tcW w:w="1000" w:type="dxa"/>
            <w:vAlign w:val="bottom"/>
            <w:gridSpan w:val="2"/>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4"/>
              </w:rPr>
              <w:t>$  77,250,000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9"/>
              </w:rPr>
              <w:t>74,999,932</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75,898,125</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w w:val="97"/>
              </w:rPr>
              <w:t>KCAP Senior Funding LLC Class B-1 Notes</w:t>
            </w:r>
          </w:p>
        </w:tc>
        <w:tc>
          <w:tcPr>
            <w:tcW w:w="2120" w:type="dxa"/>
            <w:vAlign w:val="bottom"/>
            <w:tcBorders>
              <w:right w:val="single" w:sz="8" w:color="CCFFCC"/>
            </w:tcBorders>
            <w:gridSpan w:val="5"/>
            <w:shd w:val="clear" w:color="auto" w:fill="CCFFCC"/>
          </w:tcPr>
          <w:p>
            <w:pPr>
              <w:jc w:val="right"/>
              <w:spacing w:after="0"/>
              <w:rPr>
                <w:sz w:val="20"/>
                <w:szCs w:val="20"/>
                <w:color w:val="auto"/>
              </w:rPr>
            </w:pPr>
            <w:r>
              <w:rPr>
                <w:rFonts w:ascii="Arial" w:cs="Arial" w:eastAsia="Arial" w:hAnsi="Arial"/>
                <w:sz w:val="18"/>
                <w:szCs w:val="18"/>
                <w:color w:val="auto"/>
              </w:rPr>
              <w:t>9,000,000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8,737,856</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8,685,000</w:t>
            </w:r>
          </w:p>
        </w:tc>
        <w:tc>
          <w:tcPr>
            <w:tcW w:w="0" w:type="dxa"/>
            <w:vAlign w:val="bottom"/>
          </w:tcPr>
          <w:p>
            <w:pPr>
              <w:spacing w:after="0"/>
              <w:rPr>
                <w:sz w:val="1"/>
                <w:szCs w:val="1"/>
                <w:color w:val="auto"/>
              </w:rPr>
            </w:pPr>
          </w:p>
        </w:tc>
      </w:tr>
      <w:tr>
        <w:trPr>
          <w:trHeight w:val="216"/>
        </w:trPr>
        <w:tc>
          <w:tcPr>
            <w:tcW w:w="3460" w:type="dxa"/>
            <w:vAlign w:val="bottom"/>
            <w:gridSpan w:val="3"/>
          </w:tcPr>
          <w:p>
            <w:pPr>
              <w:ind w:left="20"/>
              <w:spacing w:after="0"/>
              <w:rPr>
                <w:sz w:val="20"/>
                <w:szCs w:val="20"/>
                <w:color w:val="auto"/>
              </w:rPr>
            </w:pPr>
            <w:r>
              <w:rPr>
                <w:rFonts w:ascii="Arial" w:cs="Arial" w:eastAsia="Arial" w:hAnsi="Arial"/>
                <w:sz w:val="18"/>
                <w:szCs w:val="18"/>
                <w:color w:val="auto"/>
                <w:w w:val="97"/>
              </w:rPr>
              <w:t>KCAP Senior Funding LLC Class C-1 Notes</w:t>
            </w:r>
          </w:p>
        </w:tc>
        <w:tc>
          <w:tcPr>
            <w:tcW w:w="2120" w:type="dxa"/>
            <w:vAlign w:val="bottom"/>
            <w:gridSpan w:val="5"/>
          </w:tcPr>
          <w:p>
            <w:pPr>
              <w:jc w:val="right"/>
              <w:spacing w:after="0"/>
              <w:rPr>
                <w:sz w:val="20"/>
                <w:szCs w:val="20"/>
                <w:color w:val="auto"/>
              </w:rPr>
            </w:pPr>
            <w:r>
              <w:rPr>
                <w:rFonts w:ascii="Arial" w:cs="Arial" w:eastAsia="Arial" w:hAnsi="Arial"/>
                <w:sz w:val="18"/>
                <w:szCs w:val="18"/>
                <w:color w:val="auto"/>
              </w:rPr>
              <w:t>10,000,000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9,708,729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9,550,000</w:t>
            </w:r>
          </w:p>
        </w:tc>
        <w:tc>
          <w:tcPr>
            <w:tcW w:w="0" w:type="dxa"/>
            <w:vAlign w:val="bottom"/>
          </w:tcPr>
          <w:p>
            <w:pPr>
              <w:spacing w:after="0"/>
              <w:rPr>
                <w:sz w:val="1"/>
                <w:szCs w:val="1"/>
                <w:color w:val="auto"/>
              </w:rPr>
            </w:pPr>
          </w:p>
        </w:tc>
      </w:tr>
      <w:tr>
        <w:trPr>
          <w:trHeight w:val="216"/>
        </w:trPr>
        <w:tc>
          <w:tcPr>
            <w:tcW w:w="34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w w:val="97"/>
              </w:rPr>
              <w:t>KCAP Senior Funding LLC Class D-1 Notes</w:t>
            </w:r>
          </w:p>
        </w:tc>
        <w:tc>
          <w:tcPr>
            <w:tcW w:w="1000" w:type="dxa"/>
            <w:vAlign w:val="bottom"/>
            <w:gridSpan w:val="2"/>
            <w:shd w:val="clear" w:color="auto" w:fill="CCFFCC"/>
          </w:tcPr>
          <w:p>
            <w:pPr>
              <w:spacing w:after="0"/>
              <w:rPr>
                <w:sz w:val="18"/>
                <w:szCs w:val="18"/>
                <w:color w:val="auto"/>
              </w:rPr>
            </w:pPr>
          </w:p>
        </w:tc>
        <w:tc>
          <w:tcPr>
            <w:tcW w:w="112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9,000,000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8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8,737,856</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8,550,000</w:t>
            </w:r>
          </w:p>
        </w:tc>
        <w:tc>
          <w:tcPr>
            <w:tcW w:w="0" w:type="dxa"/>
            <w:vAlign w:val="bottom"/>
          </w:tcPr>
          <w:p>
            <w:pPr>
              <w:spacing w:after="0"/>
              <w:rPr>
                <w:sz w:val="1"/>
                <w:szCs w:val="1"/>
                <w:color w:val="auto"/>
              </w:rPr>
            </w:pPr>
          </w:p>
        </w:tc>
      </w:tr>
      <w:tr>
        <w:trPr>
          <w:trHeight w:val="20"/>
        </w:trPr>
        <w:tc>
          <w:tcPr>
            <w:tcW w:w="19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48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tcPr>
          <w:p>
            <w:pPr>
              <w:ind w:left="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20" w:type="dxa"/>
            <w:vAlign w:val="bottom"/>
            <w:gridSpan w:val="5"/>
          </w:tcPr>
          <w:p>
            <w:pPr>
              <w:jc w:val="right"/>
              <w:spacing w:after="0"/>
              <w:rPr>
                <w:sz w:val="20"/>
                <w:szCs w:val="20"/>
                <w:color w:val="auto"/>
              </w:rPr>
            </w:pPr>
            <w:r>
              <w:rPr>
                <w:rFonts w:ascii="Arial" w:cs="Arial" w:eastAsia="Arial" w:hAnsi="Arial"/>
                <w:sz w:val="18"/>
                <w:szCs w:val="18"/>
                <w:color w:val="auto"/>
              </w:rPr>
              <w:t>$ 105,250,000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89"/>
              </w:rPr>
              <w:t>102,184,373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102,683,125</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-1165860</wp:posOffset>
            </wp:positionV>
            <wp:extent cx="51885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Fair Value of KCAP Senior Funding-I. </w:t>
      </w:r>
      <w:r>
        <w:rPr>
          <w:rFonts w:ascii="Arial" w:cs="Arial" w:eastAsia="Arial" w:hAnsi="Arial"/>
          <w:sz w:val="17"/>
          <w:szCs w:val="17"/>
          <w:color w:val="auto"/>
        </w:rPr>
        <w:t>The Company carries the KCAP Senior Funding-I Notes at cost, net of discount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$3,065,627. The fair value of the KCAP Senior Funding-I Notes was approximately $102.7 million at December 31, 2013. The fair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values were determined based on third party indicative values.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DISTRIBUTABLE TAXABLE INCOME</w:t>
      </w:r>
    </w:p>
    <w:p>
      <w:pPr>
        <w:spacing w:after="0" w:line="121" w:lineRule="exact"/>
        <w:rPr>
          <w:sz w:val="20"/>
          <w:szCs w:val="20"/>
          <w:color w:val="auto"/>
        </w:rPr>
      </w:pPr>
    </w:p>
    <w:p>
      <w:pPr>
        <w:ind w:left="60" w:right="579" w:firstLine="270"/>
        <w:spacing w:after="0" w:line="270"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dividends,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2013).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2013.</w:t>
      </w:r>
    </w:p>
    <w:p>
      <w:pPr>
        <w:spacing w:after="0" w:line="200" w:lineRule="exact"/>
        <w:rPr>
          <w:sz w:val="20"/>
          <w:szCs w:val="20"/>
          <w:color w:val="auto"/>
        </w:rPr>
      </w:pPr>
    </w:p>
    <w:p>
      <w:pPr>
        <w:spacing w:after="0" w:line="31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4" w:name="page115"/>
    <w:bookmarkEnd w:id="11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7. DISTRIBUTABLE TAXABLE INCOME – (continued)</w:t>
      </w:r>
    </w:p>
    <w:p>
      <w:pPr>
        <w:spacing w:after="0" w:line="1" w:lineRule="exact"/>
        <w:rPr>
          <w:sz w:val="20"/>
          <w:szCs w:val="20"/>
          <w:color w:val="auto"/>
        </w:rPr>
      </w:pPr>
    </w:p>
    <w:p>
      <w:pPr>
        <w:ind w:left="60" w:right="759" w:firstLine="270"/>
        <w:spacing w:after="0" w:line="269" w:lineRule="auto"/>
        <w:rPr>
          <w:sz w:val="20"/>
          <w:szCs w:val="20"/>
          <w:color w:val="auto"/>
        </w:rPr>
      </w:pPr>
      <w:r>
        <w:rPr>
          <w:rFonts w:ascii="Arial" w:cs="Arial" w:eastAsia="Arial" w:hAnsi="Arial"/>
          <w:sz w:val="18"/>
          <w:szCs w:val="18"/>
          <w:color w:val="auto"/>
        </w:rPr>
        <w:t>The following reconciles net increase in net assets resulting from operations to taxable income for the years ended December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060" w:type="dxa"/>
            <w:vAlign w:val="bottom"/>
            <w:vMerge w:val="restart"/>
          </w:tcPr>
          <w:p>
            <w:pPr>
              <w:ind w:left="20"/>
              <w:spacing w:after="0"/>
              <w:rPr>
                <w:sz w:val="20"/>
                <w:szCs w:val="20"/>
                <w:color w:val="auto"/>
              </w:rPr>
            </w:pPr>
            <w:r>
              <w:rPr>
                <w:rFonts w:ascii="Arial" w:cs="Arial" w:eastAsia="Arial" w:hAnsi="Arial"/>
                <w:sz w:val="18"/>
                <w:szCs w:val="18"/>
                <w:color w:val="auto"/>
              </w:rPr>
              <w:t>Net increase in Stockholders’ Equity resulting from operations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17,222,972</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26,125,778</w:t>
            </w: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change in unrealized (appreciation) from investments</w:t>
            </w: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(894,647)</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(5,268,339)</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Excess capital losses over capital gains</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12,627,314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3,232,975</w:t>
            </w: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not on GAAP books currently taxable</w:t>
            </w: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170,733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81,368</w:t>
            </w: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Income not currently taxable</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(91,354)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(69,539)</w:t>
            </w:r>
          </w:p>
        </w:tc>
        <w:tc>
          <w:tcPr>
            <w:tcW w:w="0" w:type="dxa"/>
            <w:vAlign w:val="bottom"/>
          </w:tcPr>
          <w:p>
            <w:pPr>
              <w:spacing w:after="0"/>
              <w:rPr>
                <w:sz w:val="1"/>
                <w:szCs w:val="1"/>
                <w:color w:val="auto"/>
              </w:rPr>
            </w:pPr>
          </w:p>
        </w:tc>
      </w:tr>
      <w:tr>
        <w:trPr>
          <w:trHeight w:val="216"/>
        </w:trPr>
        <w:tc>
          <w:tcPr>
            <w:tcW w:w="506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Expenses not currently deductible</w:t>
            </w: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261,128</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(628,328)</w:t>
            </w:r>
          </w:p>
        </w:tc>
        <w:tc>
          <w:tcPr>
            <w:tcW w:w="0" w:type="dxa"/>
            <w:vAlign w:val="bottom"/>
          </w:tcPr>
          <w:p>
            <w:pPr>
              <w:spacing w:after="0"/>
              <w:rPr>
                <w:sz w:val="1"/>
                <w:szCs w:val="1"/>
                <w:color w:val="auto"/>
              </w:rPr>
            </w:pPr>
          </w:p>
        </w:tc>
      </w:tr>
      <w:tr>
        <w:trPr>
          <w:trHeight w:val="20"/>
        </w:trPr>
        <w:tc>
          <w:tcPr>
            <w:tcW w:w="50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8"/>
                <w:szCs w:val="18"/>
                <w:color w:val="auto"/>
              </w:rPr>
              <w:t>Taxable income before deductions for distributions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29,296,146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23,473,915</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060" w:type="dxa"/>
            <w:vAlign w:val="bottom"/>
            <w:shd w:val="clear" w:color="auto" w:fill="CCFFCC"/>
          </w:tcPr>
          <w:p>
            <w:pPr>
              <w:ind w:left="20"/>
              <w:spacing w:after="0" w:line="195" w:lineRule="exact"/>
              <w:rPr>
                <w:sz w:val="20"/>
                <w:szCs w:val="20"/>
                <w:color w:val="auto"/>
              </w:rPr>
            </w:pPr>
            <w:r>
              <w:rPr>
                <w:rFonts w:ascii="Arial" w:cs="Arial" w:eastAsia="Arial" w:hAnsi="Arial"/>
                <w:sz w:val="18"/>
                <w:szCs w:val="18"/>
                <w:color w:val="auto"/>
                <w:w w:val="98"/>
              </w:rPr>
              <w:t>Taxable income before deductions for distributions per weighted</w:t>
            </w:r>
          </w:p>
        </w:tc>
        <w:tc>
          <w:tcPr>
            <w:tcW w:w="12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0.91</w:t>
            </w:r>
          </w:p>
        </w:tc>
        <w:tc>
          <w:tcPr>
            <w:tcW w:w="340" w:type="dxa"/>
            <w:vAlign w:val="bottom"/>
            <w:gridSpan w:val="2"/>
            <w:shd w:val="clear" w:color="auto" w:fill="CCFFCC"/>
          </w:tcPr>
          <w:p>
            <w:pPr>
              <w:jc w:val="right"/>
              <w:spacing w:after="0" w:line="195"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line="195"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30"/>
        </w:trPr>
        <w:tc>
          <w:tcPr>
            <w:tcW w:w="50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average shares for the period</w:t>
            </w: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-454025</wp:posOffset>
            </wp:positionV>
            <wp:extent cx="4751070" cy="1803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59" w:firstLine="270"/>
        <w:spacing w:after="0" w:line="257" w:lineRule="auto"/>
        <w:rPr>
          <w:sz w:val="20"/>
          <w:szCs w:val="20"/>
          <w:color w:val="auto"/>
        </w:rPr>
      </w:pPr>
      <w:r>
        <w:rPr>
          <w:rFonts w:ascii="Arial" w:cs="Arial" w:eastAsia="Arial" w:hAnsi="Arial"/>
          <w:sz w:val="18"/>
          <w:szCs w:val="18"/>
          <w:color w:val="auto"/>
        </w:rPr>
        <w:t>Tax-basis taxable income differs from net increase (decrease) in net assets resulting from operations primarily due to: (1) unrealized appreciation (depreciation) on investments, as investment gains and losses are not included in tax-basis taxable income until they are realized; (2) amortization of discount on CLO Fund securities; (3) amortization of organizational costs; (4) non-deductible expenses; (5) stock compensation expense that is not currently deductible for tax purposes; (6) excess of capital losses over capital gains; and (7) recognition of interest income on certain loans.</w:t>
      </w:r>
    </w:p>
    <w:p>
      <w:pPr>
        <w:spacing w:after="0" w:line="80" w:lineRule="exact"/>
        <w:rPr>
          <w:sz w:val="20"/>
          <w:szCs w:val="20"/>
          <w:color w:val="auto"/>
        </w:rPr>
      </w:pPr>
    </w:p>
    <w:p>
      <w:pPr>
        <w:ind w:left="60" w:right="659" w:firstLine="270"/>
        <w:spacing w:after="0" w:line="262" w:lineRule="auto"/>
        <w:rPr>
          <w:sz w:val="20"/>
          <w:szCs w:val="20"/>
          <w:color w:val="auto"/>
        </w:rPr>
      </w:pPr>
      <w:r>
        <w:rPr>
          <w:rFonts w:ascii="Arial" w:cs="Arial" w:eastAsia="Arial" w:hAnsi="Arial"/>
          <w:sz w:val="18"/>
          <w:szCs w:val="18"/>
          <w:color w:val="auto"/>
        </w:rPr>
        <w:t>Distributions which exceed tax distributable income (tax net investment income and realized gains, if any) are reported as distributions of paid-in capital (</w:t>
      </w:r>
      <w:r>
        <w:rPr>
          <w:rFonts w:ascii="Arial" w:cs="Arial" w:eastAsia="Arial" w:hAnsi="Arial"/>
          <w:sz w:val="18"/>
          <w:szCs w:val="18"/>
          <w:i w:val="1"/>
          <w:iCs w:val="1"/>
          <w:color w:val="auto"/>
        </w:rPr>
        <w:t>i.e.</w:t>
      </w:r>
      <w:r>
        <w:rPr>
          <w:rFonts w:ascii="Arial" w:cs="Arial" w:eastAsia="Arial" w:hAnsi="Arial"/>
          <w:sz w:val="18"/>
          <w:szCs w:val="18"/>
          <w:color w:val="auto"/>
        </w:rPr>
        <w:t>, return of capital). The tax character of distributions paid during the years ended December 31, 2013, 2012, and 2011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47339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0"/>
              </w:rPr>
              <w:t>Year Ended December 31,</w:t>
            </w: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Distributions paid from:</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Ordinary income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5"/>
              </w:rPr>
              <w:t>29,296,146</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23,473,915</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3"/>
              </w:rPr>
              <w:t>15,890,800</w:t>
            </w:r>
          </w:p>
        </w:tc>
        <w:tc>
          <w:tcPr>
            <w:tcW w:w="0" w:type="dxa"/>
            <w:vAlign w:val="bottom"/>
          </w:tcPr>
          <w:p>
            <w:pPr>
              <w:spacing w:after="0"/>
              <w:rPr>
                <w:sz w:val="1"/>
                <w:szCs w:val="1"/>
                <w:color w:val="auto"/>
              </w:rPr>
            </w:pPr>
          </w:p>
        </w:tc>
      </w:tr>
      <w:tr>
        <w:trPr>
          <w:trHeight w:val="20"/>
        </w:trPr>
        <w:tc>
          <w:tcPr>
            <w:tcW w:w="37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29,296,146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23,473,915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15,890,800</w:t>
            </w:r>
          </w:p>
        </w:tc>
        <w:tc>
          <w:tcPr>
            <w:tcW w:w="0" w:type="dxa"/>
            <w:vAlign w:val="bottom"/>
          </w:tcPr>
          <w:p>
            <w:pPr>
              <w:spacing w:after="0"/>
              <w:rPr>
                <w:sz w:val="1"/>
                <w:szCs w:val="1"/>
                <w:color w:val="auto"/>
              </w:rPr>
            </w:pPr>
          </w:p>
        </w:tc>
      </w:tr>
      <w:tr>
        <w:trPr>
          <w:trHeight w:val="216"/>
        </w:trPr>
        <w:tc>
          <w:tcPr>
            <w:tcW w:w="3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Return of Capital</w:t>
            </w:r>
          </w:p>
        </w:tc>
        <w:tc>
          <w:tcPr>
            <w:tcW w:w="160" w:type="dxa"/>
            <w:vAlign w:val="bottom"/>
            <w:shd w:val="clear" w:color="auto" w:fill="CCFFCC"/>
          </w:tcPr>
          <w:p>
            <w:pPr>
              <w:spacing w:after="0"/>
              <w:rPr>
                <w:sz w:val="18"/>
                <w:szCs w:val="18"/>
                <w:color w:val="auto"/>
              </w:rPr>
            </w:pPr>
          </w:p>
        </w:tc>
        <w:tc>
          <w:tcPr>
            <w:tcW w:w="9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5,864,993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1,334,916</w:t>
            </w:r>
          </w:p>
        </w:tc>
        <w:tc>
          <w:tcPr>
            <w:tcW w:w="1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(114,461)</w:t>
            </w:r>
          </w:p>
        </w:tc>
        <w:tc>
          <w:tcPr>
            <w:tcW w:w="0" w:type="dxa"/>
            <w:vAlign w:val="bottom"/>
          </w:tcPr>
          <w:p>
            <w:pPr>
              <w:spacing w:after="0"/>
              <w:rPr>
                <w:sz w:val="1"/>
                <w:szCs w:val="1"/>
                <w:color w:val="auto"/>
              </w:rPr>
            </w:pPr>
          </w:p>
        </w:tc>
      </w:tr>
      <w:tr>
        <w:trPr>
          <w:trHeight w:val="20"/>
        </w:trPr>
        <w:tc>
          <w:tcPr>
            <w:tcW w:w="37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35,161,139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24,808,831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15,776,339</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-462280</wp:posOffset>
            </wp:positionV>
            <wp:extent cx="475107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and 2012, the components of accumulated earnings on a tax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339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5020" w:type="dxa"/>
            <w:vAlign w:val="bottom"/>
            <w:vMerge w:val="restart"/>
          </w:tcPr>
          <w:p>
            <w:pPr>
              <w:ind w:left="20"/>
              <w:spacing w:after="0"/>
              <w:rPr>
                <w:sz w:val="20"/>
                <w:szCs w:val="20"/>
                <w:color w:val="auto"/>
              </w:rPr>
            </w:pPr>
            <w:r>
              <w:rPr>
                <w:rFonts w:ascii="Arial" w:cs="Arial" w:eastAsia="Arial" w:hAnsi="Arial"/>
                <w:sz w:val="18"/>
                <w:szCs w:val="18"/>
                <w:color w:val="auto"/>
              </w:rPr>
              <w:t>Distributable ordinary income</w:t>
            </w: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10"/>
        </w:trPr>
        <w:tc>
          <w:tcPr>
            <w:tcW w:w="5020" w:type="dxa"/>
            <w:vAlign w:val="bottom"/>
            <w:vMerge w:val="continue"/>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w w:val="97"/>
              </w:rPr>
              <w:t>$  1,223,060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1,563,568</w:t>
            </w:r>
          </w:p>
        </w:tc>
        <w:tc>
          <w:tcPr>
            <w:tcW w:w="0" w:type="dxa"/>
            <w:vAlign w:val="bottom"/>
          </w:tcPr>
          <w:p>
            <w:pPr>
              <w:spacing w:after="0"/>
              <w:rPr>
                <w:sz w:val="1"/>
                <w:szCs w:val="1"/>
                <w:color w:val="auto"/>
              </w:rPr>
            </w:pPr>
          </w:p>
        </w:tc>
      </w:tr>
      <w:tr>
        <w:trPr>
          <w:trHeight w:val="216"/>
        </w:trPr>
        <w:tc>
          <w:tcPr>
            <w:tcW w:w="5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Capital loss carryforward</w:t>
            </w:r>
          </w:p>
        </w:tc>
        <w:tc>
          <w:tcPr>
            <w:tcW w:w="1100" w:type="dxa"/>
            <w:vAlign w:val="bottom"/>
            <w:shd w:val="clear" w:color="auto" w:fill="CCFFCC"/>
          </w:tcPr>
          <w:p>
            <w:pPr>
              <w:jc w:val="right"/>
              <w:ind w:right="17"/>
              <w:spacing w:after="0"/>
              <w:rPr>
                <w:sz w:val="20"/>
                <w:szCs w:val="20"/>
                <w:color w:val="auto"/>
              </w:rPr>
            </w:pPr>
            <w:r>
              <w:rPr>
                <w:rFonts w:ascii="Arial" w:cs="Arial" w:eastAsia="Arial" w:hAnsi="Arial"/>
                <w:sz w:val="18"/>
                <w:szCs w:val="18"/>
                <w:color w:val="auto"/>
              </w:rPr>
              <w:t>66,361,708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6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w w:val="99"/>
              </w:rPr>
              <w:t>53,734,394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Net unrealized depreciation</w:t>
            </w:r>
          </w:p>
        </w:tc>
        <w:tc>
          <w:tcPr>
            <w:tcW w:w="1100" w:type="dxa"/>
            <w:vAlign w:val="bottom"/>
          </w:tcPr>
          <w:p>
            <w:pPr>
              <w:jc w:val="right"/>
              <w:spacing w:after="0"/>
              <w:rPr>
                <w:sz w:val="20"/>
                <w:szCs w:val="20"/>
                <w:color w:val="auto"/>
              </w:rPr>
            </w:pPr>
            <w:r>
              <w:rPr>
                <w:rFonts w:ascii="Arial" w:cs="Arial" w:eastAsia="Arial" w:hAnsi="Arial"/>
                <w:sz w:val="18"/>
                <w:szCs w:val="18"/>
                <w:color w:val="auto"/>
              </w:rPr>
              <w:t>(45,607,926)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(46,502,573)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639" w:firstLine="270"/>
        <w:spacing w:after="0" w:line="342" w:lineRule="auto"/>
        <w:rPr>
          <w:sz w:val="20"/>
          <w:szCs w:val="20"/>
          <w:color w:val="auto"/>
        </w:rPr>
      </w:pPr>
      <w:r>
        <w:rPr>
          <w:rFonts w:ascii="Arial" w:cs="Arial" w:eastAsia="Arial" w:hAnsi="Arial"/>
          <w:sz w:val="16"/>
          <w:szCs w:val="16"/>
          <w:color w:val="auto"/>
        </w:rPr>
        <w:t>At December 31, 2013, the Company had a net capital loss carryforward of $66 million to offset net capital gains, to the extent provided by federal tax law. The capital loss carryforward will begin to expire in the tax year ending December 31, 2015.</w:t>
      </w:r>
    </w:p>
    <w:p>
      <w:pPr>
        <w:spacing w:after="0" w:line="200" w:lineRule="exact"/>
        <w:rPr>
          <w:sz w:val="20"/>
          <w:szCs w:val="20"/>
          <w:color w:val="auto"/>
        </w:rPr>
      </w:pPr>
    </w:p>
    <w:p>
      <w:pPr>
        <w:spacing w:after="0" w:line="27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7. DISTRIBUTABLE TAXABLE INCOME – (continued)</w:t>
      </w:r>
    </w:p>
    <w:p>
      <w:pPr>
        <w:spacing w:after="0" w:line="1" w:lineRule="exact"/>
        <w:rPr>
          <w:sz w:val="20"/>
          <w:szCs w:val="20"/>
          <w:color w:val="auto"/>
        </w:rPr>
      </w:pPr>
    </w:p>
    <w:p>
      <w:pPr>
        <w:ind w:left="40" w:right="599" w:firstLine="270"/>
        <w:spacing w:after="0" w:line="287"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40" w:right="619" w:firstLine="270"/>
        <w:spacing w:after="0" w:line="272" w:lineRule="auto"/>
        <w:rPr>
          <w:sz w:val="20"/>
          <w:szCs w:val="20"/>
          <w:color w:val="auto"/>
        </w:rPr>
      </w:pPr>
      <w:r>
        <w:rPr>
          <w:rFonts w:ascii="Arial" w:cs="Arial" w:eastAsia="Arial" w:hAnsi="Arial"/>
          <w:sz w:val="17"/>
          <w:szCs w:val="17"/>
          <w:color w:val="auto"/>
        </w:rPr>
        <w:t>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December 31, 2013 and December 31, 2012, the Company had no commitments. As of December 31, 2013 and December 31, 2012, the Company had no outstanding commitment to make investments in delayed draw senior secured loans.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During the years ended December 31, 2013 and December 31, 2012, the Company issued 71,381 and 76,208 shares, respectively, of common stock under its dividend reinvestment plan. For the year ended December 31, 2013, the Company issued 245,741 shares of restricted stock, no shares were forfeited, and 5,000 shares were vested.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The total number of shares of the Company’s common stock issued and outstanding as of December 31, 2013 was 33,332,123, and the total number of shares issued and outstanding as of December 31, 2012 was 26,470,408.</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EQUITY INCENTIVE PLAN</w:t>
      </w:r>
    </w:p>
    <w:p>
      <w:pPr>
        <w:spacing w:after="0" w:line="121" w:lineRule="exact"/>
        <w:rPr>
          <w:sz w:val="20"/>
          <w:szCs w:val="20"/>
          <w:color w:val="auto"/>
        </w:rPr>
      </w:pPr>
    </w:p>
    <w:p>
      <w:pPr>
        <w:ind w:left="40" w:right="579" w:firstLine="270"/>
        <w:spacing w:after="0" w:line="293" w:lineRule="auto"/>
        <w:rPr>
          <w:sz w:val="20"/>
          <w:szCs w:val="20"/>
          <w:color w:val="auto"/>
        </w:rPr>
      </w:pPr>
      <w:r>
        <w:rPr>
          <w:rFonts w:ascii="Arial" w:cs="Arial" w:eastAsia="Arial" w:hAnsi="Arial"/>
          <w:sz w:val="16"/>
          <w:szCs w:val="16"/>
          <w:color w:val="auto"/>
        </w:rPr>
        <w:t>During 2006 and as amended in 2008, the Company established the equity incentive plan, (the “Equity Incentive Plan”) and reserved 2,000,000 shares of common stock for issuance under the Equity Incentive Plan. The purpose of the Equity Incentive Plan is to provide officers and prospective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6" w:name="page117"/>
    <w:bookmarkEnd w:id="11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340" w:right="6339" w:hanging="272"/>
        <w:spacing w:after="0" w:line="378" w:lineRule="auto"/>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INCENTIVE PLAN – (continued) </w:t>
      </w:r>
      <w:r>
        <w:rPr>
          <w:rFonts w:ascii="Arial" w:cs="Arial" w:eastAsia="Arial" w:hAnsi="Arial"/>
          <w:sz w:val="18"/>
          <w:szCs w:val="18"/>
          <w:i w:val="1"/>
          <w:iCs w:val="1"/>
          <w:color w:val="auto"/>
        </w:rPr>
        <w:t>Stock Options</w:t>
      </w:r>
    </w:p>
    <w:p>
      <w:pPr>
        <w:ind w:left="60" w:right="699" w:firstLine="270"/>
        <w:spacing w:after="0" w:line="259" w:lineRule="auto"/>
        <w:rPr>
          <w:sz w:val="20"/>
          <w:szCs w:val="20"/>
          <w:color w:val="auto"/>
        </w:rPr>
      </w:pPr>
      <w:r>
        <w:rPr>
          <w:rFonts w:ascii="Arial" w:cs="Arial" w:eastAsia="Arial" w:hAnsi="Arial"/>
          <w:sz w:val="18"/>
          <w:szCs w:val="18"/>
          <w:color w:val="auto"/>
        </w:rPr>
        <w:t>On June 10, 2011, the Company’s shareholders approved the Amended and Restated Non-Employee Director Plan (the “Non-Employee Director Plan”). Accordingly, the annual grant of 20,000 options to non-employee directors has been discontinued and replaced with an annual grant of 4,000 shares of restricted stock as partial annual compensation for the services of the non-employee directors.</w:t>
      </w:r>
    </w:p>
    <w:p>
      <w:pPr>
        <w:spacing w:after="0" w:line="79" w:lineRule="exact"/>
        <w:rPr>
          <w:sz w:val="20"/>
          <w:szCs w:val="20"/>
          <w:color w:val="auto"/>
        </w:rPr>
      </w:pPr>
    </w:p>
    <w:p>
      <w:pPr>
        <w:ind w:left="60" w:right="759" w:firstLine="270"/>
        <w:spacing w:after="0" w:line="269"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2011 through December 31, 2013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Aggregate</w:t>
            </w:r>
          </w:p>
        </w:tc>
      </w:tr>
      <w:tr>
        <w:trPr>
          <w:trHeight w:val="149"/>
        </w:trPr>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per</w:t>
            </w:r>
          </w:p>
        </w:tc>
        <w:tc>
          <w:tcPr>
            <w:tcW w:w="1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Remaining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Intrinsic</w:t>
            </w:r>
          </w:p>
        </w:tc>
      </w:tr>
      <w:tr>
        <w:trPr>
          <w:trHeight w:val="212"/>
        </w:trPr>
        <w:tc>
          <w:tcPr>
            <w:tcW w:w="3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4"/>
              <w:spacing w:after="0" w:line="212" w:lineRule="exact"/>
              <w:rPr>
                <w:sz w:val="20"/>
                <w:szCs w:val="20"/>
                <w:color w:val="auto"/>
              </w:rPr>
            </w:pPr>
            <w:r>
              <w:rPr>
                <w:rFonts w:ascii="Arial" w:cs="Arial" w:eastAsia="Arial" w:hAnsi="Arial"/>
                <w:sz w:val="14"/>
                <w:szCs w:val="14"/>
                <w:b w:val="1"/>
                <w:bCs w:val="1"/>
                <w:color w:val="auto"/>
                <w:w w:val="85"/>
              </w:rPr>
              <w:t>Value</w:t>
            </w:r>
            <w:r>
              <w:rPr>
                <w:rFonts w:ascii="Arial" w:cs="Arial" w:eastAsia="Arial" w:hAnsi="Arial"/>
                <w:sz w:val="23"/>
                <w:szCs w:val="23"/>
                <w:b w:val="1"/>
                <w:bCs w:val="1"/>
                <w:color w:val="auto"/>
                <w:w w:val="85"/>
                <w:vertAlign w:val="superscript"/>
              </w:rPr>
              <w:t>(1)</w:t>
            </w:r>
          </w:p>
        </w:tc>
      </w:tr>
      <w:tr>
        <w:trPr>
          <w:trHeight w:val="210"/>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Options outstanding at January 1, 2012</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94"/>
              <w:spacing w:after="0"/>
              <w:rPr>
                <w:sz w:val="20"/>
                <w:szCs w:val="20"/>
                <w:color w:val="auto"/>
              </w:rPr>
            </w:pPr>
            <w:r>
              <w:rPr>
                <w:rFonts w:ascii="Arial" w:cs="Arial" w:eastAsia="Arial" w:hAnsi="Arial"/>
                <w:sz w:val="18"/>
                <w:szCs w:val="18"/>
                <w:color w:val="auto"/>
              </w:rPr>
              <w:t>7.24</w:t>
            </w:r>
          </w:p>
        </w:tc>
        <w:tc>
          <w:tcPr>
            <w:tcW w:w="16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Exercised</w:t>
            </w: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5"/>
        </w:trPr>
        <w:tc>
          <w:tcPr>
            <w:tcW w:w="3220" w:type="dxa"/>
            <w:vAlign w:val="bottom"/>
            <w:shd w:val="clear" w:color="auto" w:fill="CCFFCC"/>
          </w:tcPr>
          <w:p>
            <w:pPr>
              <w:ind w:left="20"/>
              <w:spacing w:after="0" w:line="195" w:lineRule="exact"/>
              <w:rPr>
                <w:sz w:val="20"/>
                <w:szCs w:val="20"/>
                <w:color w:val="auto"/>
              </w:rPr>
            </w:pPr>
            <w:r>
              <w:rPr>
                <w:rFonts w:ascii="Arial" w:cs="Arial" w:eastAsia="Arial" w:hAnsi="Arial"/>
                <w:sz w:val="18"/>
                <w:szCs w:val="18"/>
                <w:color w:val="auto"/>
              </w:rPr>
              <w:t>Options outstanding at December 31,</w:t>
            </w:r>
          </w:p>
        </w:tc>
        <w:tc>
          <w:tcPr>
            <w:tcW w:w="760" w:type="dxa"/>
            <w:vAlign w:val="bottom"/>
            <w:gridSpan w:val="2"/>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60,000</w:t>
            </w:r>
          </w:p>
        </w:tc>
        <w:tc>
          <w:tcPr>
            <w:tcW w:w="260" w:type="dxa"/>
            <w:vAlign w:val="bottom"/>
            <w:gridSpan w:val="2"/>
            <w:shd w:val="clear" w:color="auto" w:fill="CCFFCC"/>
          </w:tcPr>
          <w:p>
            <w:pPr>
              <w:jc w:val="right"/>
              <w:spacing w:after="0" w:line="195" w:lineRule="exact"/>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94"/>
              <w:spacing w:after="0" w:line="195" w:lineRule="exact"/>
              <w:rPr>
                <w:sz w:val="20"/>
                <w:szCs w:val="20"/>
                <w:color w:val="auto"/>
              </w:rPr>
            </w:pPr>
            <w:r>
              <w:rPr>
                <w:rFonts w:ascii="Arial" w:cs="Arial" w:eastAsia="Arial" w:hAnsi="Arial"/>
                <w:sz w:val="18"/>
                <w:szCs w:val="18"/>
                <w:color w:val="auto"/>
              </w:rPr>
              <w:t>7.24</w:t>
            </w:r>
          </w:p>
        </w:tc>
        <w:tc>
          <w:tcPr>
            <w:tcW w:w="160" w:type="dxa"/>
            <w:vAlign w:val="bottom"/>
            <w:shd w:val="clear" w:color="auto" w:fill="CCFFCC"/>
          </w:tcPr>
          <w:p>
            <w:pPr>
              <w:spacing w:after="0"/>
              <w:rPr>
                <w:sz w:val="16"/>
                <w:szCs w:val="16"/>
                <w:color w:val="auto"/>
              </w:rPr>
            </w:pPr>
          </w:p>
        </w:tc>
        <w:tc>
          <w:tcPr>
            <w:tcW w:w="14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r>
      <w:tr>
        <w:trPr>
          <w:trHeight w:val="230"/>
        </w:trPr>
        <w:tc>
          <w:tcPr>
            <w:tcW w:w="32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2012</w:t>
            </w:r>
          </w:p>
        </w:tc>
        <w:tc>
          <w:tcPr>
            <w:tcW w:w="6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Exercised</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0"/>
        </w:trPr>
        <w:tc>
          <w:tcPr>
            <w:tcW w:w="3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Outstanding at December 31, 2013</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FFCC"/>
            </w:tcBorders>
            <w:shd w:val="clear" w:color="auto" w:fill="CCFFCC"/>
          </w:tcPr>
          <w:p>
            <w:pPr>
              <w:jc w:val="right"/>
              <w:ind w:right="9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FFCC"/>
            </w:tcBorders>
            <w:gridSpan w:val="2"/>
            <w:shd w:val="clear" w:color="auto" w:fill="CCFFCC"/>
          </w:tcPr>
          <w:p>
            <w:pPr>
              <w:jc w:val="right"/>
              <w:ind w:right="188"/>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FFCC"/>
            </w:tcBorders>
            <w:shd w:val="clear" w:color="auto" w:fill="CCFFCC"/>
          </w:tcPr>
          <w:p>
            <w:pPr>
              <w:jc w:val="right"/>
              <w:ind w:right="4"/>
              <w:spacing w:after="0"/>
              <w:rPr>
                <w:sz w:val="20"/>
                <w:szCs w:val="20"/>
                <w:color w:val="auto"/>
              </w:rPr>
            </w:pPr>
            <w:r>
              <w:rPr>
                <w:rFonts w:ascii="Arial" w:cs="Arial" w:eastAsia="Arial" w:hAnsi="Arial"/>
                <w:sz w:val="18"/>
                <w:szCs w:val="18"/>
                <w:color w:val="auto"/>
              </w:rPr>
              <w:t>127,600</w:t>
            </w:r>
          </w:p>
        </w:tc>
      </w:tr>
      <w:tr>
        <w:trPr>
          <w:trHeight w:val="224"/>
        </w:trPr>
        <w:tc>
          <w:tcPr>
            <w:tcW w:w="3220" w:type="dxa"/>
            <w:vAlign w:val="bottom"/>
          </w:tcPr>
          <w:p>
            <w:pPr>
              <w:ind w:left="20"/>
              <w:spacing w:after="0"/>
              <w:rPr>
                <w:sz w:val="20"/>
                <w:szCs w:val="20"/>
                <w:color w:val="auto"/>
              </w:rPr>
            </w:pPr>
            <w:r>
              <w:rPr>
                <w:rFonts w:ascii="Arial" w:cs="Arial" w:eastAsia="Arial" w:hAnsi="Arial"/>
                <w:sz w:val="18"/>
                <w:szCs w:val="18"/>
                <w:color w:val="auto"/>
              </w:rPr>
              <w:t>Total vested at December 31, 2013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7.72</w:t>
            </w:r>
          </w:p>
        </w:tc>
        <w:tc>
          <w:tcPr>
            <w:tcW w:w="1640" w:type="dxa"/>
            <w:vAlign w:val="bottom"/>
            <w:gridSpan w:val="2"/>
          </w:tcPr>
          <w:p>
            <w:pPr>
              <w:jc w:val="right"/>
              <w:ind w:right="188"/>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00" w:right="879" w:hanging="272"/>
        <w:spacing w:after="0" w:line="277"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the difference between the market value of shares of the Company upon exercise of the options at December 31, 2013 and the cost for the option holders to exercise the options.</w:t>
      </w:r>
    </w:p>
    <w:p>
      <w:pPr>
        <w:spacing w:after="0" w:line="62" w:lineRule="exact"/>
        <w:rPr>
          <w:sz w:val="20"/>
          <w:szCs w:val="20"/>
          <w:color w:val="auto"/>
        </w:rPr>
      </w:pPr>
    </w:p>
    <w:p>
      <w:pPr>
        <w:jc w:val="both"/>
        <w:ind w:left="60" w:right="759" w:firstLine="270"/>
        <w:spacing w:after="0" w:line="257"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years ended December 31, 2013 and 2012 the Company recognized no non-cash compensation expense related to stock options. For the year ended December 31, 2011, the Company recognized non-cash compensation expense related to stock options of approximately $8,000. At December 31, 2013, the Company had no remaining compensation cost related to unvested stock-based awards.</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left="60" w:right="719" w:firstLine="270"/>
        <w:spacing w:after="0" w:line="259" w:lineRule="auto"/>
        <w:rPr>
          <w:sz w:val="20"/>
          <w:szCs w:val="20"/>
          <w:color w:val="auto"/>
        </w:rPr>
      </w:pPr>
      <w:r>
        <w:rPr>
          <w:rFonts w:ascii="Arial" w:cs="Arial" w:eastAsia="Arial" w:hAnsi="Arial"/>
          <w:sz w:val="18"/>
          <w:szCs w:val="18"/>
          <w:color w:val="auto"/>
        </w:rPr>
        <w:t>On June 10, 2011, the Company’s shareholders approved the Non-Employee Director Plan, and the Board of Directors approved the grant of awards of 4,000 shares of restricted stock to the non-employee directors of the Company as partial annual compensation for their services as director. Such awards of restricted stock will vest as to 50% of the shares on the grant date and the remaining 50% of the shares on the first anniversary of the grant date.</w:t>
      </w:r>
    </w:p>
    <w:p>
      <w:pPr>
        <w:spacing w:after="0" w:line="79"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On June 15, 2012, 5,000 shares of restricted stock were awarded to the Company’s Board of Directors. 50% of such awards vested on the grant date, and 50% vested on the first anniversary of the grant date.</w:t>
      </w:r>
    </w:p>
    <w:p>
      <w:pPr>
        <w:spacing w:after="0" w:line="62" w:lineRule="exact"/>
        <w:rPr>
          <w:sz w:val="20"/>
          <w:szCs w:val="20"/>
          <w:color w:val="auto"/>
        </w:rPr>
      </w:pPr>
    </w:p>
    <w:p>
      <w:pPr>
        <w:ind w:left="60" w:right="639" w:firstLine="270"/>
        <w:spacing w:after="0" w:line="264" w:lineRule="auto"/>
        <w:rPr>
          <w:sz w:val="20"/>
          <w:szCs w:val="20"/>
          <w:color w:val="auto"/>
        </w:rPr>
      </w:pPr>
      <w:r>
        <w:rPr>
          <w:rFonts w:ascii="Arial" w:cs="Arial" w:eastAsia="Arial" w:hAnsi="Arial"/>
          <w:sz w:val="18"/>
          <w:szCs w:val="18"/>
          <w:color w:val="auto"/>
        </w:rPr>
        <w:t>During 2012, the Company’s Board of Directors approved grants of 29,757 shares of restricted stock to employees of the Company as partial compensation for their services. 50% of such shares will vest on the third anniversary of the grant date and the remainder will vest on the fourth anniversary of the grant date.</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7" w:name="page118"/>
    <w:bookmarkEnd w:id="11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10. EQUITY INCENTIVE PLAN – (continued)</w:t>
      </w:r>
    </w:p>
    <w:p>
      <w:pPr>
        <w:spacing w:after="0" w:line="1" w:lineRule="exact"/>
        <w:rPr>
          <w:sz w:val="20"/>
          <w:szCs w:val="20"/>
          <w:color w:val="auto"/>
        </w:rPr>
      </w:pPr>
    </w:p>
    <w:p>
      <w:pPr>
        <w:jc w:val="both"/>
        <w:ind w:left="60" w:right="679" w:firstLine="270"/>
        <w:spacing w:after="0" w:line="312" w:lineRule="auto"/>
        <w:rPr>
          <w:sz w:val="20"/>
          <w:szCs w:val="20"/>
          <w:color w:val="auto"/>
        </w:rPr>
      </w:pPr>
      <w:r>
        <w:rPr>
          <w:rFonts w:ascii="Arial" w:cs="Arial" w:eastAsia="Arial" w:hAnsi="Arial"/>
          <w:sz w:val="16"/>
          <w:szCs w:val="16"/>
          <w:color w:val="auto"/>
        </w:rPr>
        <w:t>On May 5, 2013, the Company’s Board of Directors approved the grant of 240,741 shares of restricted stock to the employees of the Company as partial compensation for their services. Such awards of restricted stock will vest as to 50% of the shares on the third anniversary of the grant date and the remaining 50% of the shares on the fourth anniversary of the grant date.</w:t>
      </w:r>
    </w:p>
    <w:p>
      <w:pPr>
        <w:spacing w:after="0" w:line="39"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On June 14, 2013, 5,000 shares of restricted stock were awarded to the Company’s Board of Directors. Such awards, of restricted stock vest as to 50% of the shares on the grant date and the remaining 50% of the shares on the first anniversary of the grant date.</w:t>
      </w:r>
    </w:p>
    <w:p>
      <w:pPr>
        <w:spacing w:after="0" w:line="73" w:lineRule="exact"/>
        <w:rPr>
          <w:sz w:val="20"/>
          <w:szCs w:val="20"/>
          <w:color w:val="auto"/>
        </w:rPr>
      </w:pPr>
    </w:p>
    <w:p>
      <w:pPr>
        <w:ind w:left="60" w:right="539" w:firstLine="270"/>
        <w:spacing w:after="0" w:line="295" w:lineRule="auto"/>
        <w:rPr>
          <w:sz w:val="20"/>
          <w:szCs w:val="20"/>
          <w:color w:val="auto"/>
        </w:rPr>
      </w:pPr>
      <w:r>
        <w:rPr>
          <w:rFonts w:ascii="Arial" w:cs="Arial" w:eastAsia="Arial" w:hAnsi="Arial"/>
          <w:sz w:val="16"/>
          <w:szCs w:val="16"/>
          <w:color w:val="auto"/>
        </w:rPr>
        <w:t>During the year ended December 31, 2013, 5,000 shares of restricted stock vested. As of December 31, 2013, after giving effect to these restricted stock awards, there were 272,998 shares of restricted stock outstanding. Information with respect to restricted stock granted, exercised and forfeited under the Plan for the period January 1, 2011 through December 31, 2013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47167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6460" w:type="dxa"/>
            <w:vAlign w:val="bottom"/>
          </w:tcPr>
          <w:p>
            <w:pPr>
              <w:spacing w:after="0"/>
              <w:rPr>
                <w:sz w:val="13"/>
                <w:szCs w:val="13"/>
                <w:color w:val="auto"/>
              </w:rPr>
            </w:pPr>
          </w:p>
        </w:tc>
        <w:tc>
          <w:tcPr>
            <w:tcW w:w="10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2"/>
              </w:rPr>
              <w:t>Non-Vested</w:t>
            </w:r>
          </w:p>
        </w:tc>
      </w:tr>
      <w:tr>
        <w:trPr>
          <w:trHeight w:val="149"/>
        </w:trPr>
        <w:tc>
          <w:tcPr>
            <w:tcW w:w="64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r>
      <w:tr>
        <w:trPr>
          <w:trHeight w:val="171"/>
        </w:trPr>
        <w:tc>
          <w:tcPr>
            <w:tcW w:w="646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210"/>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Non-vested shares outstanding at January 1, 2012</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327,339</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34,757</w:t>
            </w:r>
          </w:p>
        </w:tc>
      </w:tr>
      <w:tr>
        <w:trPr>
          <w:trHeight w:val="216"/>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(97,071)</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(232,768)</w:t>
            </w:r>
          </w:p>
        </w:tc>
      </w:tr>
      <w:tr>
        <w:trPr>
          <w:trHeight w:val="20"/>
        </w:trPr>
        <w:tc>
          <w:tcPr>
            <w:tcW w:w="6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Non-vested shares outstanding at December 31, 2012</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32,257</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245,741</w:t>
            </w:r>
          </w:p>
        </w:tc>
      </w:tr>
      <w:tr>
        <w:trPr>
          <w:trHeight w:val="216"/>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(5,000)</w:t>
            </w:r>
          </w:p>
        </w:tc>
      </w:tr>
      <w:tr>
        <w:trPr>
          <w:trHeight w:val="20"/>
        </w:trPr>
        <w:tc>
          <w:tcPr>
            <w:tcW w:w="64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6460" w:type="dxa"/>
            <w:vAlign w:val="bottom"/>
          </w:tcPr>
          <w:p>
            <w:pPr>
              <w:ind w:left="20"/>
              <w:spacing w:after="0"/>
              <w:rPr>
                <w:sz w:val="20"/>
                <w:szCs w:val="20"/>
                <w:color w:val="auto"/>
              </w:rPr>
            </w:pPr>
            <w:r>
              <w:rPr>
                <w:rFonts w:ascii="Arial" w:cs="Arial" w:eastAsia="Arial" w:hAnsi="Arial"/>
                <w:sz w:val="18"/>
                <w:szCs w:val="18"/>
                <w:color w:val="auto"/>
              </w:rPr>
              <w:t>Outstanding at December 31, 2013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272,998</w:t>
            </w:r>
          </w:p>
        </w:tc>
      </w:tr>
      <w:tr>
        <w:trPr>
          <w:trHeight w:val="21"/>
        </w:trPr>
        <w:tc>
          <w:tcPr>
            <w:tcW w:w="6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non-vested shares at December 31, 2013</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-316865</wp:posOffset>
            </wp:positionV>
            <wp:extent cx="4751070" cy="180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year ended December 31, 2013, non-cash compensation expense related to restricted stock was approximately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$526,000; of this amount approximately $273,000 was expensed by the Company and approximately $253,000 was a reimbursable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 allocated to the Asset Manager Affiliates. For the year ended December 31, 2012, non-cash compensation expense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restricted stock was approximately $437,000; of this amount approximately $416,000 was expensed by the Company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$21,000 was a reimbursable expense allocated to the Asset Manager Affiliates. For the year ended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2011, non-cash compensation expense related to restricted stock was approximately $776,000; of this amount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$677,000 was expensed by the Company and approximately $89,000 was a reimbursable expense allocated to the Asset Manager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Affiliates.</w:t>
      </w:r>
    </w:p>
    <w:p>
      <w:pPr>
        <w:spacing w:after="0" w:line="103" w:lineRule="exact"/>
        <w:rPr>
          <w:sz w:val="20"/>
          <w:szCs w:val="20"/>
          <w:color w:val="auto"/>
        </w:rPr>
      </w:pPr>
    </w:p>
    <w:p>
      <w:pPr>
        <w:ind w:left="60" w:right="639" w:firstLine="270"/>
        <w:spacing w:after="0" w:line="279"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At December 31, 2013 and 2012, the Company had approximately $1.1 million and $190,000 of total unrecognized compensation cost related to non-vested share-based awards, respectively. That cost is expected to be recognized over a weighted average period of 3.3 years.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OTHER EMPLOYEE COMPENSATION</w:t>
      </w:r>
    </w:p>
    <w:p>
      <w:pPr>
        <w:spacing w:after="0" w:line="121" w:lineRule="exact"/>
        <w:rPr>
          <w:sz w:val="20"/>
          <w:szCs w:val="20"/>
          <w:color w:val="auto"/>
        </w:rPr>
      </w:pPr>
    </w:p>
    <w:p>
      <w:pPr>
        <w:ind w:left="60" w:right="619" w:firstLine="270"/>
        <w:spacing w:after="0" w:line="255"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For the years ended December 31, 2013, 2012, and 2011, the Company made contributions to the 401K Plan of approximately $50,000, $34,000 and $23,000, respectively.</w:t>
      </w: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8" w:name="page119"/>
    <w:bookmarkEnd w:id="11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ind w:left="6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11. OTHER EMPLOYEE COMPENSATION – (continued)</w:t>
      </w:r>
    </w:p>
    <w:p>
      <w:pPr>
        <w:spacing w:after="0" w:line="1" w:lineRule="exact"/>
        <w:rPr>
          <w:sz w:val="20"/>
          <w:szCs w:val="20"/>
          <w:color w:val="auto"/>
        </w:rPr>
      </w:pPr>
    </w:p>
    <w:p>
      <w:pPr>
        <w:ind w:left="60" w:right="519" w:firstLine="270"/>
        <w:spacing w:after="0" w:line="290"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years ended December 31, 2013, 2012, and 2011, the Company made contributions of approximately $180,000, $139,000 and $139,000 to the Profit-Sharing Plan, respectively.</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SELECTED QUARTERLY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Q1 2013</w:t>
            </w:r>
          </w:p>
        </w:tc>
        <w:tc>
          <w:tcPr>
            <w:tcW w:w="18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Q2 2013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Q3 2013</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Q4 2013</w:t>
            </w:r>
          </w:p>
        </w:tc>
      </w:tr>
      <w:tr>
        <w:trPr>
          <w:trHeight w:val="210"/>
        </w:trPr>
        <w:tc>
          <w:tcPr>
            <w:tcW w:w="3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interest and related portfolio income</w:t>
            </w:r>
          </w:p>
        </w:tc>
        <w:tc>
          <w:tcPr>
            <w:tcW w:w="9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87"/>
              </w:rPr>
              <w:t>$11,393,831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87"/>
              </w:rPr>
              <w:t>$11,234,346</w:t>
            </w:r>
          </w:p>
        </w:tc>
        <w:tc>
          <w:tcPr>
            <w:tcW w:w="1160" w:type="dxa"/>
            <w:vAlign w:val="bottom"/>
            <w:gridSpan w:val="5"/>
            <w:shd w:val="clear" w:color="auto" w:fill="CCFFCC"/>
          </w:tcPr>
          <w:p>
            <w:pPr>
              <w:jc w:val="right"/>
              <w:ind w:right="13"/>
              <w:spacing w:after="0"/>
              <w:rPr>
                <w:sz w:val="20"/>
                <w:szCs w:val="20"/>
                <w:color w:val="auto"/>
              </w:rPr>
            </w:pPr>
            <w:r>
              <w:rPr>
                <w:rFonts w:ascii="Arial" w:cs="Arial" w:eastAsia="Arial" w:hAnsi="Arial"/>
                <w:sz w:val="18"/>
                <w:szCs w:val="18"/>
                <w:color w:val="auto"/>
              </w:rPr>
              <w:t>$12,645,031</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12,992,933</w:t>
            </w: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7"/>
              </w:rPr>
              <w:t>6,946,356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6,581,513</w:t>
            </w:r>
          </w:p>
        </w:tc>
        <w:tc>
          <w:tcPr>
            <w:tcW w:w="3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w w:val="89"/>
              </w:rPr>
              <w:t>7,570,705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7,857,063</w:t>
            </w:r>
          </w:p>
        </w:tc>
      </w:tr>
      <w:tr>
        <w:trPr>
          <w:trHeight w:val="202"/>
        </w:trPr>
        <w:tc>
          <w:tcPr>
            <w:tcW w:w="37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increase (decrease) in net assets resulting</w:t>
            </w: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87"/>
              </w:rPr>
              <w:t>7,213,281</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89"/>
              </w:rPr>
              <w:t>8,528,825</w:t>
            </w:r>
          </w:p>
        </w:tc>
        <w:tc>
          <w:tcPr>
            <w:tcW w:w="320" w:type="dxa"/>
            <w:vAlign w:val="bottom"/>
            <w:gridSpan w:val="4"/>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(92,779)</w:t>
            </w:r>
          </w:p>
        </w:tc>
        <w:tc>
          <w:tcPr>
            <w:tcW w:w="30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1,573,647</w:t>
            </w:r>
          </w:p>
        </w:tc>
      </w:tr>
      <w:tr>
        <w:trPr>
          <w:trHeight w:val="230"/>
        </w:trPr>
        <w:tc>
          <w:tcPr>
            <w:tcW w:w="3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from operations</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r>
      <w:tr>
        <w:trPr>
          <w:trHeight w:val="202"/>
        </w:trPr>
        <w:tc>
          <w:tcPr>
            <w:tcW w:w="3760" w:type="dxa"/>
            <w:vAlign w:val="bottom"/>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0.26</w:t>
            </w:r>
          </w:p>
        </w:tc>
        <w:tc>
          <w:tcPr>
            <w:tcW w:w="320" w:type="dxa"/>
            <w:vAlign w:val="bottom"/>
            <w:gridSpan w:val="4"/>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line="201"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0.05</w:t>
            </w: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operations per share – basic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2"/>
        </w:trPr>
        <w:tc>
          <w:tcPr>
            <w:tcW w:w="37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0.24</w:t>
            </w: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0.25</w:t>
            </w:r>
          </w:p>
        </w:tc>
        <w:tc>
          <w:tcPr>
            <w:tcW w:w="320" w:type="dxa"/>
            <w:vAlign w:val="bottom"/>
            <w:gridSpan w:val="4"/>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0.05</w:t>
            </w:r>
          </w:p>
        </w:tc>
      </w:tr>
      <w:tr>
        <w:trPr>
          <w:trHeight w:val="230"/>
        </w:trPr>
        <w:tc>
          <w:tcPr>
            <w:tcW w:w="3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operations per share – diluted</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Net investment income per share – basic</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w:t>
            </w:r>
          </w:p>
        </w:tc>
        <w:tc>
          <w:tcPr>
            <w:tcW w:w="3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16"/>
        </w:trPr>
        <w:tc>
          <w:tcPr>
            <w:tcW w:w="3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investment income per share – diluted</w:t>
            </w: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0.20</w:t>
            </w:r>
          </w:p>
        </w:tc>
        <w:tc>
          <w:tcPr>
            <w:tcW w:w="32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0.22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0.23</w:t>
            </w:r>
          </w:p>
        </w:tc>
      </w:tr>
      <w:tr>
        <w:trPr>
          <w:trHeight w:val="203"/>
        </w:trPr>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Q1 2012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Q2 2012</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Q3 2012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Q4 2012</w:t>
            </w:r>
          </w:p>
        </w:tc>
      </w:tr>
      <w:tr>
        <w:trPr>
          <w:trHeight w:val="210"/>
        </w:trPr>
        <w:tc>
          <w:tcPr>
            <w:tcW w:w="3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interest and related portfolio income</w:t>
            </w:r>
          </w:p>
        </w:tc>
        <w:tc>
          <w:tcPr>
            <w:tcW w:w="102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w w:val="98"/>
              </w:rPr>
              <w:t>$ 7,401,540</w:t>
            </w:r>
          </w:p>
        </w:tc>
        <w:tc>
          <w:tcPr>
            <w:tcW w:w="10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6"/>
              </w:rPr>
              <w:t>$ 9,481,604</w:t>
            </w:r>
          </w:p>
        </w:tc>
        <w:tc>
          <w:tcPr>
            <w:tcW w:w="1160" w:type="dxa"/>
            <w:vAlign w:val="bottom"/>
            <w:gridSpan w:val="5"/>
            <w:shd w:val="clear" w:color="auto" w:fill="CCFFCC"/>
          </w:tcPr>
          <w:p>
            <w:pPr>
              <w:jc w:val="right"/>
              <w:spacing w:after="0"/>
              <w:rPr>
                <w:sz w:val="20"/>
                <w:szCs w:val="20"/>
                <w:color w:val="auto"/>
              </w:rPr>
            </w:pPr>
            <w:r>
              <w:rPr>
                <w:rFonts w:ascii="Arial" w:cs="Arial" w:eastAsia="Arial" w:hAnsi="Arial"/>
                <w:sz w:val="18"/>
                <w:szCs w:val="18"/>
                <w:color w:val="auto"/>
              </w:rPr>
              <w:t>$10,353,932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11,346,780</w:t>
            </w: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$ 3,639,280</w:t>
            </w: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6"/>
              </w:rPr>
              <w:t>$ 6,003,820</w:t>
            </w: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7,133,096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7,314,216</w:t>
            </w:r>
          </w:p>
        </w:tc>
      </w:tr>
      <w:tr>
        <w:trPr>
          <w:trHeight w:val="202"/>
        </w:trPr>
        <w:tc>
          <w:tcPr>
            <w:tcW w:w="37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8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576,656</w:t>
            </w:r>
          </w:p>
        </w:tc>
        <w:tc>
          <w:tcPr>
            <w:tcW w:w="100" w:type="dxa"/>
            <w:vAlign w:val="bottom"/>
            <w:shd w:val="clear" w:color="auto" w:fill="CCFFCC"/>
          </w:tcPr>
          <w:p>
            <w:pPr>
              <w:spacing w:after="0"/>
              <w:rPr>
                <w:sz w:val="17"/>
                <w:szCs w:val="17"/>
                <w:color w:val="auto"/>
              </w:rPr>
            </w:pPr>
          </w:p>
        </w:tc>
        <w:tc>
          <w:tcPr>
            <w:tcW w:w="960" w:type="dxa"/>
            <w:vAlign w:val="bottom"/>
            <w:gridSpan w:val="3"/>
            <w:shd w:val="clear" w:color="auto" w:fill="CCFFCC"/>
          </w:tcPr>
          <w:p>
            <w:pPr>
              <w:jc w:val="right"/>
              <w:spacing w:after="0" w:line="201" w:lineRule="exact"/>
              <w:rPr>
                <w:sz w:val="20"/>
                <w:szCs w:val="20"/>
                <w:color w:val="auto"/>
              </w:rPr>
            </w:pPr>
            <w:r>
              <w:rPr>
                <w:rFonts w:ascii="Arial" w:cs="Arial" w:eastAsia="Arial" w:hAnsi="Arial"/>
                <w:sz w:val="18"/>
                <w:szCs w:val="18"/>
                <w:color w:val="auto"/>
                <w:w w:val="96"/>
              </w:rPr>
              <w:t>$ 1,617,453</w:t>
            </w:r>
          </w:p>
        </w:tc>
        <w:tc>
          <w:tcPr>
            <w:tcW w:w="320" w:type="dxa"/>
            <w:vAlign w:val="bottom"/>
            <w:gridSpan w:val="4"/>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7"/>
              </w:rPr>
              <w:t>9,368,395</w:t>
            </w:r>
          </w:p>
        </w:tc>
        <w:tc>
          <w:tcPr>
            <w:tcW w:w="30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w w:val="93"/>
              </w:rPr>
              <w:t>14,563,274</w:t>
            </w:r>
          </w:p>
        </w:tc>
      </w:tr>
      <w:tr>
        <w:trPr>
          <w:trHeight w:val="230"/>
        </w:trPr>
        <w:tc>
          <w:tcPr>
            <w:tcW w:w="3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r>
      <w:tr>
        <w:trPr>
          <w:trHeight w:val="202"/>
        </w:trPr>
        <w:tc>
          <w:tcPr>
            <w:tcW w:w="3760" w:type="dxa"/>
            <w:vAlign w:val="bottom"/>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7"/>
                <w:szCs w:val="17"/>
                <w:color w:val="auto"/>
              </w:rPr>
            </w:pPr>
          </w:p>
        </w:tc>
        <w:tc>
          <w:tcPr>
            <w:tcW w:w="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0.06</w:t>
            </w:r>
          </w:p>
        </w:tc>
        <w:tc>
          <w:tcPr>
            <w:tcW w:w="320" w:type="dxa"/>
            <w:vAlign w:val="bottom"/>
            <w:gridSpan w:val="4"/>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0.35</w:t>
            </w:r>
          </w:p>
        </w:tc>
        <w:tc>
          <w:tcPr>
            <w:tcW w:w="3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0.55</w:t>
            </w: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operations per share – basic and diluted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2"/>
        </w:trPr>
        <w:tc>
          <w:tcPr>
            <w:tcW w:w="37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80" w:type="dxa"/>
            <w:vAlign w:val="bottom"/>
            <w:gridSpan w:val="2"/>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FFCC"/>
          </w:tcPr>
          <w:p>
            <w:pPr>
              <w:spacing w:after="0"/>
              <w:rPr>
                <w:sz w:val="17"/>
                <w:szCs w:val="17"/>
                <w:color w:val="auto"/>
              </w:rPr>
            </w:pPr>
          </w:p>
        </w:tc>
        <w:tc>
          <w:tcPr>
            <w:tcW w:w="16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0.06</w:t>
            </w:r>
          </w:p>
        </w:tc>
        <w:tc>
          <w:tcPr>
            <w:tcW w:w="320" w:type="dxa"/>
            <w:vAlign w:val="bottom"/>
            <w:gridSpan w:val="4"/>
            <w:shd w:val="clear" w:color="auto" w:fill="CCFFCC"/>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0.35</w:t>
            </w:r>
          </w:p>
        </w:tc>
        <w:tc>
          <w:tcPr>
            <w:tcW w:w="30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0.55</w:t>
            </w:r>
          </w:p>
        </w:tc>
      </w:tr>
      <w:tr>
        <w:trPr>
          <w:trHeight w:val="230"/>
        </w:trPr>
        <w:tc>
          <w:tcPr>
            <w:tcW w:w="3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operations per share – diluted</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r>
      <w:tr>
        <w:trPr>
          <w:trHeight w:val="216"/>
        </w:trPr>
        <w:tc>
          <w:tcPr>
            <w:tcW w:w="3760" w:type="dxa"/>
            <w:vAlign w:val="bottom"/>
          </w:tcPr>
          <w:p>
            <w:pPr>
              <w:ind w:left="20"/>
              <w:spacing w:after="0"/>
              <w:rPr>
                <w:sz w:val="20"/>
                <w:szCs w:val="20"/>
                <w:color w:val="auto"/>
              </w:rPr>
            </w:pPr>
            <w:r>
              <w:rPr>
                <w:rFonts w:ascii="Arial" w:cs="Arial" w:eastAsia="Arial" w:hAnsi="Arial"/>
                <w:sz w:val="18"/>
                <w:szCs w:val="18"/>
                <w:color w:val="auto"/>
              </w:rPr>
              <w:t>Net investment income per share – basic</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32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16"/>
        </w:trPr>
        <w:tc>
          <w:tcPr>
            <w:tcW w:w="3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investment income per share – diluted</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0.23</w:t>
            </w:r>
          </w:p>
        </w:tc>
        <w:tc>
          <w:tcPr>
            <w:tcW w:w="3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0.27</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-1585595</wp:posOffset>
            </wp:positionV>
            <wp:extent cx="521398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60" w:right="559" w:firstLine="270"/>
        <w:spacing w:after="0" w:line="286" w:lineRule="auto"/>
        <w:rPr>
          <w:sz w:val="20"/>
          <w:szCs w:val="20"/>
          <w:color w:val="auto"/>
        </w:rPr>
      </w:pPr>
      <w:r>
        <w:rPr>
          <w:rFonts w:ascii="Arial" w:cs="Arial" w:eastAsia="Arial" w:hAnsi="Arial"/>
          <w:sz w:val="17"/>
          <w:szCs w:val="17"/>
          <w:color w:val="auto"/>
        </w:rPr>
        <w:t>The Company has evaluated events and transactions occurring subsequent to the balance sheet date of December 31, 2013 for items that should potentially be recognized or disclosed in these financial statements. Management has determined that there are no material subsequent events that would require adjustment to or disclosure in those financial statements.</w:t>
      </w: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9" w:name="page120"/>
    <w:bookmarkEnd w:id="11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INDEX TO OTHER FINANCIAL STATEMENTS AND FINANCIAL STATEMENT SCHEDULES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600" w:type="dxa"/>
            <w:vAlign w:val="bottom"/>
            <w:gridSpan w:val="15"/>
          </w:tcPr>
          <w:p>
            <w:pPr>
              <w:ind w:left="40"/>
              <w:spacing w:after="0"/>
              <w:rPr>
                <w:sz w:val="20"/>
                <w:szCs w:val="20"/>
                <w:color w:val="auto"/>
              </w:rPr>
            </w:pPr>
            <w:r>
              <w:rPr>
                <w:rFonts w:ascii="Arial" w:cs="Arial" w:eastAsia="Arial" w:hAnsi="Arial"/>
                <w:sz w:val="18"/>
                <w:szCs w:val="18"/>
                <w:b w:val="1"/>
                <w:bCs w:val="1"/>
                <w:color w:val="auto"/>
              </w:rPr>
              <w:t>ASSET MANAGER AFFILIATES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0"/>
        </w:trPr>
        <w:tc>
          <w:tcPr>
            <w:tcW w:w="20" w:type="dxa"/>
            <w:vAlign w:val="bottom"/>
          </w:tcPr>
          <w:p>
            <w:pPr>
              <w:spacing w:after="0"/>
              <w:rPr>
                <w:sz w:val="16"/>
                <w:szCs w:val="16"/>
                <w:color w:val="auto"/>
              </w:rPr>
            </w:pPr>
          </w:p>
        </w:tc>
        <w:tc>
          <w:tcPr>
            <w:tcW w:w="7600" w:type="dxa"/>
            <w:vAlign w:val="bottom"/>
            <w:gridSpan w:val="15"/>
          </w:tcPr>
          <w:p>
            <w:pPr>
              <w:spacing w:after="0" w:line="190" w:lineRule="exact"/>
              <w:rPr>
                <w:rFonts w:ascii="Arial" w:cs="Arial" w:eastAsia="Arial" w:hAnsi="Arial"/>
                <w:sz w:val="18"/>
                <w:szCs w:val="18"/>
                <w:color w:val="0000EE"/>
              </w:rPr>
            </w:pPr>
            <w:hyperlink w:anchor="page121">
              <w:r>
                <w:rPr>
                  <w:rFonts w:ascii="Arial" w:cs="Arial" w:eastAsia="Arial" w:hAnsi="Arial"/>
                  <w:sz w:val="18"/>
                  <w:szCs w:val="18"/>
                  <w:color w:val="0000EE"/>
                </w:rPr>
                <w:t>Report of Independent Certified Public Accountants</w:t>
              </w:r>
            </w:hyperlink>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gridSpan w:val="2"/>
          </w:tcPr>
          <w:p>
            <w:pPr>
              <w:jc w:val="right"/>
              <w:ind w:right="80"/>
              <w:spacing w:after="0" w:line="190" w:lineRule="exact"/>
              <w:rPr>
                <w:rFonts w:ascii="Arial" w:cs="Arial" w:eastAsia="Arial" w:hAnsi="Arial"/>
                <w:sz w:val="18"/>
                <w:szCs w:val="18"/>
                <w:color w:val="0000EE"/>
                <w:w w:val="78"/>
              </w:rPr>
            </w:pPr>
            <w:hyperlink w:anchor="page121">
              <w:r>
                <w:rPr>
                  <w:rFonts w:ascii="Arial" w:cs="Arial" w:eastAsia="Arial" w:hAnsi="Arial"/>
                  <w:sz w:val="18"/>
                  <w:szCs w:val="18"/>
                  <w:color w:val="0000EE"/>
                  <w:w w:val="78"/>
                </w:rPr>
                <w:t>S-2</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5500" w:type="dxa"/>
            <w:vAlign w:val="bottom"/>
            <w:gridSpan w:val="11"/>
            <w:shd w:val="clear" w:color="auto" w:fill="CCFFCC"/>
          </w:tcPr>
          <w:p>
            <w:pPr>
              <w:spacing w:after="0" w:line="176" w:lineRule="exact"/>
              <w:rPr>
                <w:rFonts w:ascii="Arial" w:cs="Arial" w:eastAsia="Arial" w:hAnsi="Arial"/>
                <w:sz w:val="18"/>
                <w:szCs w:val="18"/>
                <w:color w:val="0000EE"/>
                <w:w w:val="88"/>
              </w:rPr>
            </w:pPr>
            <w:hyperlink w:anchor="page122">
              <w:r>
                <w:rPr>
                  <w:rFonts w:ascii="Arial" w:cs="Arial" w:eastAsia="Arial" w:hAnsi="Arial"/>
                  <w:sz w:val="18"/>
                  <w:szCs w:val="18"/>
                  <w:color w:val="0000EE"/>
                  <w:w w:val="88"/>
                </w:rPr>
                <w:t>Combined Balance Sheets as of December 31, 2013 and December 31, 2012</w:t>
              </w:r>
            </w:hyperlink>
          </w:p>
        </w:tc>
        <w:tc>
          <w:tcPr>
            <w:tcW w:w="2100" w:type="dxa"/>
            <w:vAlign w:val="bottom"/>
            <w:gridSpan w:val="4"/>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320" w:type="dxa"/>
            <w:vAlign w:val="bottom"/>
            <w:gridSpan w:val="2"/>
            <w:shd w:val="clear" w:color="auto" w:fill="CCFFCC"/>
          </w:tcPr>
          <w:p>
            <w:pPr>
              <w:jc w:val="right"/>
              <w:ind w:right="80"/>
              <w:spacing w:after="0" w:line="176" w:lineRule="exact"/>
              <w:rPr>
                <w:rFonts w:ascii="Arial" w:cs="Arial" w:eastAsia="Arial" w:hAnsi="Arial"/>
                <w:sz w:val="18"/>
                <w:szCs w:val="18"/>
                <w:color w:val="0000EE"/>
                <w:w w:val="78"/>
              </w:rPr>
            </w:pPr>
            <w:hyperlink w:anchor="page122">
              <w:r>
                <w:rPr>
                  <w:rFonts w:ascii="Arial" w:cs="Arial" w:eastAsia="Arial" w:hAnsi="Arial"/>
                  <w:sz w:val="18"/>
                  <w:szCs w:val="18"/>
                  <w:color w:val="0000EE"/>
                  <w:w w:val="78"/>
                </w:rPr>
                <w:t>S-3</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40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7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gridSpan w:val="13"/>
          </w:tcPr>
          <w:p>
            <w:pPr>
              <w:spacing w:after="0" w:line="17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Combined Statements of Operations for the years ended December 31, 2013, December 31, 2012 and</w:t>
              </w:r>
            </w:hyperlink>
          </w:p>
        </w:tc>
        <w:tc>
          <w:tcPr>
            <w:tcW w:w="3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jc w:val="right"/>
              <w:ind w:right="80"/>
              <w:spacing w:after="0" w:line="176" w:lineRule="exact"/>
              <w:rPr>
                <w:rFonts w:ascii="Arial" w:cs="Arial" w:eastAsia="Arial" w:hAnsi="Arial"/>
                <w:sz w:val="18"/>
                <w:szCs w:val="18"/>
                <w:color w:val="0000EE"/>
                <w:w w:val="78"/>
              </w:rPr>
            </w:pPr>
            <w:hyperlink w:anchor="page123">
              <w:r>
                <w:rPr>
                  <w:rFonts w:ascii="Arial" w:cs="Arial" w:eastAsia="Arial" w:hAnsi="Arial"/>
                  <w:sz w:val="18"/>
                  <w:szCs w:val="18"/>
                  <w:color w:val="0000EE"/>
                  <w:w w:val="78"/>
                </w:rPr>
                <w:t>S-4</w:t>
              </w:r>
            </w:hyperlink>
          </w:p>
        </w:tc>
      </w:tr>
      <w:tr>
        <w:trPr>
          <w:trHeight w:val="196"/>
        </w:trPr>
        <w:tc>
          <w:tcPr>
            <w:tcW w:w="20" w:type="dxa"/>
            <w:vAlign w:val="bottom"/>
          </w:tcPr>
          <w:p>
            <w:pPr>
              <w:spacing w:after="0"/>
              <w:rPr>
                <w:sz w:val="17"/>
                <w:szCs w:val="17"/>
                <w:color w:val="auto"/>
              </w:rPr>
            </w:pPr>
          </w:p>
        </w:tc>
        <w:tc>
          <w:tcPr>
            <w:tcW w:w="7300" w:type="dxa"/>
            <w:vAlign w:val="bottom"/>
            <w:tcBorders>
              <w:top w:val="single" w:sz="8" w:color="0000EE"/>
            </w:tcBorders>
            <w:gridSpan w:val="13"/>
          </w:tcPr>
          <w:p>
            <w:pPr>
              <w:ind w:left="180"/>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December 31, 2011</w:t>
              </w:r>
            </w:hyperlink>
          </w:p>
        </w:tc>
        <w:tc>
          <w:tcPr>
            <w:tcW w:w="3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6860" w:type="dxa"/>
            <w:vAlign w:val="bottom"/>
            <w:gridSpan w:val="12"/>
            <w:shd w:val="clear" w:color="auto" w:fill="CCFFCC"/>
          </w:tcPr>
          <w:p>
            <w:pPr>
              <w:spacing w:after="0" w:line="17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Combined Statements of Changes in Member’s Equity for the years ended December 31, 2013,</w:t>
              </w:r>
            </w:hyperlink>
          </w:p>
        </w:tc>
        <w:tc>
          <w:tcPr>
            <w:tcW w:w="740" w:type="dxa"/>
            <w:vAlign w:val="bottom"/>
            <w:gridSpan w:val="3"/>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320" w:type="dxa"/>
            <w:vAlign w:val="bottom"/>
            <w:gridSpan w:val="2"/>
            <w:shd w:val="clear" w:color="auto" w:fill="CCFFCC"/>
          </w:tcPr>
          <w:p>
            <w:pPr>
              <w:jc w:val="right"/>
              <w:ind w:right="80"/>
              <w:spacing w:after="0" w:line="176" w:lineRule="exact"/>
              <w:rPr>
                <w:rFonts w:ascii="Arial" w:cs="Arial" w:eastAsia="Arial" w:hAnsi="Arial"/>
                <w:sz w:val="18"/>
                <w:szCs w:val="18"/>
                <w:color w:val="0000EE"/>
                <w:w w:val="78"/>
              </w:rPr>
            </w:pPr>
            <w:hyperlink w:anchor="page124">
              <w:r>
                <w:rPr>
                  <w:rFonts w:ascii="Arial" w:cs="Arial" w:eastAsia="Arial" w:hAnsi="Arial"/>
                  <w:sz w:val="18"/>
                  <w:szCs w:val="18"/>
                  <w:color w:val="0000EE"/>
                  <w:w w:val="78"/>
                </w:rPr>
                <w:t>S-5</w:t>
              </w:r>
            </w:hyperlink>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6860" w:type="dxa"/>
            <w:vAlign w:val="bottom"/>
            <w:tcBorders>
              <w:top w:val="single" w:sz="8" w:color="0000EE"/>
            </w:tcBorders>
            <w:gridSpan w:val="12"/>
            <w:shd w:val="clear" w:color="auto" w:fill="CCFFCC"/>
          </w:tcPr>
          <w:p>
            <w:pPr>
              <w:ind w:left="18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December 31, 2012, and December 31, 2011</w:t>
              </w:r>
            </w:hyperlink>
          </w:p>
        </w:tc>
        <w:tc>
          <w:tcPr>
            <w:tcW w:w="740" w:type="dxa"/>
            <w:vAlign w:val="bottom"/>
            <w:tcBorders>
              <w:top w:val="single" w:sz="8" w:color="CCFFCC"/>
            </w:tcBorders>
            <w:gridSpan w:val="3"/>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24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4"/>
          </w:tcPr>
          <w:p>
            <w:pPr>
              <w:spacing w:after="0" w:line="17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Combined Statements of Cash Flows for the years ended December 31, 2013, December 31, 2012, and</w:t>
              </w:r>
            </w:hyperlink>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gridSpan w:val="2"/>
          </w:tcPr>
          <w:p>
            <w:pPr>
              <w:jc w:val="right"/>
              <w:ind w:right="80"/>
              <w:spacing w:after="0" w:line="176" w:lineRule="exact"/>
              <w:rPr>
                <w:rFonts w:ascii="Arial" w:cs="Arial" w:eastAsia="Arial" w:hAnsi="Arial"/>
                <w:sz w:val="18"/>
                <w:szCs w:val="18"/>
                <w:color w:val="0000EE"/>
                <w:w w:val="78"/>
              </w:rPr>
            </w:pPr>
            <w:hyperlink w:anchor="page125">
              <w:r>
                <w:rPr>
                  <w:rFonts w:ascii="Arial" w:cs="Arial" w:eastAsia="Arial" w:hAnsi="Arial"/>
                  <w:sz w:val="18"/>
                  <w:szCs w:val="18"/>
                  <w:color w:val="0000EE"/>
                  <w:w w:val="78"/>
                </w:rPr>
                <w:t>S-6</w:t>
              </w:r>
            </w:hyperlink>
          </w:p>
        </w:tc>
      </w:tr>
      <w:tr>
        <w:trPr>
          <w:trHeight w:val="196"/>
        </w:trPr>
        <w:tc>
          <w:tcPr>
            <w:tcW w:w="20" w:type="dxa"/>
            <w:vAlign w:val="bottom"/>
          </w:tcPr>
          <w:p>
            <w:pPr>
              <w:spacing w:after="0"/>
              <w:rPr>
                <w:sz w:val="17"/>
                <w:szCs w:val="17"/>
                <w:color w:val="auto"/>
              </w:rPr>
            </w:pPr>
          </w:p>
        </w:tc>
        <w:tc>
          <w:tcPr>
            <w:tcW w:w="7400" w:type="dxa"/>
            <w:vAlign w:val="bottom"/>
            <w:tcBorders>
              <w:top w:val="single" w:sz="8" w:color="0000EE"/>
            </w:tcBorders>
            <w:gridSpan w:val="14"/>
          </w:tcPr>
          <w:p>
            <w:pPr>
              <w:ind w:left="18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December 31, 2011</w:t>
              </w:r>
            </w:hyperlink>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7600" w:type="dxa"/>
            <w:vAlign w:val="bottom"/>
            <w:gridSpan w:val="15"/>
            <w:shd w:val="clear" w:color="auto" w:fill="CCFFCC"/>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Notes to Combined Financial Statements</w:t>
              </w:r>
            </w:hyperlink>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20" w:type="dxa"/>
            <w:vAlign w:val="bottom"/>
            <w:gridSpan w:val="2"/>
            <w:shd w:val="clear" w:color="auto" w:fill="CCFFCC"/>
          </w:tcPr>
          <w:p>
            <w:pPr>
              <w:jc w:val="right"/>
              <w:ind w:right="80"/>
              <w:spacing w:after="0" w:line="176" w:lineRule="exact"/>
              <w:rPr>
                <w:rFonts w:ascii="Arial" w:cs="Arial" w:eastAsia="Arial" w:hAnsi="Arial"/>
                <w:sz w:val="18"/>
                <w:szCs w:val="18"/>
                <w:color w:val="0000EE"/>
                <w:w w:val="78"/>
              </w:rPr>
            </w:pPr>
            <w:hyperlink w:anchor="page126">
              <w:r>
                <w:rPr>
                  <w:rFonts w:ascii="Arial" w:cs="Arial" w:eastAsia="Arial" w:hAnsi="Arial"/>
                  <w:sz w:val="18"/>
                  <w:szCs w:val="18"/>
                  <w:color w:val="0000EE"/>
                  <w:w w:val="78"/>
                </w:rPr>
                <w:t>S-7</w:t>
              </w:r>
            </w:hyperlink>
          </w:p>
        </w:tc>
      </w:tr>
      <w:tr>
        <w:trPr>
          <w:trHeight w:val="350"/>
        </w:trPr>
        <w:tc>
          <w:tcPr>
            <w:tcW w:w="20" w:type="dxa"/>
            <w:vAlign w:val="bottom"/>
            <w:tcBorders>
              <w:top w:val="single" w:sz="8" w:color="CCFFCC"/>
            </w:tcBorders>
          </w:tcPr>
          <w:p>
            <w:pPr>
              <w:spacing w:after="0"/>
              <w:rPr>
                <w:sz w:val="24"/>
                <w:szCs w:val="24"/>
                <w:color w:val="auto"/>
              </w:rPr>
            </w:pPr>
          </w:p>
        </w:tc>
        <w:tc>
          <w:tcPr>
            <w:tcW w:w="2940" w:type="dxa"/>
            <w:vAlign w:val="bottom"/>
            <w:tcBorders>
              <w:top w:val="single" w:sz="8" w:color="0000EE"/>
            </w:tcBorders>
            <w:gridSpan w:val="3"/>
          </w:tcPr>
          <w:p>
            <w:pPr>
              <w:ind w:left="40"/>
              <w:spacing w:after="0"/>
              <w:rPr>
                <w:sz w:val="20"/>
                <w:szCs w:val="20"/>
                <w:color w:val="auto"/>
              </w:rPr>
            </w:pPr>
            <w:r>
              <w:rPr>
                <w:rFonts w:ascii="Arial" w:cs="Arial" w:eastAsia="Arial" w:hAnsi="Arial"/>
                <w:sz w:val="18"/>
                <w:szCs w:val="18"/>
                <w:b w:val="1"/>
                <w:bCs w:val="1"/>
                <w:color w:val="auto"/>
              </w:rPr>
              <w:t>KATONAH 2007-I CLO LTD.</w:t>
            </w:r>
          </w:p>
        </w:tc>
        <w:tc>
          <w:tcPr>
            <w:tcW w:w="4660" w:type="dxa"/>
            <w:vAlign w:val="bottom"/>
            <w:tcBorders>
              <w:top w:val="single" w:sz="8" w:color="CCFFCC"/>
            </w:tcBorders>
            <w:gridSpan w:val="12"/>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7600" w:type="dxa"/>
            <w:vAlign w:val="bottom"/>
            <w:gridSpan w:val="15"/>
          </w:tcPr>
          <w:p>
            <w:pPr>
              <w:spacing w:after="0" w:line="190" w:lineRule="exact"/>
              <w:rPr>
                <w:rFonts w:ascii="Arial" w:cs="Arial" w:eastAsia="Arial" w:hAnsi="Arial"/>
                <w:sz w:val="18"/>
                <w:szCs w:val="18"/>
                <w:color w:val="0000EE"/>
              </w:rPr>
            </w:pPr>
            <w:hyperlink w:anchor="page142">
              <w:r>
                <w:rPr>
                  <w:rFonts w:ascii="Arial" w:cs="Arial" w:eastAsia="Arial" w:hAnsi="Arial"/>
                  <w:sz w:val="18"/>
                  <w:szCs w:val="18"/>
                  <w:color w:val="0000EE"/>
                </w:rPr>
                <w:t>Report of Independent Certified Public Accountants</w:t>
              </w:r>
            </w:hyperlink>
          </w:p>
        </w:tc>
        <w:tc>
          <w:tcPr>
            <w:tcW w:w="600" w:type="dxa"/>
            <w:vAlign w:val="bottom"/>
            <w:gridSpan w:val="4"/>
          </w:tcPr>
          <w:p>
            <w:pPr>
              <w:jc w:val="right"/>
              <w:ind w:right="80"/>
              <w:spacing w:after="0" w:line="190" w:lineRule="exact"/>
              <w:rPr>
                <w:rFonts w:ascii="Arial" w:cs="Arial" w:eastAsia="Arial" w:hAnsi="Arial"/>
                <w:sz w:val="18"/>
                <w:szCs w:val="18"/>
                <w:color w:val="0000EE"/>
              </w:rPr>
            </w:pPr>
            <w:hyperlink w:anchor="page142">
              <w:r>
                <w:rPr>
                  <w:rFonts w:ascii="Arial" w:cs="Arial" w:eastAsia="Arial" w:hAnsi="Arial"/>
                  <w:sz w:val="18"/>
                  <w:szCs w:val="18"/>
                  <w:color w:val="0000EE"/>
                </w:rPr>
                <w:t>S-23</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3580" w:type="dxa"/>
            <w:vAlign w:val="bottom"/>
            <w:gridSpan w:val="6"/>
            <w:shd w:val="clear" w:color="auto" w:fill="CCFFCC"/>
          </w:tcPr>
          <w:p>
            <w:pPr>
              <w:spacing w:after="0" w:line="17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Statement of Net Assets as of December 31, 2013</w:t>
              </w:r>
            </w:hyperlink>
          </w:p>
        </w:tc>
        <w:tc>
          <w:tcPr>
            <w:tcW w:w="4020" w:type="dxa"/>
            <w:vAlign w:val="bottom"/>
            <w:gridSpan w:val="9"/>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420" w:type="dxa"/>
            <w:vAlign w:val="bottom"/>
            <w:gridSpan w:val="3"/>
            <w:shd w:val="clear" w:color="auto" w:fill="CCFFCC"/>
          </w:tcPr>
          <w:p>
            <w:pPr>
              <w:jc w:val="right"/>
              <w:ind w:right="80"/>
              <w:spacing w:after="0" w:line="176" w:lineRule="exact"/>
              <w:rPr>
                <w:rFonts w:ascii="Arial" w:cs="Arial" w:eastAsia="Arial" w:hAnsi="Arial"/>
                <w:sz w:val="18"/>
                <w:szCs w:val="18"/>
                <w:color w:val="0000EE"/>
                <w:w w:val="84"/>
              </w:rPr>
            </w:pPr>
            <w:hyperlink w:anchor="page143">
              <w:r>
                <w:rPr>
                  <w:rFonts w:ascii="Arial" w:cs="Arial" w:eastAsia="Arial" w:hAnsi="Arial"/>
                  <w:sz w:val="18"/>
                  <w:szCs w:val="18"/>
                  <w:color w:val="0000EE"/>
                  <w:w w:val="84"/>
                </w:rPr>
                <w:t>S-24</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40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0" w:type="dxa"/>
            <w:vAlign w:val="bottom"/>
            <w:gridSpan w:val="15"/>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Statement of Operations for the year ended December 31, 2013</w:t>
              </w:r>
            </w:hyperlink>
          </w:p>
        </w:tc>
        <w:tc>
          <w:tcPr>
            <w:tcW w:w="600" w:type="dxa"/>
            <w:vAlign w:val="bottom"/>
            <w:gridSpan w:val="4"/>
          </w:tcPr>
          <w:p>
            <w:pPr>
              <w:jc w:val="right"/>
              <w:ind w:right="80"/>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S-25</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00" w:type="dxa"/>
            <w:vAlign w:val="bottom"/>
            <w:gridSpan w:val="15"/>
            <w:shd w:val="clear" w:color="auto" w:fill="CCFFCC"/>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Statement of Changes in Net Assets for the year ended December 31, 2013</w:t>
              </w:r>
            </w:hyperlink>
          </w:p>
        </w:tc>
        <w:tc>
          <w:tcPr>
            <w:tcW w:w="600" w:type="dxa"/>
            <w:vAlign w:val="bottom"/>
            <w:gridSpan w:val="4"/>
            <w:shd w:val="clear" w:color="auto" w:fill="CCFFCC"/>
          </w:tcPr>
          <w:p>
            <w:pPr>
              <w:jc w:val="right"/>
              <w:ind w:right="80"/>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S-26</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40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7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380" w:type="dxa"/>
            <w:vAlign w:val="bottom"/>
            <w:gridSpan w:val="10"/>
          </w:tcPr>
          <w:p>
            <w:pPr>
              <w:spacing w:after="0" w:line="176" w:lineRule="exact"/>
              <w:rPr>
                <w:rFonts w:ascii="Arial" w:cs="Arial" w:eastAsia="Arial" w:hAnsi="Arial"/>
                <w:sz w:val="18"/>
                <w:szCs w:val="18"/>
                <w:color w:val="0000EE"/>
              </w:rPr>
            </w:pPr>
            <w:hyperlink w:anchor="page146">
              <w:r>
                <w:rPr>
                  <w:rFonts w:ascii="Arial" w:cs="Arial" w:eastAsia="Arial" w:hAnsi="Arial"/>
                  <w:sz w:val="18"/>
                  <w:szCs w:val="18"/>
                  <w:color w:val="0000EE"/>
                </w:rPr>
                <w:t>Statement of Cash Flows for the year ended December 31, 2013</w:t>
              </w:r>
            </w:hyperlink>
          </w:p>
        </w:tc>
        <w:tc>
          <w:tcPr>
            <w:tcW w:w="222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3"/>
          </w:tcPr>
          <w:p>
            <w:pPr>
              <w:jc w:val="right"/>
              <w:ind w:right="80"/>
              <w:spacing w:after="0" w:line="176" w:lineRule="exact"/>
              <w:rPr>
                <w:rFonts w:ascii="Arial" w:cs="Arial" w:eastAsia="Arial" w:hAnsi="Arial"/>
                <w:sz w:val="18"/>
                <w:szCs w:val="18"/>
                <w:color w:val="0000EE"/>
                <w:w w:val="84"/>
              </w:rPr>
            </w:pPr>
            <w:hyperlink w:anchor="page146">
              <w:r>
                <w:rPr>
                  <w:rFonts w:ascii="Arial" w:cs="Arial" w:eastAsia="Arial" w:hAnsi="Arial"/>
                  <w:sz w:val="18"/>
                  <w:szCs w:val="18"/>
                  <w:color w:val="0000EE"/>
                  <w:w w:val="84"/>
                </w:rPr>
                <w:t>S-27</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00" w:type="dxa"/>
            <w:vAlign w:val="bottom"/>
            <w:gridSpan w:val="15"/>
            <w:shd w:val="clear" w:color="auto" w:fill="CCFFCC"/>
          </w:tcPr>
          <w:p>
            <w:pPr>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Schedule of Investment as of December 31, 2013</w:t>
              </w:r>
            </w:hyperlink>
          </w:p>
        </w:tc>
        <w:tc>
          <w:tcPr>
            <w:tcW w:w="600" w:type="dxa"/>
            <w:vAlign w:val="bottom"/>
            <w:gridSpan w:val="4"/>
            <w:shd w:val="clear" w:color="auto" w:fill="CCFFCC"/>
          </w:tcPr>
          <w:p>
            <w:pPr>
              <w:jc w:val="right"/>
              <w:ind w:right="80"/>
              <w:spacing w:after="0" w:line="176" w:lineRule="exact"/>
              <w:rPr>
                <w:rFonts w:ascii="Arial" w:cs="Arial" w:eastAsia="Arial" w:hAnsi="Arial"/>
                <w:sz w:val="18"/>
                <w:szCs w:val="18"/>
                <w:color w:val="0000EE"/>
              </w:rPr>
            </w:pPr>
            <w:hyperlink w:anchor="page147">
              <w:r>
                <w:rPr>
                  <w:rFonts w:ascii="Arial" w:cs="Arial" w:eastAsia="Arial" w:hAnsi="Arial"/>
                  <w:sz w:val="18"/>
                  <w:szCs w:val="18"/>
                  <w:color w:val="0000EE"/>
                </w:rPr>
                <w:t>S-28</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40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5"/>
          </w:tcPr>
          <w:p>
            <w:pPr>
              <w:spacing w:after="0" w:line="176" w:lineRule="exact"/>
              <w:rPr>
                <w:rFonts w:ascii="Arial" w:cs="Arial" w:eastAsia="Arial" w:hAnsi="Arial"/>
                <w:sz w:val="18"/>
                <w:szCs w:val="18"/>
                <w:color w:val="0000EE"/>
              </w:rPr>
            </w:pPr>
            <w:hyperlink w:anchor="page166">
              <w:r>
                <w:rPr>
                  <w:rFonts w:ascii="Arial" w:cs="Arial" w:eastAsia="Arial" w:hAnsi="Arial"/>
                  <w:sz w:val="18"/>
                  <w:szCs w:val="18"/>
                  <w:color w:val="0000EE"/>
                </w:rPr>
                <w:t>Notes to Combined Financial Statements</w:t>
              </w:r>
            </w:hyperlink>
          </w:p>
        </w:tc>
        <w:tc>
          <w:tcPr>
            <w:tcW w:w="4060" w:type="dxa"/>
            <w:vAlign w:val="bottom"/>
            <w:gridSpan w:val="10"/>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3"/>
          </w:tcPr>
          <w:p>
            <w:pPr>
              <w:jc w:val="right"/>
              <w:ind w:right="80"/>
              <w:spacing w:after="0" w:line="176" w:lineRule="exact"/>
              <w:rPr>
                <w:rFonts w:ascii="Arial" w:cs="Arial" w:eastAsia="Arial" w:hAnsi="Arial"/>
                <w:sz w:val="18"/>
                <w:szCs w:val="18"/>
                <w:color w:val="0000EE"/>
                <w:w w:val="84"/>
              </w:rPr>
            </w:pPr>
            <w:hyperlink w:anchor="page166">
              <w:r>
                <w:rPr>
                  <w:rFonts w:ascii="Arial" w:cs="Arial" w:eastAsia="Arial" w:hAnsi="Arial"/>
                  <w:sz w:val="18"/>
                  <w:szCs w:val="18"/>
                  <w:color w:val="0000EE"/>
                  <w:w w:val="84"/>
                </w:rPr>
                <w:t>S-46</w:t>
              </w:r>
            </w:hyperlink>
          </w:p>
        </w:tc>
      </w:tr>
      <w:tr>
        <w:trPr>
          <w:trHeight w:val="371"/>
        </w:trPr>
        <w:tc>
          <w:tcPr>
            <w:tcW w:w="20" w:type="dxa"/>
            <w:vAlign w:val="bottom"/>
          </w:tcPr>
          <w:p>
            <w:pPr>
              <w:spacing w:after="0"/>
              <w:rPr>
                <w:sz w:val="24"/>
                <w:szCs w:val="24"/>
                <w:color w:val="auto"/>
              </w:rPr>
            </w:pPr>
          </w:p>
        </w:tc>
        <w:tc>
          <w:tcPr>
            <w:tcW w:w="2940" w:type="dxa"/>
            <w:vAlign w:val="bottom"/>
            <w:tcBorders>
              <w:top w:val="single" w:sz="8" w:color="0000EE"/>
            </w:tcBorders>
            <w:gridSpan w:val="3"/>
          </w:tcPr>
          <w:p>
            <w:pPr>
              <w:ind w:left="40"/>
              <w:spacing w:after="0"/>
              <w:rPr>
                <w:sz w:val="20"/>
                <w:szCs w:val="20"/>
                <w:color w:val="auto"/>
              </w:rPr>
            </w:pPr>
            <w:r>
              <w:rPr>
                <w:rFonts w:ascii="Arial" w:cs="Arial" w:eastAsia="Arial" w:hAnsi="Arial"/>
                <w:sz w:val="18"/>
                <w:szCs w:val="18"/>
                <w:b w:val="1"/>
                <w:bCs w:val="1"/>
                <w:color w:val="auto"/>
              </w:rPr>
              <w:t>KATONAH X CLO LTD.</w:t>
            </w:r>
          </w:p>
        </w:tc>
        <w:tc>
          <w:tcPr>
            <w:tcW w:w="466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7600" w:type="dxa"/>
            <w:vAlign w:val="bottom"/>
            <w:gridSpan w:val="15"/>
          </w:tcPr>
          <w:p>
            <w:pPr>
              <w:spacing w:after="0" w:line="190" w:lineRule="exact"/>
              <w:rPr>
                <w:rFonts w:ascii="Arial" w:cs="Arial" w:eastAsia="Arial" w:hAnsi="Arial"/>
                <w:sz w:val="18"/>
                <w:szCs w:val="18"/>
                <w:color w:val="0000EE"/>
              </w:rPr>
            </w:pPr>
            <w:hyperlink w:anchor="page175">
              <w:r>
                <w:rPr>
                  <w:rFonts w:ascii="Arial" w:cs="Arial" w:eastAsia="Arial" w:hAnsi="Arial"/>
                  <w:sz w:val="18"/>
                  <w:szCs w:val="18"/>
                  <w:color w:val="0000EE"/>
                </w:rPr>
                <w:t>Report of Independent Certified Public Accountants</w:t>
              </w:r>
            </w:hyperlink>
          </w:p>
        </w:tc>
        <w:tc>
          <w:tcPr>
            <w:tcW w:w="600" w:type="dxa"/>
            <w:vAlign w:val="bottom"/>
            <w:gridSpan w:val="4"/>
          </w:tcPr>
          <w:p>
            <w:pPr>
              <w:jc w:val="right"/>
              <w:ind w:right="80"/>
              <w:spacing w:after="0" w:line="190" w:lineRule="exact"/>
              <w:rPr>
                <w:rFonts w:ascii="Arial" w:cs="Arial" w:eastAsia="Arial" w:hAnsi="Arial"/>
                <w:sz w:val="18"/>
                <w:szCs w:val="18"/>
                <w:color w:val="0000EE"/>
              </w:rPr>
            </w:pPr>
            <w:hyperlink w:anchor="page175">
              <w:r>
                <w:rPr>
                  <w:rFonts w:ascii="Arial" w:cs="Arial" w:eastAsia="Arial" w:hAnsi="Arial"/>
                  <w:sz w:val="18"/>
                  <w:szCs w:val="18"/>
                  <w:color w:val="0000EE"/>
                </w:rPr>
                <w:t>S-55</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3580" w:type="dxa"/>
            <w:vAlign w:val="bottom"/>
            <w:gridSpan w:val="6"/>
            <w:shd w:val="clear" w:color="auto" w:fill="CCFFCC"/>
          </w:tcPr>
          <w:p>
            <w:pPr>
              <w:spacing w:after="0" w:line="176" w:lineRule="exact"/>
              <w:rPr>
                <w:rFonts w:ascii="Arial" w:cs="Arial" w:eastAsia="Arial" w:hAnsi="Arial"/>
                <w:sz w:val="18"/>
                <w:szCs w:val="18"/>
                <w:color w:val="0000EE"/>
                <w:w w:val="88"/>
              </w:rPr>
            </w:pPr>
            <w:hyperlink w:anchor="page176">
              <w:r>
                <w:rPr>
                  <w:rFonts w:ascii="Arial" w:cs="Arial" w:eastAsia="Arial" w:hAnsi="Arial"/>
                  <w:sz w:val="18"/>
                  <w:szCs w:val="18"/>
                  <w:color w:val="0000EE"/>
                  <w:w w:val="88"/>
                </w:rPr>
                <w:t>Statement of Net Assets as of December 31, 2013</w:t>
              </w:r>
            </w:hyperlink>
          </w:p>
        </w:tc>
        <w:tc>
          <w:tcPr>
            <w:tcW w:w="4020" w:type="dxa"/>
            <w:vAlign w:val="bottom"/>
            <w:gridSpan w:val="9"/>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420" w:type="dxa"/>
            <w:vAlign w:val="bottom"/>
            <w:gridSpan w:val="3"/>
            <w:shd w:val="clear" w:color="auto" w:fill="CCFFCC"/>
          </w:tcPr>
          <w:p>
            <w:pPr>
              <w:jc w:val="right"/>
              <w:ind w:right="80"/>
              <w:spacing w:after="0" w:line="176" w:lineRule="exact"/>
              <w:rPr>
                <w:rFonts w:ascii="Arial" w:cs="Arial" w:eastAsia="Arial" w:hAnsi="Arial"/>
                <w:sz w:val="18"/>
                <w:szCs w:val="18"/>
                <w:color w:val="0000EE"/>
                <w:w w:val="84"/>
              </w:rPr>
            </w:pPr>
            <w:hyperlink w:anchor="page176">
              <w:r>
                <w:rPr>
                  <w:rFonts w:ascii="Arial" w:cs="Arial" w:eastAsia="Arial" w:hAnsi="Arial"/>
                  <w:sz w:val="18"/>
                  <w:szCs w:val="18"/>
                  <w:color w:val="0000EE"/>
                  <w:w w:val="84"/>
                </w:rPr>
                <w:t>S-56</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40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600" w:type="dxa"/>
            <w:vAlign w:val="bottom"/>
            <w:gridSpan w:val="15"/>
          </w:tcPr>
          <w:p>
            <w:pPr>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Statement of Operations for the year ended December 31, 2013</w:t>
              </w:r>
            </w:hyperlink>
          </w:p>
        </w:tc>
        <w:tc>
          <w:tcPr>
            <w:tcW w:w="600" w:type="dxa"/>
            <w:vAlign w:val="bottom"/>
            <w:gridSpan w:val="4"/>
          </w:tcPr>
          <w:p>
            <w:pPr>
              <w:jc w:val="right"/>
              <w:ind w:right="80"/>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S-57</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00" w:type="dxa"/>
            <w:vAlign w:val="bottom"/>
            <w:gridSpan w:val="15"/>
            <w:shd w:val="clear" w:color="auto" w:fill="CCFFCC"/>
          </w:tcPr>
          <w:p>
            <w:pPr>
              <w:spacing w:after="0" w:line="176" w:lineRule="exact"/>
              <w:rPr>
                <w:rFonts w:ascii="Arial" w:cs="Arial" w:eastAsia="Arial" w:hAnsi="Arial"/>
                <w:sz w:val="18"/>
                <w:szCs w:val="18"/>
                <w:color w:val="0000EE"/>
              </w:rPr>
            </w:pPr>
            <w:hyperlink w:anchor="page178">
              <w:r>
                <w:rPr>
                  <w:rFonts w:ascii="Arial" w:cs="Arial" w:eastAsia="Arial" w:hAnsi="Arial"/>
                  <w:sz w:val="18"/>
                  <w:szCs w:val="18"/>
                  <w:color w:val="0000EE"/>
                </w:rPr>
                <w:t>Statement of Changes in Net Assets for the year ended December 31, 2013</w:t>
              </w:r>
            </w:hyperlink>
          </w:p>
        </w:tc>
        <w:tc>
          <w:tcPr>
            <w:tcW w:w="600" w:type="dxa"/>
            <w:vAlign w:val="bottom"/>
            <w:gridSpan w:val="4"/>
            <w:shd w:val="clear" w:color="auto" w:fill="CCFFCC"/>
          </w:tcPr>
          <w:p>
            <w:pPr>
              <w:jc w:val="right"/>
              <w:ind w:right="80"/>
              <w:spacing w:after="0" w:line="176" w:lineRule="exact"/>
              <w:rPr>
                <w:rFonts w:ascii="Arial" w:cs="Arial" w:eastAsia="Arial" w:hAnsi="Arial"/>
                <w:sz w:val="18"/>
                <w:szCs w:val="18"/>
                <w:color w:val="0000EE"/>
              </w:rPr>
            </w:pPr>
            <w:hyperlink w:anchor="page178">
              <w:r>
                <w:rPr>
                  <w:rFonts w:ascii="Arial" w:cs="Arial" w:eastAsia="Arial" w:hAnsi="Arial"/>
                  <w:sz w:val="18"/>
                  <w:szCs w:val="18"/>
                  <w:color w:val="0000EE"/>
                </w:rPr>
                <w:t>S-58</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40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8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7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380" w:type="dxa"/>
            <w:vAlign w:val="bottom"/>
            <w:gridSpan w:val="10"/>
          </w:tcPr>
          <w:p>
            <w:pPr>
              <w:spacing w:after="0" w:line="176" w:lineRule="exact"/>
              <w:rPr>
                <w:rFonts w:ascii="Arial" w:cs="Arial" w:eastAsia="Arial" w:hAnsi="Arial"/>
                <w:sz w:val="18"/>
                <w:szCs w:val="18"/>
                <w:color w:val="0000EE"/>
              </w:rPr>
            </w:pPr>
            <w:hyperlink w:anchor="page179">
              <w:r>
                <w:rPr>
                  <w:rFonts w:ascii="Arial" w:cs="Arial" w:eastAsia="Arial" w:hAnsi="Arial"/>
                  <w:sz w:val="18"/>
                  <w:szCs w:val="18"/>
                  <w:color w:val="0000EE"/>
                </w:rPr>
                <w:t>Statement of Cash Flows for the year ended December 31, 2013</w:t>
              </w:r>
            </w:hyperlink>
          </w:p>
        </w:tc>
        <w:tc>
          <w:tcPr>
            <w:tcW w:w="222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3"/>
          </w:tcPr>
          <w:p>
            <w:pPr>
              <w:jc w:val="right"/>
              <w:ind w:right="80"/>
              <w:spacing w:after="0" w:line="176" w:lineRule="exact"/>
              <w:rPr>
                <w:rFonts w:ascii="Arial" w:cs="Arial" w:eastAsia="Arial" w:hAnsi="Arial"/>
                <w:sz w:val="18"/>
                <w:szCs w:val="18"/>
                <w:color w:val="0000EE"/>
                <w:w w:val="84"/>
              </w:rPr>
            </w:pPr>
            <w:hyperlink w:anchor="page179">
              <w:r>
                <w:rPr>
                  <w:rFonts w:ascii="Arial" w:cs="Arial" w:eastAsia="Arial" w:hAnsi="Arial"/>
                  <w:sz w:val="18"/>
                  <w:szCs w:val="18"/>
                  <w:color w:val="0000EE"/>
                  <w:w w:val="84"/>
                </w:rPr>
                <w:t>S-59</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600" w:type="dxa"/>
            <w:vAlign w:val="bottom"/>
            <w:gridSpan w:val="15"/>
            <w:shd w:val="clear" w:color="auto" w:fill="CCFFCC"/>
          </w:tcPr>
          <w:p>
            <w:pPr>
              <w:spacing w:after="0" w:line="176" w:lineRule="exact"/>
              <w:rPr>
                <w:rFonts w:ascii="Arial" w:cs="Arial" w:eastAsia="Arial" w:hAnsi="Arial"/>
                <w:sz w:val="18"/>
                <w:szCs w:val="18"/>
                <w:color w:val="0000EE"/>
              </w:rPr>
            </w:pPr>
            <w:hyperlink w:anchor="page180">
              <w:r>
                <w:rPr>
                  <w:rFonts w:ascii="Arial" w:cs="Arial" w:eastAsia="Arial" w:hAnsi="Arial"/>
                  <w:sz w:val="18"/>
                  <w:szCs w:val="18"/>
                  <w:color w:val="0000EE"/>
                </w:rPr>
                <w:t>Schedule of Investment as of December 31, 2013</w:t>
              </w:r>
            </w:hyperlink>
          </w:p>
        </w:tc>
        <w:tc>
          <w:tcPr>
            <w:tcW w:w="600" w:type="dxa"/>
            <w:vAlign w:val="bottom"/>
            <w:gridSpan w:val="4"/>
            <w:shd w:val="clear" w:color="auto" w:fill="CCFFCC"/>
          </w:tcPr>
          <w:p>
            <w:pPr>
              <w:jc w:val="right"/>
              <w:ind w:right="80"/>
              <w:spacing w:after="0" w:line="176" w:lineRule="exact"/>
              <w:rPr>
                <w:rFonts w:ascii="Arial" w:cs="Arial" w:eastAsia="Arial" w:hAnsi="Arial"/>
                <w:sz w:val="18"/>
                <w:szCs w:val="18"/>
                <w:color w:val="0000EE"/>
              </w:rPr>
            </w:pPr>
            <w:hyperlink w:anchor="page180">
              <w:r>
                <w:rPr>
                  <w:rFonts w:ascii="Arial" w:cs="Arial" w:eastAsia="Arial" w:hAnsi="Arial"/>
                  <w:sz w:val="18"/>
                  <w:szCs w:val="18"/>
                  <w:color w:val="0000EE"/>
                </w:rPr>
                <w:t>S-60</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400" w:type="dxa"/>
            <w:vAlign w:val="bottom"/>
            <w:tcBorders>
              <w:top w:val="single" w:sz="8" w:color="0000EE"/>
            </w:tcBorders>
            <w:shd w:val="clear" w:color="auto" w:fill="CCFFCC"/>
          </w:tcPr>
          <w:p>
            <w:pPr>
              <w:spacing w:after="0" w:line="20" w:lineRule="exact"/>
              <w:rPr>
                <w:sz w:val="1"/>
                <w:szCs w:val="1"/>
                <w:color w:val="auto"/>
              </w:rPr>
            </w:pPr>
          </w:p>
        </w:tc>
        <w:tc>
          <w:tcPr>
            <w:tcW w:w="136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5"/>
          </w:tcPr>
          <w:p>
            <w:pPr>
              <w:spacing w:after="0" w:line="176" w:lineRule="exact"/>
              <w:rPr>
                <w:rFonts w:ascii="Arial" w:cs="Arial" w:eastAsia="Arial" w:hAnsi="Arial"/>
                <w:sz w:val="18"/>
                <w:szCs w:val="18"/>
                <w:color w:val="0000EE"/>
              </w:rPr>
            </w:pPr>
            <w:hyperlink w:anchor="page189">
              <w:r>
                <w:rPr>
                  <w:rFonts w:ascii="Arial" w:cs="Arial" w:eastAsia="Arial" w:hAnsi="Arial"/>
                  <w:sz w:val="18"/>
                  <w:szCs w:val="18"/>
                  <w:color w:val="0000EE"/>
                </w:rPr>
                <w:t>Notes to Combined Financial Statements</w:t>
              </w:r>
            </w:hyperlink>
          </w:p>
        </w:tc>
        <w:tc>
          <w:tcPr>
            <w:tcW w:w="4060" w:type="dxa"/>
            <w:vAlign w:val="bottom"/>
            <w:gridSpan w:val="10"/>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3"/>
          </w:tcPr>
          <w:p>
            <w:pPr>
              <w:jc w:val="right"/>
              <w:ind w:right="80"/>
              <w:spacing w:after="0" w:line="176" w:lineRule="exact"/>
              <w:rPr>
                <w:rFonts w:ascii="Arial" w:cs="Arial" w:eastAsia="Arial" w:hAnsi="Arial"/>
                <w:sz w:val="18"/>
                <w:szCs w:val="18"/>
                <w:color w:val="0000EE"/>
                <w:w w:val="84"/>
              </w:rPr>
            </w:pPr>
            <w:hyperlink w:anchor="page189">
              <w:r>
                <w:rPr>
                  <w:rFonts w:ascii="Arial" w:cs="Arial" w:eastAsia="Arial" w:hAnsi="Arial"/>
                  <w:sz w:val="18"/>
                  <w:szCs w:val="18"/>
                  <w:color w:val="0000EE"/>
                  <w:w w:val="84"/>
                </w:rPr>
                <w:t>S-69</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-3678555</wp:posOffset>
            </wp:positionV>
            <wp:extent cx="521398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-2211705</wp:posOffset>
            </wp:positionV>
            <wp:extent cx="52057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-1019810</wp:posOffset>
            </wp:positionV>
            <wp:extent cx="52057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IMPORTANT NOTE</w:t>
      </w:r>
    </w:p>
    <w:p>
      <w:pPr>
        <w:spacing w:after="0" w:line="121" w:lineRule="exact"/>
        <w:rPr>
          <w:sz w:val="20"/>
          <w:szCs w:val="20"/>
          <w:color w:val="auto"/>
        </w:rPr>
      </w:pPr>
    </w:p>
    <w:p>
      <w:pPr>
        <w:ind w:left="60" w:right="579" w:firstLine="270"/>
        <w:spacing w:after="0" w:line="272" w:lineRule="auto"/>
        <w:rPr>
          <w:sz w:val="20"/>
          <w:szCs w:val="20"/>
          <w:color w:val="auto"/>
        </w:rPr>
      </w:pPr>
      <w:r>
        <w:rPr>
          <w:rFonts w:ascii="Arial" w:cs="Arial" w:eastAsia="Arial" w:hAnsi="Arial"/>
          <w:sz w:val="17"/>
          <w:szCs w:val="17"/>
          <w:color w:val="auto"/>
        </w:rPr>
        <w:t>In accordance with certain SEC rules, KCAP Financial, Inc. (the “Company”) is providing additional information regarding the following three portfolio companies: Katonah Debt Advisers, L.L.C., Trimaran Advisors, L.L.C. (collectively the Asset Manager Affiliates), Katonah 2007-I CLO Ltd and Katonah X CLO Ltd. The Company owns 100% of the equity interests in the Asset Manager Affiliates, 100% of the Preferred Shares in Katonah 2007-1 CLO Ltd, and 33.3% of the Subordinated Securities in Katonah X CLO Ltd. However, pursuant to SEC rules, the Company does not consolidate portfolio company investments, including those in which it has a controlling interest. As a result, the additional financial information regarding these entities does not directly impact the Company’s financial position, results of operations or cash flows.</w:t>
      </w:r>
    </w:p>
    <w:p>
      <w:pPr>
        <w:spacing w:after="0" w:line="200" w:lineRule="exact"/>
        <w:rPr>
          <w:sz w:val="20"/>
          <w:szCs w:val="20"/>
          <w:color w:val="auto"/>
        </w:rPr>
      </w:pPr>
    </w:p>
    <w:p>
      <w:pPr>
        <w:spacing w:after="0" w:line="3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KCAP Financial, Inc.</w:t>
      </w:r>
    </w:p>
    <w:p>
      <w:pPr>
        <w:spacing w:after="0" w:line="103" w:lineRule="exact"/>
        <w:rPr>
          <w:sz w:val="20"/>
          <w:szCs w:val="20"/>
          <w:color w:val="auto"/>
        </w:rPr>
      </w:pPr>
    </w:p>
    <w:p>
      <w:pPr>
        <w:jc w:val="both"/>
        <w:ind w:left="40" w:right="599" w:firstLine="270"/>
        <w:spacing w:after="0" w:line="340" w:lineRule="auto"/>
        <w:rPr>
          <w:sz w:val="20"/>
          <w:szCs w:val="20"/>
          <w:color w:val="auto"/>
        </w:rPr>
      </w:pPr>
      <w:r>
        <w:rPr>
          <w:rFonts w:ascii="Arial" w:cs="Arial" w:eastAsia="Arial" w:hAnsi="Arial"/>
          <w:sz w:val="15"/>
          <w:szCs w:val="15"/>
          <w:color w:val="auto"/>
        </w:rPr>
        <w:t>We have audited the accompanying combined financial statements of Asset Manager Affiliates, which comprise the combined balance sheets as of December 31, 2013 and 2012, and the related combined statements of operations, changes in member’s equity, and cash flows for each of the three years in the period ended December 31, 2013, and the related notes to the financial statements.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Management is responsible for the preparation and fair presentation of these combined financial statements in accordance with accounting principles generally accepted in the United States of America; this includes the design, implementation, and maintenance of internal control relevant to the preparation and fair presentation of combined financial statements that are free from material misstatement, whether due to fraud or error.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Our responsibility is to express an opinion on these combined financial statements based on our audits. We conducted our audits in accordance with auditing standards generally accepted in the United States of America. Those standards require that we plan and perform the audit to obtain reasonable assurance about whether the combined financial statements are free from material misstatement. An audit involves performing procedures to obtain audit evidence about the amounts and disclosures in the combined financial statements. The procedures selected depend on the auditor’s judgment, including the assessment of the risks of material misstatement of the combined financial statements, whether due to fraud or error. In making those risk assessments, the auditor considers internal control relevant to entity’s preparation and fair presentation of the combined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combined financial statements.</w:t>
      </w:r>
    </w:p>
    <w:p>
      <w:pPr>
        <w:spacing w:after="0" w:line="75" w:lineRule="exact"/>
        <w:rPr>
          <w:sz w:val="20"/>
          <w:szCs w:val="20"/>
          <w:color w:val="auto"/>
        </w:rPr>
      </w:pPr>
    </w:p>
    <w:p>
      <w:pPr>
        <w:ind w:left="40" w:right="1039" w:firstLine="270"/>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color w:val="auto"/>
        </w:rPr>
        <w:t>In our opinion, the combined financial statements referred to above present fairly, in all material respects, the financial position of Asset Manager Affiliates as of December 31, 2013 and 2012, and the results of their operations and their cash flows for each of the three years in the period ended December 31, 2013 in accordance with accounting principles generally accepted in the United States of America.</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1" w:name="page122"/>
    <w:bookmarkEnd w:id="12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As of 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As of December 31,</w:t>
            </w:r>
          </w:p>
        </w:tc>
      </w:t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Investments of CLO Funds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2,964,229,086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3,255,805,442</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7,499,272</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5,999,902</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Restricted cash of CLO Funds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278,813,923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533,222,266</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7,687,354</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10,221,246</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Receivable for open trades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5,968,712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4,242,938</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2,567,191</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1,108,448</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32,066,265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35,608,302</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978,265</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1,089,243</w:t>
            </w:r>
          </w:p>
        </w:tc>
      </w:tr>
      <w:tr>
        <w:trPr>
          <w:trHeight w:val="20"/>
        </w:trPr>
        <w:tc>
          <w:tcPr>
            <w:tcW w:w="52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3,299,810,068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3,847,297,787</w:t>
            </w:r>
          </w:p>
        </w:tc>
      </w:tr>
      <w:tr>
        <w:trPr>
          <w:trHeight w:val="21"/>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CLO Fund liabilities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3,079,835,713</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3,459,529,711</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16,254,470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11,886,206</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Payable for open trades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50,056,641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224,409,793</w:t>
            </w: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7,507,917</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3,090,264</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3,176,654,741</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3,698,915,974</w:t>
            </w:r>
          </w:p>
        </w:tc>
      </w:tr>
      <w:tr>
        <w:trPr>
          <w:trHeight w:val="210"/>
        </w:trPr>
        <w:tc>
          <w:tcPr>
            <w:tcW w:w="52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MEMBER'S EQUITY</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16"/>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Member's contributions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51,984,116</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51,754,920</w:t>
            </w: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(13,129,017)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(8,244,102)</w:t>
            </w:r>
          </w:p>
        </w:tc>
      </w:tr>
      <w:tr>
        <w:trPr>
          <w:trHeight w:val="20"/>
        </w:trPr>
        <w:tc>
          <w:tcPr>
            <w:tcW w:w="5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Asset Manager Affiliates equity</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38,855,099</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43,510,818</w:t>
            </w:r>
          </w:p>
        </w:tc>
      </w:tr>
      <w:tr>
        <w:trPr>
          <w:trHeight w:val="202"/>
        </w:trPr>
        <w:tc>
          <w:tcPr>
            <w:tcW w:w="5240" w:type="dxa"/>
            <w:vAlign w:val="bottom"/>
          </w:tcPr>
          <w:p>
            <w:pPr>
              <w:ind w:left="20"/>
              <w:spacing w:after="0" w:line="201" w:lineRule="exact"/>
              <w:rPr>
                <w:sz w:val="20"/>
                <w:szCs w:val="20"/>
                <w:color w:val="auto"/>
              </w:rPr>
            </w:pPr>
            <w:r>
              <w:rPr>
                <w:rFonts w:ascii="Arial" w:cs="Arial" w:eastAsia="Arial" w:hAnsi="Arial"/>
                <w:sz w:val="18"/>
                <w:szCs w:val="18"/>
                <w:color w:val="auto"/>
              </w:rPr>
              <w:t>Appropriated retained earnings of Consolidated Variable Interest</w:t>
            </w:r>
          </w:p>
        </w:tc>
        <w:tc>
          <w:tcPr>
            <w:tcW w:w="100" w:type="dxa"/>
            <w:vAlign w:val="bottom"/>
          </w:tcPr>
          <w:p>
            <w:pPr>
              <w:spacing w:after="0"/>
              <w:rPr>
                <w:sz w:val="17"/>
                <w:szCs w:val="17"/>
                <w:color w:val="auto"/>
              </w:rPr>
            </w:pPr>
          </w:p>
        </w:tc>
        <w:tc>
          <w:tcPr>
            <w:tcW w:w="1180" w:type="dxa"/>
            <w:vAlign w:val="bottom"/>
          </w:tcPr>
          <w:p>
            <w:pPr>
              <w:jc w:val="right"/>
              <w:spacing w:after="0" w:line="201" w:lineRule="exact"/>
              <w:rPr>
                <w:sz w:val="20"/>
                <w:szCs w:val="20"/>
                <w:color w:val="auto"/>
              </w:rPr>
            </w:pPr>
            <w:r>
              <w:rPr>
                <w:rFonts w:ascii="Arial" w:cs="Arial" w:eastAsia="Arial" w:hAnsi="Arial"/>
                <w:sz w:val="18"/>
                <w:szCs w:val="18"/>
                <w:color w:val="auto"/>
              </w:rPr>
              <w:t>84,300,228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104,870,995</w:t>
            </w: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Entities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5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123,155,327</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148,381,813</w:t>
            </w:r>
          </w:p>
        </w:tc>
      </w:tr>
      <w:tr>
        <w:trPr>
          <w:trHeight w:val="20"/>
        </w:trPr>
        <w:tc>
          <w:tcPr>
            <w:tcW w:w="52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3,299,810,068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3,847,297,787</w:t>
            </w:r>
          </w:p>
        </w:tc>
      </w:tr>
      <w:tr>
        <w:trPr>
          <w:trHeight w:val="21"/>
        </w:trPr>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-2314575</wp:posOffset>
            </wp:positionV>
            <wp:extent cx="5213985" cy="1803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-1165860</wp:posOffset>
            </wp:positionV>
            <wp:extent cx="5213985" cy="146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2" w:name="page123"/>
    <w:bookmarkEnd w:id="12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COMBINED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10"/>
          </w:tcPr>
          <w:p>
            <w:pPr>
              <w:jc w:val="right"/>
              <w:ind w:right="7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96"/>
        </w:trPr>
        <w:tc>
          <w:tcPr>
            <w:tcW w:w="4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income – investments of CLO Funds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7"/>
              </w:rPr>
              <w:t>125,889,874</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128,287,573</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68,772,354</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Interest income – cash and time deposits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332,775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280,546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72,372</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Management fees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448,790</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Fee income</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8,489,809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5,268,647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3,769,889</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92,624</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75,301</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0"/>
        </w:trPr>
        <w:tc>
          <w:tcPr>
            <w:tcW w:w="45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0"/>
              <w:spacing w:after="0"/>
              <w:rPr>
                <w:sz w:val="20"/>
                <w:szCs w:val="20"/>
                <w:color w:val="auto"/>
              </w:rPr>
            </w:pPr>
            <w:r>
              <w:rPr>
                <w:rFonts w:ascii="Arial" w:cs="Arial" w:eastAsia="Arial" w:hAnsi="Arial"/>
                <w:sz w:val="18"/>
                <w:szCs w:val="18"/>
                <w:b w:val="1"/>
                <w:bCs w:val="1"/>
                <w:color w:val="auto"/>
              </w:rPr>
              <w:t>Total income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134,805,082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133,912,067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73,070,636</w:t>
            </w:r>
          </w:p>
        </w:tc>
        <w:tc>
          <w:tcPr>
            <w:tcW w:w="0" w:type="dxa"/>
            <w:vAlign w:val="bottom"/>
          </w:tcPr>
          <w:p>
            <w:pPr>
              <w:spacing w:after="0"/>
              <w:rPr>
                <w:sz w:val="1"/>
                <w:szCs w:val="1"/>
                <w:color w:val="auto"/>
              </w:rPr>
            </w:pPr>
          </w:p>
        </w:tc>
      </w:tr>
      <w:tr>
        <w:trPr>
          <w:trHeight w:val="210"/>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Interest expense of CLO Fund liabilities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107,760,918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113,547,094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55,650,280</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interest expense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627,903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185,000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8,384,972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7,491,019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5,399,451</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513,023</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526,341</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469,089</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10,009,084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10,134,959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990,307</w:t>
            </w:r>
          </w:p>
        </w:tc>
        <w:tc>
          <w:tcPr>
            <w:tcW w:w="0" w:type="dxa"/>
            <w:vAlign w:val="bottom"/>
          </w:tcPr>
          <w:p>
            <w:pPr>
              <w:spacing w:after="0"/>
              <w:rPr>
                <w:sz w:val="1"/>
                <w:szCs w:val="1"/>
                <w:color w:val="auto"/>
              </w:rPr>
            </w:pPr>
          </w:p>
        </w:tc>
      </w:tr>
      <w:tr>
        <w:trPr>
          <w:trHeight w:val="216"/>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Administrative and other</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6,014,316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4,680,284</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1,429,837</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Trustee fees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948,898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896,494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540,683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134,259,114</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137,461,191</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64,479,647</w:t>
            </w:r>
          </w:p>
        </w:tc>
        <w:tc>
          <w:tcPr>
            <w:tcW w:w="0" w:type="dxa"/>
            <w:vAlign w:val="bottom"/>
          </w:tcPr>
          <w:p>
            <w:pPr>
              <w:spacing w:after="0"/>
              <w:rPr>
                <w:sz w:val="1"/>
                <w:szCs w:val="1"/>
                <w:color w:val="auto"/>
              </w:rPr>
            </w:pPr>
          </w:p>
        </w:tc>
      </w:tr>
      <w:tr>
        <w:trPr>
          <w:trHeight w:val="20"/>
        </w:trPr>
        <w:tc>
          <w:tcPr>
            <w:tcW w:w="45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Net realized and unrealized loss</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(13,899,200)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(92,034,322)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(41,726,392)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loss before tax</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(13,353,232)</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2"/>
              </w:rPr>
              <w:t>(95,583,446)</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4"/>
              </w:rPr>
              <w:t>(33,135,403)</w:t>
            </w:r>
          </w:p>
        </w:tc>
        <w:tc>
          <w:tcPr>
            <w:tcW w:w="0" w:type="dxa"/>
            <w:vAlign w:val="bottom"/>
          </w:tcPr>
          <w:p>
            <w:pPr>
              <w:spacing w:after="0"/>
              <w:rPr>
                <w:sz w:val="1"/>
                <w:szCs w:val="1"/>
                <w:color w:val="auto"/>
              </w:rPr>
            </w:pPr>
          </w:p>
        </w:tc>
      </w:tr>
      <w:tr>
        <w:trPr>
          <w:trHeight w:val="20"/>
        </w:trPr>
        <w:tc>
          <w:tcPr>
            <w:tcW w:w="45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(657,334)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(350,950)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(221,315)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2"/>
              </w:rPr>
              <w:t>(12,695,898)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2"/>
              </w:rPr>
              <w:t>(95,232,496)</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4"/>
              </w:rPr>
              <w:t>(32,914,088)</w:t>
            </w:r>
          </w:p>
        </w:tc>
        <w:tc>
          <w:tcPr>
            <w:tcW w:w="0" w:type="dxa"/>
            <w:vAlign w:val="bottom"/>
          </w:tcPr>
          <w:p>
            <w:pPr>
              <w:spacing w:after="0"/>
              <w:rPr>
                <w:sz w:val="1"/>
                <w:szCs w:val="1"/>
                <w:color w:val="auto"/>
              </w:rPr>
            </w:pPr>
          </w:p>
        </w:tc>
      </w:tr>
      <w:tr>
        <w:trPr>
          <w:trHeight w:val="202"/>
        </w:trPr>
        <w:tc>
          <w:tcPr>
            <w:tcW w:w="4500" w:type="dxa"/>
            <w:vAlign w:val="bottom"/>
          </w:tcPr>
          <w:p>
            <w:pPr>
              <w:ind w:left="20"/>
              <w:spacing w:after="0" w:line="201" w:lineRule="exact"/>
              <w:rPr>
                <w:sz w:val="20"/>
                <w:szCs w:val="20"/>
                <w:color w:val="auto"/>
              </w:rPr>
            </w:pPr>
            <w:r>
              <w:rPr>
                <w:rFonts w:ascii="Arial" w:cs="Arial" w:eastAsia="Arial" w:hAnsi="Arial"/>
                <w:sz w:val="18"/>
                <w:szCs w:val="18"/>
                <w:color w:val="auto"/>
              </w:rPr>
              <w:t>Net loss attributable to noncontrolling interests in</w:t>
            </w:r>
          </w:p>
        </w:tc>
        <w:tc>
          <w:tcPr>
            <w:tcW w:w="100" w:type="dxa"/>
            <w:vAlign w:val="bottom"/>
          </w:tcPr>
          <w:p>
            <w:pPr>
              <w:spacing w:after="0"/>
              <w:rPr>
                <w:sz w:val="17"/>
                <w:szCs w:val="17"/>
                <w:color w:val="auto"/>
              </w:rPr>
            </w:pPr>
          </w:p>
        </w:tc>
        <w:tc>
          <w:tcPr>
            <w:tcW w:w="10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w w:val="92"/>
              </w:rPr>
              <w:t>(20,570,766)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2"/>
              </w:rPr>
              <w:t>(98,395,671)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4"/>
              </w:rPr>
              <w:t>(33,665,298)</w:t>
            </w:r>
          </w:p>
        </w:tc>
        <w:tc>
          <w:tcPr>
            <w:tcW w:w="0" w:type="dxa"/>
            <w:vAlign w:val="bottom"/>
          </w:tcPr>
          <w:p>
            <w:pPr>
              <w:spacing w:after="0"/>
              <w:rPr>
                <w:sz w:val="1"/>
                <w:szCs w:val="1"/>
                <w:color w:val="auto"/>
              </w:rPr>
            </w:pPr>
          </w:p>
        </w:tc>
      </w:tr>
      <w:tr>
        <w:trPr>
          <w:trHeight w:val="230"/>
        </w:trPr>
        <w:tc>
          <w:tcPr>
            <w:tcW w:w="4500" w:type="dxa"/>
            <w:vAlign w:val="bottom"/>
          </w:tcPr>
          <w:p>
            <w:pPr>
              <w:ind w:left="200"/>
              <w:spacing w:after="0"/>
              <w:rPr>
                <w:sz w:val="20"/>
                <w:szCs w:val="20"/>
                <w:color w:val="auto"/>
              </w:rPr>
            </w:pPr>
            <w:r>
              <w:rPr>
                <w:rFonts w:ascii="Arial" w:cs="Arial" w:eastAsia="Arial" w:hAnsi="Arial"/>
                <w:sz w:val="18"/>
                <w:szCs w:val="18"/>
                <w:color w:val="auto"/>
              </w:rPr>
              <w:t>consolidated Variable Interest Entities</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income attributable to Asset Manager Affiliates</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7,874,868</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3,163,174</w:t>
            </w:r>
          </w:p>
        </w:tc>
        <w:tc>
          <w:tcPr>
            <w:tcW w:w="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751,210</w:t>
            </w:r>
          </w:p>
        </w:tc>
        <w:tc>
          <w:tcPr>
            <w:tcW w:w="0" w:type="dxa"/>
            <w:vAlign w:val="bottom"/>
          </w:tcPr>
          <w:p>
            <w:pPr>
              <w:spacing w:after="0"/>
              <w:rPr>
                <w:sz w:val="1"/>
                <w:szCs w:val="1"/>
                <w:color w:val="auto"/>
              </w:rPr>
            </w:pPr>
          </w:p>
        </w:tc>
      </w:tr>
      <w:tr>
        <w:trPr>
          <w:trHeight w:val="20"/>
        </w:trPr>
        <w:tc>
          <w:tcPr>
            <w:tcW w:w="45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-2434590</wp:posOffset>
            </wp:positionV>
            <wp:extent cx="5213985"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-1036955</wp:posOffset>
            </wp:positionV>
            <wp:extent cx="5213985"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-745490</wp:posOffset>
            </wp:positionV>
            <wp:extent cx="5213985"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3" w:name="page124"/>
    <w:bookmarkEnd w:id="12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COMBINED STATEMENTS OF CHANGES IN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Member's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Appropriated</w:t>
            </w: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 Member's</w:t>
            </w:r>
          </w:p>
        </w:tc>
      </w:tr>
      <w:tr>
        <w:trPr>
          <w:trHeight w:val="149"/>
        </w:trPr>
        <w:tc>
          <w:tcPr>
            <w:tcW w:w="30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Contributions</w:t>
            </w:r>
          </w:p>
        </w:tc>
        <w:tc>
          <w:tcPr>
            <w:tcW w:w="1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Earnings (Deficit)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Retained Earnings</w:t>
            </w:r>
          </w:p>
        </w:tc>
        <w:tc>
          <w:tcPr>
            <w:tcW w:w="16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Equity</w:t>
            </w:r>
          </w:p>
        </w:tc>
      </w:tr>
      <w:tr>
        <w:trPr>
          <w:trHeight w:val="149"/>
        </w:trPr>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(Deficit) of Variable</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1"/>
        </w:trPr>
        <w:tc>
          <w:tcPr>
            <w:tcW w:w="3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Interest Entities</w:t>
            </w:r>
          </w:p>
        </w:tc>
        <w:tc>
          <w:tcPr>
            <w:tcW w:w="1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210"/>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at December 31, 2010</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89"/>
              </w:rPr>
              <w:t>$ 12,112,655</w:t>
            </w:r>
          </w:p>
        </w:tc>
        <w:tc>
          <w:tcPr>
            <w:tcW w:w="260" w:type="dxa"/>
            <w:vAlign w:val="bottom"/>
            <w:gridSpan w:val="2"/>
            <w:shd w:val="clear" w:color="auto" w:fill="CCFFCC"/>
          </w:tcPr>
          <w:p>
            <w:pPr>
              <w:ind w:left="180"/>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9"/>
              </w:rPr>
              <w:t>(5,548,487)</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129,510,566</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$ 136,074,734</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751,211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751,211</w:t>
            </w: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Contributions</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855,243</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855,243</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(34,640)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(1,944,640)</w:t>
            </w:r>
          </w:p>
        </w:tc>
      </w:tr>
      <w:tr>
        <w:trPr>
          <w:trHeight w:val="202"/>
        </w:trPr>
        <w:tc>
          <w:tcPr>
            <w:tcW w:w="30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loss classified to appropriated</w:t>
            </w:r>
          </w:p>
        </w:tc>
        <w:tc>
          <w:tcPr>
            <w:tcW w:w="10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(33,665,298)</w:t>
            </w:r>
          </w:p>
        </w:tc>
        <w:tc>
          <w:tcPr>
            <w:tcW w:w="1340" w:type="dxa"/>
            <w:vAlign w:val="bottom"/>
            <w:gridSpan w:val="3"/>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(33,665,298)</w:t>
            </w:r>
          </w:p>
        </w:tc>
      </w:tr>
      <w:tr>
        <w:trPr>
          <w:trHeight w:val="230"/>
        </w:trPr>
        <w:tc>
          <w:tcPr>
            <w:tcW w:w="30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retained earnings</w:t>
            </w:r>
          </w:p>
        </w:tc>
        <w:tc>
          <w:tcPr>
            <w:tcW w:w="96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 at December 31, 2011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12,933,258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(6,707,276)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95,845,268</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102,071,250</w:t>
            </w:r>
          </w:p>
        </w:tc>
      </w:tr>
      <w:tr>
        <w:trPr>
          <w:trHeight w:val="202"/>
        </w:trPr>
        <w:tc>
          <w:tcPr>
            <w:tcW w:w="30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Adoption of guidance now</w:t>
            </w:r>
          </w:p>
        </w:tc>
        <w:tc>
          <w:tcPr>
            <w:tcW w:w="10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107,421,398</w:t>
            </w:r>
          </w:p>
        </w:tc>
        <w:tc>
          <w:tcPr>
            <w:tcW w:w="134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107,421,398</w:t>
            </w:r>
          </w:p>
        </w:tc>
      </w:tr>
      <w:tr>
        <w:trPr>
          <w:trHeight w:val="230"/>
        </w:trPr>
        <w:tc>
          <w:tcPr>
            <w:tcW w:w="30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encompassed in ASC Topic 810</w:t>
            </w:r>
          </w:p>
        </w:tc>
        <w:tc>
          <w:tcPr>
            <w:tcW w:w="9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3,163,174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3,163,174</w:t>
            </w: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Distributions</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(4,700,000)</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(4,700,000)</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Contributions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38,821,662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38,821,662</w:t>
            </w:r>
          </w:p>
        </w:tc>
      </w:tr>
      <w:tr>
        <w:trPr>
          <w:trHeight w:val="202"/>
        </w:trPr>
        <w:tc>
          <w:tcPr>
            <w:tcW w:w="30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Net loss classified to appropriated</w:t>
            </w:r>
          </w:p>
        </w:tc>
        <w:tc>
          <w:tcPr>
            <w:tcW w:w="108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(98,395,671)</w:t>
            </w:r>
          </w:p>
        </w:tc>
        <w:tc>
          <w:tcPr>
            <w:tcW w:w="1340" w:type="dxa"/>
            <w:vAlign w:val="bottom"/>
            <w:gridSpan w:val="3"/>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(98,395,671)</w:t>
            </w:r>
          </w:p>
        </w:tc>
      </w:tr>
      <w:tr>
        <w:trPr>
          <w:trHeight w:val="230"/>
        </w:trPr>
        <w:tc>
          <w:tcPr>
            <w:tcW w:w="30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retained earnings</w:t>
            </w:r>
          </w:p>
        </w:tc>
        <w:tc>
          <w:tcPr>
            <w:tcW w:w="96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auto"/>
            </w:tcBorders>
            <w:shd w:val="clear" w:color="auto" w:fill="CCFFCC"/>
          </w:tcPr>
          <w:p>
            <w:pPr>
              <w:spacing w:after="0"/>
              <w:rPr>
                <w:sz w:val="20"/>
                <w:szCs w:val="20"/>
                <w:color w:val="auto"/>
              </w:rPr>
            </w:pPr>
          </w:p>
        </w:tc>
        <w:tc>
          <w:tcPr>
            <w:tcW w:w="94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 at December 31, 2012</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51,754,920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(8,244,102)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104,870,995</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148,381,813</w:t>
            </w:r>
          </w:p>
        </w:tc>
      </w:tr>
      <w:tr>
        <w:trPr>
          <w:trHeight w:val="20"/>
        </w:trPr>
        <w:tc>
          <w:tcPr>
            <w:tcW w:w="3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7,874,869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7,874,869</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Distributions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(12,759,784)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(12,759,784)</w:t>
            </w: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Contributions</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229,196</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229,196</w:t>
            </w:r>
          </w:p>
        </w:tc>
      </w:tr>
      <w:tr>
        <w:trPr>
          <w:trHeight w:val="202"/>
        </w:trPr>
        <w:tc>
          <w:tcPr>
            <w:tcW w:w="3000" w:type="dxa"/>
            <w:vAlign w:val="bottom"/>
          </w:tcPr>
          <w:p>
            <w:pPr>
              <w:ind w:left="20"/>
              <w:spacing w:after="0" w:line="201" w:lineRule="exact"/>
              <w:rPr>
                <w:sz w:val="20"/>
                <w:szCs w:val="20"/>
                <w:color w:val="auto"/>
              </w:rPr>
            </w:pPr>
            <w:r>
              <w:rPr>
                <w:rFonts w:ascii="Arial" w:cs="Arial" w:eastAsia="Arial" w:hAnsi="Arial"/>
                <w:sz w:val="18"/>
                <w:szCs w:val="18"/>
                <w:color w:val="auto"/>
              </w:rPr>
              <w:t>Net loss classified to appropriated</w:t>
            </w:r>
          </w:p>
        </w:tc>
        <w:tc>
          <w:tcPr>
            <w:tcW w:w="10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(20,570,766)</w:t>
            </w:r>
          </w:p>
        </w:tc>
        <w:tc>
          <w:tcPr>
            <w:tcW w:w="13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(20,570,766)</w:t>
            </w:r>
          </w:p>
        </w:tc>
      </w:tr>
      <w:tr>
        <w:trPr>
          <w:trHeight w:val="230"/>
        </w:trPr>
        <w:tc>
          <w:tcPr>
            <w:tcW w:w="30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at December 31, 2013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9"/>
              </w:rPr>
              <w:t>$ 51,984,116</w:t>
            </w:r>
          </w:p>
        </w:tc>
        <w:tc>
          <w:tcPr>
            <w:tcW w:w="120" w:type="dxa"/>
            <w:vAlign w:val="bottom"/>
            <w:shd w:val="clear" w:color="auto" w:fill="CCFFCC"/>
          </w:tcPr>
          <w:p>
            <w:pPr>
              <w:spacing w:after="0"/>
              <w:rPr>
                <w:sz w:val="20"/>
                <w:szCs w:val="20"/>
                <w:color w:val="auto"/>
              </w:rPr>
            </w:pPr>
          </w:p>
        </w:tc>
        <w:tc>
          <w:tcPr>
            <w:tcW w:w="260" w:type="dxa"/>
            <w:vAlign w:val="bottom"/>
            <w:gridSpan w:val="2"/>
            <w:shd w:val="clear" w:color="auto" w:fill="CCFFCC"/>
          </w:tcPr>
          <w:p>
            <w:pPr>
              <w:ind w:left="180"/>
              <w:spacing w:after="0"/>
              <w:rPr>
                <w:sz w:val="20"/>
                <w:szCs w:val="20"/>
                <w:color w:val="auto"/>
              </w:rPr>
            </w:pPr>
            <w:r>
              <w:rPr>
                <w:rFonts w:ascii="Arial" w:cs="Arial" w:eastAsia="Arial" w:hAnsi="Arial"/>
                <w:sz w:val="15"/>
                <w:szCs w:val="15"/>
                <w:b w:val="1"/>
                <w:bCs w:val="1"/>
                <w:u w:val="single" w:color="auto"/>
                <w:color w:val="auto"/>
                <w:w w:val="71"/>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0"/>
              </w:rPr>
              <w:t>(13,129,017)</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84,300,229</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$ 123,155,328</w:t>
            </w:r>
          </w:p>
        </w:tc>
      </w:tr>
      <w:tr>
        <w:trPr>
          <w:trHeight w:val="20"/>
        </w:trPr>
        <w:tc>
          <w:tcPr>
            <w:tcW w:w="30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-2125980</wp:posOffset>
            </wp:positionV>
            <wp:extent cx="5213985" cy="146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-1019810</wp:posOffset>
            </wp:positionV>
            <wp:extent cx="5213985"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4" w:name="page125"/>
    <w:bookmarkEnd w:id="12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64147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68580</wp:posOffset>
            </wp:positionV>
            <wp:extent cx="641477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2"/>
              </w:rPr>
              <w:t>Years Ended December 31,</w:t>
            </w: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83"/>
        </w:trPr>
        <w:tc>
          <w:tcPr>
            <w:tcW w:w="3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5"/>
                <w:szCs w:val="15"/>
                <w:color w:val="auto"/>
              </w:rPr>
            </w:pPr>
          </w:p>
        </w:tc>
      </w:tr>
      <w:tr>
        <w:trPr>
          <w:trHeight w:val="146"/>
        </w:trPr>
        <w:tc>
          <w:tcPr>
            <w:tcW w:w="3800" w:type="dxa"/>
            <w:vAlign w:val="bottom"/>
          </w:tcPr>
          <w:p>
            <w:pPr>
              <w:spacing w:after="0"/>
              <w:rPr>
                <w:sz w:val="12"/>
                <w:szCs w:val="12"/>
                <w:color w:val="auto"/>
              </w:rPr>
            </w:pPr>
          </w:p>
        </w:tc>
        <w:tc>
          <w:tcPr>
            <w:tcW w:w="10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4"/>
              </w:rPr>
              <w:t>Asset Manager</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7" w:lineRule="exact"/>
              <w:rPr>
                <w:sz w:val="20"/>
                <w:szCs w:val="20"/>
                <w:color w:val="auto"/>
              </w:rPr>
            </w:pPr>
            <w:r>
              <w:rPr>
                <w:rFonts w:ascii="Arial" w:cs="Arial" w:eastAsia="Arial" w:hAnsi="Arial"/>
                <w:sz w:val="14"/>
                <w:szCs w:val="14"/>
                <w:b w:val="1"/>
                <w:bCs w:val="1"/>
                <w:color w:val="auto"/>
                <w:w w:val="96"/>
              </w:rPr>
              <w:t>CLO Restricted</w:t>
            </w:r>
          </w:p>
        </w:tc>
        <w:tc>
          <w:tcPr>
            <w:tcW w:w="10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4"/>
              </w:rPr>
              <w:t>Asset Manager</w:t>
            </w:r>
          </w:p>
        </w:tc>
        <w:tc>
          <w:tcPr>
            <w:tcW w:w="1160" w:type="dxa"/>
            <w:vAlign w:val="bottom"/>
            <w:gridSpan w:val="3"/>
          </w:tcPr>
          <w:p>
            <w:pPr>
              <w:jc w:val="right"/>
              <w:ind w:right="100"/>
              <w:spacing w:after="0" w:line="147" w:lineRule="exact"/>
              <w:rPr>
                <w:sz w:val="20"/>
                <w:szCs w:val="20"/>
                <w:color w:val="auto"/>
              </w:rPr>
            </w:pPr>
            <w:r>
              <w:rPr>
                <w:rFonts w:ascii="Arial" w:cs="Arial" w:eastAsia="Arial" w:hAnsi="Arial"/>
                <w:sz w:val="14"/>
                <w:szCs w:val="14"/>
                <w:b w:val="1"/>
                <w:bCs w:val="1"/>
                <w:color w:val="auto"/>
              </w:rPr>
              <w:t>CLO Restricted</w:t>
            </w:r>
          </w:p>
        </w:tc>
        <w:tc>
          <w:tcPr>
            <w:tcW w:w="8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3"/>
              </w:rPr>
              <w:t>Asset</w:t>
            </w:r>
          </w:p>
        </w:tc>
        <w:tc>
          <w:tcPr>
            <w:tcW w:w="140" w:type="dxa"/>
            <w:vAlign w:val="bottom"/>
          </w:tcPr>
          <w:p>
            <w:pPr>
              <w:spacing w:after="0"/>
              <w:rPr>
                <w:sz w:val="12"/>
                <w:szCs w:val="12"/>
                <w:color w:val="auto"/>
              </w:rPr>
            </w:pPr>
          </w:p>
        </w:tc>
        <w:tc>
          <w:tcPr>
            <w:tcW w:w="1040" w:type="dxa"/>
            <w:vAlign w:val="bottom"/>
            <w:gridSpan w:val="3"/>
          </w:tcPr>
          <w:p>
            <w:pPr>
              <w:jc w:val="right"/>
              <w:ind w:right="40"/>
              <w:spacing w:after="0" w:line="147" w:lineRule="exact"/>
              <w:rPr>
                <w:sz w:val="20"/>
                <w:szCs w:val="20"/>
                <w:color w:val="auto"/>
              </w:rPr>
            </w:pPr>
            <w:r>
              <w:rPr>
                <w:rFonts w:ascii="Arial" w:cs="Arial" w:eastAsia="Arial" w:hAnsi="Arial"/>
                <w:sz w:val="14"/>
                <w:szCs w:val="14"/>
                <w:b w:val="1"/>
                <w:bCs w:val="1"/>
                <w:color w:val="auto"/>
                <w:w w:val="96"/>
              </w:rPr>
              <w:t>CLO Restricted</w:t>
            </w:r>
          </w:p>
        </w:tc>
      </w:tr>
      <w:tr>
        <w:trPr>
          <w:trHeight w:val="149"/>
        </w:trPr>
        <w:tc>
          <w:tcPr>
            <w:tcW w:w="380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Affiliates Cash</w:t>
            </w:r>
          </w:p>
        </w:tc>
        <w:tc>
          <w:tcPr>
            <w:tcW w:w="80" w:type="dxa"/>
            <w:vAlign w:val="bottom"/>
          </w:tcPr>
          <w:p>
            <w:pPr>
              <w:spacing w:after="0"/>
              <w:rPr>
                <w:sz w:val="12"/>
                <w:szCs w:val="12"/>
                <w:color w:val="auto"/>
              </w:rPr>
            </w:pPr>
          </w:p>
        </w:tc>
        <w:tc>
          <w:tcPr>
            <w:tcW w:w="11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Cash</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Affiliates Cash</w:t>
            </w:r>
          </w:p>
        </w:tc>
        <w:tc>
          <w:tcPr>
            <w:tcW w:w="10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Cash</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Manager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Cash</w:t>
            </w:r>
          </w:p>
        </w:tc>
      </w:tr>
      <w:tr>
        <w:trPr>
          <w:trHeight w:val="14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Affiliates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3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96"/>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193"/>
        </w:trPr>
        <w:tc>
          <w:tcPr>
            <w:tcW w:w="3800" w:type="dxa"/>
            <w:vAlign w:val="bottom"/>
          </w:tcPr>
          <w:p>
            <w:pPr>
              <w:ind w:left="200"/>
              <w:spacing w:after="0"/>
              <w:rPr>
                <w:sz w:val="20"/>
                <w:szCs w:val="20"/>
                <w:color w:val="auto"/>
              </w:rPr>
            </w:pPr>
            <w:r>
              <w:rPr>
                <w:rFonts w:ascii="Arial" w:cs="Arial" w:eastAsia="Arial" w:hAnsi="Arial"/>
                <w:sz w:val="16"/>
                <w:szCs w:val="16"/>
                <w:color w:val="auto"/>
              </w:rPr>
              <w:t>Net loss attributable to Asset Manager</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7,874,870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3,163,174</w:t>
            </w:r>
          </w:p>
        </w:tc>
        <w:tc>
          <w:tcPr>
            <w:tcW w:w="10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751,211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3800" w:type="dxa"/>
            <w:vAlign w:val="bottom"/>
          </w:tcPr>
          <w:p>
            <w:pPr>
              <w:ind w:left="380"/>
              <w:spacing w:after="0"/>
              <w:rPr>
                <w:sz w:val="20"/>
                <w:szCs w:val="20"/>
                <w:color w:val="auto"/>
              </w:rPr>
            </w:pPr>
            <w:r>
              <w:rPr>
                <w:rFonts w:ascii="Arial" w:cs="Arial" w:eastAsia="Arial" w:hAnsi="Arial"/>
                <w:sz w:val="16"/>
                <w:szCs w:val="16"/>
                <w:color w:val="auto"/>
              </w:rPr>
              <w:t>Affiliates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Net loss attributable to Variable Interest</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(20,570,767)</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(98,395,671)</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9"/>
              </w:rPr>
              <w:t>(33,665,298)</w:t>
            </w:r>
          </w:p>
        </w:tc>
      </w:tr>
      <w:tr>
        <w:trPr>
          <w:trHeight w:val="212"/>
        </w:trPr>
        <w:tc>
          <w:tcPr>
            <w:tcW w:w="3800" w:type="dxa"/>
            <w:vAlign w:val="bottom"/>
            <w:shd w:val="clear" w:color="auto" w:fill="CCFFCC"/>
          </w:tcPr>
          <w:p>
            <w:pPr>
              <w:ind w:left="380"/>
              <w:spacing w:after="0"/>
              <w:rPr>
                <w:sz w:val="20"/>
                <w:szCs w:val="20"/>
                <w:color w:val="auto"/>
              </w:rPr>
            </w:pPr>
            <w:r>
              <w:rPr>
                <w:rFonts w:ascii="Arial" w:cs="Arial" w:eastAsia="Arial" w:hAnsi="Arial"/>
                <w:sz w:val="16"/>
                <w:szCs w:val="16"/>
                <w:color w:val="auto"/>
              </w:rPr>
              <w:t>Entities</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189"/>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Adjustments to reconcile net income to net cash</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800" w:type="dxa"/>
            <w:vAlign w:val="bottom"/>
          </w:tcPr>
          <w:p>
            <w:pPr>
              <w:ind w:left="200"/>
              <w:spacing w:after="0"/>
              <w:rPr>
                <w:sz w:val="20"/>
                <w:szCs w:val="20"/>
                <w:color w:val="auto"/>
              </w:rPr>
            </w:pPr>
            <w:r>
              <w:rPr>
                <w:rFonts w:ascii="Arial" w:cs="Arial" w:eastAsia="Arial" w:hAnsi="Arial"/>
                <w:sz w:val="16"/>
                <w:szCs w:val="16"/>
                <w:b w:val="1"/>
                <w:bCs w:val="1"/>
                <w:color w:val="auto"/>
              </w:rPr>
              <w:t>provided by operating activities: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Net change in deferred tax assets</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97"/>
              </w:rPr>
              <w:t>(1,458,743)</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(725,100)</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(565,933)</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Net realized and unrealized loss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13,899,200</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92,034,322</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1,808,520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39,917,872</w:t>
            </w: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Changes in operating assets and liabilities:</w:t>
            </w: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193"/>
        </w:trPr>
        <w:tc>
          <w:tcPr>
            <w:tcW w:w="3800" w:type="dxa"/>
            <w:vAlign w:val="bottom"/>
          </w:tcPr>
          <w:p>
            <w:pPr>
              <w:ind w:left="20"/>
              <w:spacing w:after="0"/>
              <w:rPr>
                <w:sz w:val="20"/>
                <w:szCs w:val="20"/>
                <w:color w:val="auto"/>
              </w:rPr>
            </w:pPr>
            <w:r>
              <w:rPr>
                <w:rFonts w:ascii="Arial" w:cs="Arial" w:eastAsia="Arial" w:hAnsi="Arial"/>
                <w:sz w:val="16"/>
                <w:szCs w:val="16"/>
                <w:color w:val="auto"/>
              </w:rPr>
              <w:t>Decrease (increase) in accrued management</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(672,200)</w:t>
            </w:r>
          </w:p>
        </w:tc>
        <w:tc>
          <w:tcPr>
            <w:tcW w:w="8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672,200</w:t>
            </w:r>
          </w:p>
        </w:tc>
        <w:tc>
          <w:tcPr>
            <w:tcW w:w="1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(997,584)</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997,584</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190,826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7,694</w:t>
            </w:r>
          </w:p>
        </w:tc>
      </w:tr>
      <w:tr>
        <w:trPr>
          <w:trHeight w:val="209"/>
        </w:trPr>
        <w:tc>
          <w:tcPr>
            <w:tcW w:w="3800" w:type="dxa"/>
            <w:vAlign w:val="bottom"/>
          </w:tcPr>
          <w:p>
            <w:pPr>
              <w:ind w:left="200"/>
              <w:spacing w:after="0"/>
              <w:rPr>
                <w:sz w:val="20"/>
                <w:szCs w:val="20"/>
                <w:color w:val="auto"/>
              </w:rPr>
            </w:pPr>
            <w:r>
              <w:rPr>
                <w:rFonts w:ascii="Arial" w:cs="Arial" w:eastAsia="Arial" w:hAnsi="Arial"/>
                <w:sz w:val="16"/>
                <w:szCs w:val="16"/>
                <w:color w:val="auto"/>
              </w:rPr>
              <w:t>fees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Decrease (increase) in accrued interest</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2,533,891</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(2,155,668)</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(96,872)</w:t>
            </w:r>
          </w:p>
        </w:tc>
      </w:tr>
      <w:tr>
        <w:trPr>
          <w:trHeight w:val="212"/>
        </w:trPr>
        <w:tc>
          <w:tcPr>
            <w:tcW w:w="3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receivable</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Decrease (increase) in other accounts receivable</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3,542,037</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2,951,698</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Decrease (increase) in other assets</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(22,639,188)</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22,750,921</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(647,785)</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280,983</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78,190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(131,130)</w:t>
            </w:r>
          </w:p>
        </w:tc>
      </w:tr>
      <w:tr>
        <w:trPr>
          <w:trHeight w:val="19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w w:val="98"/>
              </w:rPr>
              <w:t>Increase (decrease) in accounts payable and accrued</w:t>
            </w:r>
          </w:p>
        </w:tc>
        <w:tc>
          <w:tcPr>
            <w:tcW w:w="100" w:type="dxa"/>
            <w:vAlign w:val="bottom"/>
            <w:shd w:val="clear" w:color="auto" w:fill="CCFFCC"/>
          </w:tcPr>
          <w:p>
            <w:pPr>
              <w:spacing w:after="0"/>
              <w:rPr>
                <w:sz w:val="16"/>
                <w:szCs w:val="16"/>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4"/>
              </w:rPr>
              <w:t>27,374,152</w:t>
            </w:r>
          </w:p>
        </w:tc>
        <w:tc>
          <w:tcPr>
            <w:tcW w:w="80" w:type="dxa"/>
            <w:vAlign w:val="bottom"/>
            <w:shd w:val="clear" w:color="auto" w:fill="CCFFCC"/>
          </w:tcPr>
          <w:p>
            <w:pPr>
              <w:spacing w:after="0"/>
              <w:rPr>
                <w:sz w:val="16"/>
                <w:szCs w:val="16"/>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43,500</w:t>
            </w:r>
          </w:p>
        </w:tc>
        <w:tc>
          <w:tcPr>
            <w:tcW w:w="100" w:type="dxa"/>
            <w:vAlign w:val="bottom"/>
            <w:shd w:val="clear" w:color="auto" w:fill="CCFFCC"/>
          </w:tcPr>
          <w:p>
            <w:pPr>
              <w:spacing w:after="0"/>
              <w:rPr>
                <w:sz w:val="16"/>
                <w:szCs w:val="16"/>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328,890</w:t>
            </w:r>
          </w:p>
        </w:tc>
        <w:tc>
          <w:tcPr>
            <w:tcW w:w="100" w:type="dxa"/>
            <w:vAlign w:val="bottom"/>
            <w:shd w:val="clear" w:color="auto" w:fill="CCFFCC"/>
          </w:tcPr>
          <w:p>
            <w:pPr>
              <w:spacing w:after="0"/>
              <w:rPr>
                <w:sz w:val="16"/>
                <w:szCs w:val="16"/>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11,475</w:t>
            </w:r>
          </w:p>
        </w:tc>
        <w:tc>
          <w:tcPr>
            <w:tcW w:w="8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444,253</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(29,284)</w:t>
            </w:r>
          </w:p>
        </w:tc>
      </w:tr>
      <w:tr>
        <w:trPr>
          <w:trHeight w:val="212"/>
        </w:trPr>
        <w:tc>
          <w:tcPr>
            <w:tcW w:w="38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expenses</w:t>
            </w: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40" w:type="dxa"/>
            <w:vAlign w:val="bottom"/>
            <w:tcBorders>
              <w:left w:val="single" w:sz="8" w:color="CCFFCC"/>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Increase (decrease) in accrued interest expense</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4,368,264</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4,209,310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1,445,871</w:t>
            </w:r>
          </w:p>
        </w:tc>
      </w:tr>
      <w:tr>
        <w:trPr>
          <w:trHeight w:val="20"/>
        </w:trPr>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Net cash provided by (used in) operating</w:t>
            </w:r>
          </w:p>
        </w:tc>
        <w:tc>
          <w:tcPr>
            <w:tcW w:w="100" w:type="dxa"/>
            <w:vAlign w:val="bottom"/>
            <w:shd w:val="clear" w:color="auto" w:fill="CCFFCC"/>
          </w:tcPr>
          <w:p>
            <w:pPr>
              <w:spacing w:after="0"/>
              <w:rPr>
                <w:sz w:val="16"/>
                <w:szCs w:val="16"/>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4"/>
              </w:rPr>
              <w:t>14,020,173</w:t>
            </w:r>
          </w:p>
        </w:tc>
        <w:tc>
          <w:tcPr>
            <w:tcW w:w="80" w:type="dxa"/>
            <w:vAlign w:val="bottom"/>
            <w:shd w:val="clear" w:color="auto" w:fill="CCFFCC"/>
          </w:tcPr>
          <w:p>
            <w:pPr>
              <w:spacing w:after="0"/>
              <w:rPr>
                <w:sz w:val="16"/>
                <w:szCs w:val="16"/>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23,697,209</w:t>
            </w:r>
          </w:p>
        </w:tc>
        <w:tc>
          <w:tcPr>
            <w:tcW w:w="100" w:type="dxa"/>
            <w:vAlign w:val="bottom"/>
            <w:shd w:val="clear" w:color="auto" w:fill="CCFFCC"/>
          </w:tcPr>
          <w:p>
            <w:pPr>
              <w:spacing w:after="0"/>
              <w:rPr>
                <w:sz w:val="16"/>
                <w:szCs w:val="16"/>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4,073,301</w:t>
            </w:r>
          </w:p>
        </w:tc>
        <w:tc>
          <w:tcPr>
            <w:tcW w:w="100" w:type="dxa"/>
            <w:vAlign w:val="bottom"/>
            <w:shd w:val="clear" w:color="auto" w:fill="CCFFCC"/>
          </w:tcPr>
          <w:p>
            <w:pPr>
              <w:spacing w:after="0"/>
              <w:rPr>
                <w:sz w:val="16"/>
                <w:szCs w:val="16"/>
                <w:color w:val="auto"/>
              </w:rPr>
            </w:pPr>
          </w:p>
        </w:tc>
        <w:tc>
          <w:tcPr>
            <w:tcW w:w="10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(3,017,665)</w:t>
            </w:r>
          </w:p>
        </w:tc>
        <w:tc>
          <w:tcPr>
            <w:tcW w:w="8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5"/>
              </w:rPr>
              <w:t>2,707,054</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7,448,853</w:t>
            </w:r>
          </w:p>
        </w:tc>
      </w:tr>
      <w:tr>
        <w:trPr>
          <w:trHeight w:val="209"/>
        </w:trPr>
        <w:tc>
          <w:tcPr>
            <w:tcW w:w="38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activities</w:t>
            </w:r>
          </w:p>
        </w:tc>
        <w:tc>
          <w:tcPr>
            <w:tcW w:w="10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r>
      <w:tr>
        <w:trPr>
          <w:trHeight w:val="199"/>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Acquisition of Trimaran Advisors L.L.C.</w:t>
            </w: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4"/>
              </w:rPr>
              <w:t>13,000,000</w:t>
            </w: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Change in Investments: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Purchase of investments</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90"/>
              </w:rPr>
              <w:t>(1,279,323,341)</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96"/>
              </w:rPr>
              <w:t>(962,709,464)</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0"/>
              </w:rPr>
              <w:t>(836,925,087)</w:t>
            </w: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Proceeds from sale and redemption of investments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1,571,177,633</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1,136,048,110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781,798,803</w:t>
            </w: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Decrease in receivable for open trades</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(1,725,775)</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(4,242,938)</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Increase (decrease) in payable for open trades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(174,353,152)</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208,955,167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(16,781,198)</w:t>
            </w: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Issuance of CLO Fund Liabilities</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465,000,000</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
        </w:trPr>
        <w:tc>
          <w:tcPr>
            <w:tcW w:w="38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96"/>
        </w:trPr>
        <w:tc>
          <w:tcPr>
            <w:tcW w:w="380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580,775,365</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13,000,000</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378,050,875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(71,907,482)</w:t>
            </w:r>
          </w:p>
        </w:tc>
      </w:tr>
      <w:tr>
        <w:trPr>
          <w:trHeight w:val="196"/>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Borders>
              <w:top w:val="single" w:sz="8" w:color="auto"/>
            </w:tcBorders>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780" w:type="dxa"/>
            <w:vAlign w:val="bottom"/>
            <w:tcBorders>
              <w:top w:val="single" w:sz="8" w:color="auto"/>
            </w:tcBorders>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tcBorders>
              <w:top w:val="single" w:sz="8" w:color="auto"/>
            </w:tcBorders>
            <w:shd w:val="clear" w:color="auto" w:fill="CCFFCC"/>
          </w:tcPr>
          <w:p>
            <w:pPr>
              <w:spacing w:after="0"/>
              <w:rPr>
                <w:sz w:val="17"/>
                <w:szCs w:val="17"/>
                <w:color w:val="auto"/>
              </w:rPr>
            </w:pPr>
          </w:p>
        </w:tc>
        <w:tc>
          <w:tcPr>
            <w:tcW w:w="920" w:type="dxa"/>
            <w:vAlign w:val="bottom"/>
            <w:tcBorders>
              <w:top w:val="single" w:sz="8" w:color="auto"/>
            </w:tcBorders>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tcBorders>
              <w:top w:val="single" w:sz="8" w:color="auto"/>
            </w:tcBorders>
            <w:shd w:val="clear" w:color="auto" w:fill="CCFFCC"/>
          </w:tcPr>
          <w:p>
            <w:pPr>
              <w:spacing w:after="0"/>
              <w:rPr>
                <w:sz w:val="17"/>
                <w:szCs w:val="17"/>
                <w:color w:val="auto"/>
              </w:rPr>
            </w:pPr>
          </w:p>
        </w:tc>
        <w:tc>
          <w:tcPr>
            <w:tcW w:w="86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Payment for acquisition of Trimaran Advisors, L.L.C.</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(13,000,000)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Member's contributions</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229,196</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261,662</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855,243</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Member's distributions</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(34,640)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Dividends paid in cash</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88"/>
              </w:rPr>
              <w:t>(12,750,000)</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97"/>
              </w:rPr>
              <w:t>(4,700,000)</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0"/>
              </w:rPr>
              <w:t>(1,910,000)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Repayments of Debt</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(858,880,917)</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86,300,915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(1,200,000)</w:t>
            </w:r>
          </w:p>
        </w:tc>
      </w:tr>
      <w:tr>
        <w:trPr>
          <w:trHeight w:val="20"/>
        </w:trPr>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Net cash provided by (used in) financing</w:t>
            </w:r>
          </w:p>
        </w:tc>
        <w:tc>
          <w:tcPr>
            <w:tcW w:w="100" w:type="dxa"/>
            <w:vAlign w:val="bottom"/>
            <w:shd w:val="clear" w:color="auto" w:fill="CCFFCC"/>
          </w:tcPr>
          <w:p>
            <w:pPr>
              <w:spacing w:after="0"/>
              <w:rPr>
                <w:sz w:val="16"/>
                <w:szCs w:val="16"/>
                <w:color w:val="auto"/>
              </w:rPr>
            </w:pPr>
          </w:p>
        </w:tc>
        <w:tc>
          <w:tcPr>
            <w:tcW w:w="9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88"/>
              </w:rPr>
              <w:t>(12,520,804)</w:t>
            </w:r>
          </w:p>
        </w:tc>
        <w:tc>
          <w:tcPr>
            <w:tcW w:w="80" w:type="dxa"/>
            <w:vAlign w:val="bottom"/>
            <w:shd w:val="clear" w:color="auto" w:fill="CCFFCC"/>
          </w:tcPr>
          <w:p>
            <w:pPr>
              <w:spacing w:after="0"/>
              <w:rPr>
                <w:sz w:val="16"/>
                <w:szCs w:val="16"/>
                <w:color w:val="auto"/>
              </w:rPr>
            </w:pPr>
          </w:p>
        </w:tc>
        <w:tc>
          <w:tcPr>
            <w:tcW w:w="112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(858,880,917)</w:t>
            </w:r>
          </w:p>
        </w:tc>
        <w:tc>
          <w:tcPr>
            <w:tcW w:w="100" w:type="dxa"/>
            <w:vAlign w:val="bottom"/>
            <w:shd w:val="clear" w:color="auto" w:fill="CCFFCC"/>
          </w:tcPr>
          <w:p>
            <w:pPr>
              <w:spacing w:after="0"/>
              <w:rPr>
                <w:sz w:val="16"/>
                <w:szCs w:val="16"/>
                <w:color w:val="auto"/>
              </w:rPr>
            </w:pPr>
          </w:p>
        </w:tc>
        <w:tc>
          <w:tcPr>
            <w:tcW w:w="90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w w:val="88"/>
              </w:rPr>
              <w:t>(17,438,338)</w:t>
            </w:r>
          </w:p>
        </w:tc>
        <w:tc>
          <w:tcPr>
            <w:tcW w:w="100" w:type="dxa"/>
            <w:vAlign w:val="bottom"/>
            <w:shd w:val="clear" w:color="auto" w:fill="CCFFCC"/>
          </w:tcPr>
          <w:p>
            <w:pPr>
              <w:spacing w:after="0"/>
              <w:rPr>
                <w:sz w:val="16"/>
                <w:szCs w:val="16"/>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86,300,915</w:t>
            </w:r>
          </w:p>
        </w:tc>
        <w:tc>
          <w:tcPr>
            <w:tcW w:w="8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0"/>
              </w:rPr>
              <w:t>(1,089,397)</w:t>
            </w:r>
          </w:p>
        </w:tc>
        <w:tc>
          <w:tcPr>
            <w:tcW w:w="140" w:type="dxa"/>
            <w:vAlign w:val="bottom"/>
            <w:tcBorders>
              <w:left w:val="single" w:sz="8" w:color="CCFFCC"/>
              <w:right w:val="single" w:sz="8" w:color="CCFFCC"/>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(1,200,000)</w:t>
            </w:r>
          </w:p>
        </w:tc>
      </w:tr>
      <w:tr>
        <w:trPr>
          <w:trHeight w:val="209"/>
        </w:trPr>
        <w:tc>
          <w:tcPr>
            <w:tcW w:w="380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6"/>
                <w:szCs w:val="16"/>
                <w:color w:val="auto"/>
              </w:rPr>
              <w:t>activities</w:t>
            </w:r>
          </w:p>
        </w:tc>
        <w:tc>
          <w:tcPr>
            <w:tcW w:w="10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7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right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spacing w:after="0"/>
              <w:rPr>
                <w:sz w:val="18"/>
                <w:szCs w:val="18"/>
                <w:color w:val="auto"/>
              </w:rPr>
            </w:pPr>
          </w:p>
        </w:tc>
        <w:tc>
          <w:tcPr>
            <w:tcW w:w="140" w:type="dxa"/>
            <w:vAlign w:val="bottom"/>
            <w:tcBorders>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700" w:type="dxa"/>
            <w:vAlign w:val="bottom"/>
            <w:tcBorders>
              <w:bottom w:val="single" w:sz="8" w:color="auto"/>
            </w:tcBorders>
            <w:shd w:val="clear" w:color="auto" w:fill="CCFFCC"/>
          </w:tcPr>
          <w:p>
            <w:pPr>
              <w:spacing w:after="0"/>
              <w:rPr>
                <w:sz w:val="18"/>
                <w:szCs w:val="18"/>
                <w:color w:val="auto"/>
              </w:rPr>
            </w:pPr>
          </w:p>
        </w:tc>
        <w:tc>
          <w:tcPr>
            <w:tcW w:w="140" w:type="dxa"/>
            <w:vAlign w:val="bottom"/>
            <w:tcBorders>
              <w:left w:val="single" w:sz="8" w:color="CCFFCC"/>
              <w:bottom w:val="single" w:sz="8" w:color="CCFFCC"/>
              <w:right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r>
      <w:tr>
        <w:trPr>
          <w:trHeight w:val="199"/>
        </w:trPr>
        <w:tc>
          <w:tcPr>
            <w:tcW w:w="3800" w:type="dxa"/>
            <w:vAlign w:val="bottom"/>
          </w:tcPr>
          <w:p>
            <w:pPr>
              <w:ind w:left="20"/>
              <w:spacing w:after="0"/>
              <w:rPr>
                <w:sz w:val="20"/>
                <w:szCs w:val="20"/>
                <w:color w:val="auto"/>
              </w:rPr>
            </w:pPr>
            <w:r>
              <w:rPr>
                <w:rFonts w:ascii="Arial" w:cs="Arial" w:eastAsia="Arial" w:hAnsi="Arial"/>
                <w:sz w:val="16"/>
                <w:szCs w:val="16"/>
                <w:color w:val="auto"/>
              </w:rPr>
              <w:t>CHANGE IN CASH</w:t>
            </w: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1,499,369</w:t>
            </w:r>
          </w:p>
        </w:tc>
        <w:tc>
          <w:tcPr>
            <w:tcW w:w="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(254,408,343)</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(365,037)</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461,334,125</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1,867,657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(65,658,629)</w:t>
            </w: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BEGINNING OF YEAR</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5,999,902</w:t>
            </w:r>
          </w:p>
        </w:tc>
        <w:tc>
          <w:tcPr>
            <w:tcW w:w="80" w:type="dxa"/>
            <w:vAlign w:val="bottom"/>
            <w:shd w:val="clear" w:color="auto" w:fill="CCFFCC"/>
          </w:tcPr>
          <w:p>
            <w:pPr>
              <w:spacing w:after="0"/>
              <w:rPr>
                <w:sz w:val="17"/>
                <w:szCs w:val="17"/>
                <w:color w:val="auto"/>
              </w:rPr>
            </w:pPr>
          </w:p>
        </w:tc>
        <w:tc>
          <w:tcPr>
            <w:tcW w:w="11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533,222,266</w:t>
            </w:r>
          </w:p>
        </w:tc>
        <w:tc>
          <w:tcPr>
            <w:tcW w:w="100" w:type="dxa"/>
            <w:vAlign w:val="bottom"/>
            <w:shd w:val="clear" w:color="auto" w:fill="CCFFCC"/>
          </w:tcPr>
          <w:p>
            <w:pPr>
              <w:spacing w:after="0"/>
              <w:rPr>
                <w:sz w:val="17"/>
                <w:szCs w:val="17"/>
                <w:color w:val="auto"/>
              </w:rPr>
            </w:pP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6,364,939</w:t>
            </w:r>
          </w:p>
        </w:tc>
        <w:tc>
          <w:tcPr>
            <w:tcW w:w="100" w:type="dxa"/>
            <w:vAlign w:val="bottom"/>
            <w:shd w:val="clear" w:color="auto" w:fill="CCFFCC"/>
          </w:tcPr>
          <w:p>
            <w:pPr>
              <w:spacing w:after="0"/>
              <w:rPr>
                <w:sz w:val="17"/>
                <w:szCs w:val="17"/>
                <w:color w:val="auto"/>
              </w:rPr>
            </w:pPr>
          </w:p>
        </w:tc>
        <w:tc>
          <w:tcPr>
            <w:tcW w:w="10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71,888,141</w:t>
            </w: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5"/>
              </w:rPr>
              <w:t>4,497,282</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w w:val="94"/>
              </w:rPr>
              <w:t>137,546,770</w:t>
            </w:r>
          </w:p>
        </w:tc>
      </w:tr>
      <w:tr>
        <w:trPr>
          <w:trHeight w:val="20"/>
        </w:trPr>
        <w:tc>
          <w:tcPr>
            <w:tcW w:w="38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CFFCC"/>
              <w:right w:val="single" w:sz="8" w:color="CCFFCC"/>
            </w:tcBorders>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96"/>
        </w:trPr>
        <w:tc>
          <w:tcPr>
            <w:tcW w:w="3800" w:type="dxa"/>
            <w:vAlign w:val="bottom"/>
          </w:tcPr>
          <w:p>
            <w:pPr>
              <w:ind w:left="20"/>
              <w:spacing w:after="0"/>
              <w:rPr>
                <w:sz w:val="20"/>
                <w:szCs w:val="20"/>
                <w:color w:val="auto"/>
              </w:rPr>
            </w:pPr>
            <w:r>
              <w:rPr>
                <w:rFonts w:ascii="Arial" w:cs="Arial" w:eastAsia="Arial" w:hAnsi="Arial"/>
                <w:sz w:val="16"/>
                <w:szCs w:val="16"/>
                <w:color w:val="auto"/>
              </w:rPr>
              <w:t>CASH, END OF YEAR</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7,499,271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278,813,923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5,999,902</w:t>
            </w:r>
          </w:p>
        </w:tc>
        <w:tc>
          <w:tcPr>
            <w:tcW w:w="10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533,222,266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6,364,939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71,888,141</w:t>
            </w:r>
          </w:p>
        </w:tc>
      </w:tr>
      <w:tr>
        <w:trPr>
          <w:trHeight w:val="21"/>
        </w:trPr>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Supplemental Information:</w:t>
            </w: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03"/>
        </w:trPr>
        <w:tc>
          <w:tcPr>
            <w:tcW w:w="38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103,392,654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109,337,784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54,204,409</w:t>
            </w:r>
          </w:p>
        </w:tc>
      </w:tr>
      <w:tr>
        <w:trPr>
          <w:trHeight w:val="203"/>
        </w:trPr>
        <w:tc>
          <w:tcPr>
            <w:tcW w:w="380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paid for taxes</w:t>
            </w:r>
          </w:p>
        </w:tc>
        <w:tc>
          <w:tcPr>
            <w:tcW w:w="100" w:type="dxa"/>
            <w:vAlign w:val="bottom"/>
            <w:shd w:val="clear" w:color="auto" w:fill="CCFFCC"/>
          </w:tcPr>
          <w:p>
            <w:pPr>
              <w:spacing w:after="0"/>
              <w:rPr>
                <w:sz w:val="20"/>
                <w:szCs w:val="20"/>
                <w:color w:val="auto"/>
              </w:rPr>
            </w:pPr>
            <w:r>
              <w:rPr>
                <w:rFonts w:ascii="Arial" w:cs="Arial" w:eastAsia="Arial" w:hAnsi="Arial"/>
                <w:sz w:val="16"/>
                <w:szCs w:val="16"/>
                <w:color w:val="auto"/>
                <w:w w:val="89"/>
              </w:rPr>
              <w:t>$</w:t>
            </w: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432,500</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spacing w:after="0"/>
              <w:rPr>
                <w:sz w:val="17"/>
                <w:szCs w:val="17"/>
                <w:color w:val="auto"/>
              </w:rPr>
            </w:pPr>
          </w:p>
        </w:tc>
        <w:tc>
          <w:tcPr>
            <w:tcW w:w="120" w:type="dxa"/>
            <w:vAlign w:val="bottom"/>
            <w:tcBorders>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470,000</w:t>
            </w:r>
          </w:p>
        </w:tc>
        <w:tc>
          <w:tcPr>
            <w:tcW w:w="100" w:type="dxa"/>
            <w:vAlign w:val="bottom"/>
            <w:shd w:val="clear" w:color="auto" w:fill="CCFFCC"/>
          </w:tcPr>
          <w:p>
            <w:pPr>
              <w:jc w:val="center"/>
              <w:spacing w:after="0"/>
              <w:rPr>
                <w:sz w:val="20"/>
                <w:szCs w:val="20"/>
                <w:color w:val="auto"/>
              </w:rPr>
            </w:pPr>
            <w:r>
              <w:rPr>
                <w:rFonts w:ascii="Arial" w:cs="Arial" w:eastAsia="Arial" w:hAnsi="Arial"/>
                <w:sz w:val="16"/>
                <w:szCs w:val="16"/>
                <w:color w:val="auto"/>
              </w:rPr>
              <w:t>$</w:t>
            </w:r>
          </w:p>
        </w:tc>
        <w:tc>
          <w:tcPr>
            <w:tcW w:w="920" w:type="dxa"/>
            <w:vAlign w:val="bottom"/>
            <w:shd w:val="clear" w:color="auto" w:fill="CCFFCC"/>
          </w:tcPr>
          <w:p>
            <w:pPr>
              <w:spacing w:after="0"/>
              <w:rPr>
                <w:sz w:val="17"/>
                <w:szCs w:val="17"/>
                <w:color w:val="auto"/>
              </w:rPr>
            </w:pPr>
          </w:p>
        </w:tc>
        <w:tc>
          <w:tcPr>
            <w:tcW w:w="140" w:type="dxa"/>
            <w:vAlign w:val="bottom"/>
            <w:tcBorders>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40,500</w:t>
            </w:r>
          </w:p>
        </w:tc>
        <w:tc>
          <w:tcPr>
            <w:tcW w:w="140" w:type="dxa"/>
            <w:vAlign w:val="bottom"/>
            <w:tcBorders>
              <w:left w:val="single" w:sz="8" w:color="CCFFCC"/>
              <w:right w:val="single" w:sz="8" w:color="CCFFCC"/>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-3043555</wp:posOffset>
            </wp:positionV>
            <wp:extent cx="641477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4147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-2005965</wp:posOffset>
            </wp:positionV>
            <wp:extent cx="6414770" cy="146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147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-822960</wp:posOffset>
            </wp:positionV>
            <wp:extent cx="6414770" cy="1371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414770"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-556895</wp:posOffset>
            </wp:positionV>
            <wp:extent cx="6414770" cy="1714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14770" cy="171450"/>
                    </a:xfrm>
                    <a:prstGeom prst="rect">
                      <a:avLst/>
                    </a:prstGeom>
                    <a:noFill/>
                  </pic:spPr>
                </pic:pic>
              </a:graphicData>
            </a:graphic>
          </wp:anchor>
        </w:drawing>
      </w:r>
    </w:p>
    <w:p>
      <w:pPr>
        <w:spacing w:after="0" w:line="74" w:lineRule="exact"/>
        <w:rPr>
          <w:sz w:val="20"/>
          <w:szCs w:val="20"/>
          <w:color w:val="auto"/>
        </w:rPr>
      </w:pPr>
    </w:p>
    <w:p>
      <w:pPr>
        <w:ind w:left="60" w:right="1200" w:firstLine="270"/>
        <w:spacing w:after="0" w:line="258" w:lineRule="auto"/>
        <w:rPr>
          <w:sz w:val="20"/>
          <w:szCs w:val="20"/>
          <w:color w:val="auto"/>
        </w:rPr>
      </w:pPr>
      <w:r>
        <w:rPr>
          <w:rFonts w:ascii="Arial" w:cs="Arial" w:eastAsia="Arial" w:hAnsi="Arial"/>
          <w:sz w:val="18"/>
          <w:szCs w:val="18"/>
          <w:color w:val="auto"/>
        </w:rPr>
        <w:t>In conjunction with the acquisition of Trimaran Advisors in 2012, KCAP Financial, Inc. issued 3.6 million shares of its common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46824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Fair value of assets acquired</w:t>
            </w:r>
          </w:p>
        </w:tc>
        <w:tc>
          <w:tcPr>
            <w:tcW w:w="960" w:type="dxa"/>
            <w:vAlign w:val="bottom"/>
          </w:tcPr>
          <w:p>
            <w:pPr>
              <w:jc w:val="right"/>
              <w:spacing w:after="0"/>
              <w:rPr>
                <w:sz w:val="20"/>
                <w:szCs w:val="20"/>
                <w:color w:val="auto"/>
              </w:rPr>
            </w:pPr>
            <w:r>
              <w:rPr>
                <w:rFonts w:ascii="Arial" w:cs="Arial" w:eastAsia="Arial" w:hAnsi="Arial"/>
                <w:sz w:val="18"/>
                <w:szCs w:val="18"/>
                <w:color w:val="auto"/>
                <w:w w:val="89"/>
              </w:rPr>
              <w:t>$ 38,600,000</w:t>
            </w:r>
          </w:p>
        </w:tc>
        <w:tc>
          <w:tcPr>
            <w:tcW w:w="120" w:type="dxa"/>
            <w:vAlign w:val="bottom"/>
          </w:tcPr>
          <w:p>
            <w:pPr>
              <w:spacing w:after="0"/>
              <w:rPr>
                <w:sz w:val="18"/>
                <w:szCs w:val="18"/>
                <w:color w:val="auto"/>
              </w:rPr>
            </w:pPr>
          </w:p>
        </w:tc>
      </w:tr>
      <w:tr>
        <w:trPr>
          <w:trHeight w:val="216"/>
        </w:trPr>
        <w:tc>
          <w:tcPr>
            <w:tcW w:w="6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paid for equity interests</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(13,000,000)</w:t>
            </w:r>
          </w:p>
        </w:tc>
      </w:tr>
      <w:tr>
        <w:trPr>
          <w:trHeight w:val="210"/>
        </w:trPr>
        <w:tc>
          <w:tcPr>
            <w:tcW w:w="6420" w:type="dxa"/>
            <w:vAlign w:val="bottom"/>
            <w:tcBorders>
              <w:top w:val="single" w:sz="8" w:color="CCFFCC"/>
            </w:tcBorders>
          </w:tcPr>
          <w:p>
            <w:pPr>
              <w:ind w:left="200"/>
              <w:spacing w:after="0"/>
              <w:rPr>
                <w:sz w:val="20"/>
                <w:szCs w:val="20"/>
                <w:color w:val="auto"/>
              </w:rPr>
            </w:pPr>
            <w:r>
              <w:rPr>
                <w:rFonts w:ascii="Arial" w:cs="Arial" w:eastAsia="Arial" w:hAnsi="Arial"/>
                <w:sz w:val="18"/>
                <w:szCs w:val="18"/>
                <w:color w:val="auto"/>
              </w:rPr>
              <w:t>Common stock issued</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$ 25,600,000</w:t>
            </w:r>
          </w:p>
        </w:tc>
        <w:tc>
          <w:tcPr>
            <w:tcW w:w="120" w:type="dxa"/>
            <w:vAlign w:val="bottom"/>
            <w:tcBorders>
              <w:top w:val="single" w:sz="8" w:color="CCFFCC"/>
            </w:tcBorders>
          </w:tcPr>
          <w:p>
            <w:pPr>
              <w:spacing w:after="0"/>
              <w:rPr>
                <w:sz w:val="18"/>
                <w:szCs w:val="18"/>
                <w:color w:val="auto"/>
              </w:rPr>
            </w:pPr>
          </w:p>
        </w:tc>
      </w:tr>
      <w:tr>
        <w:trPr>
          <w:trHeight w:val="21"/>
        </w:trPr>
        <w:tc>
          <w:tcPr>
            <w:tcW w:w="6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120"/>
          </w:cols>
          <w:pgMar w:left="360" w:top="792" w:right="1419" w:bottom="1099"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519" w:firstLine="270"/>
        <w:spacing w:after="0" w:line="285" w:lineRule="auto"/>
        <w:rPr>
          <w:sz w:val="20"/>
          <w:szCs w:val="20"/>
          <w:color w:val="auto"/>
        </w:rPr>
      </w:pPr>
      <w:r>
        <w:rPr>
          <w:rFonts w:ascii="Arial" w:cs="Arial" w:eastAsia="Arial" w:hAnsi="Arial"/>
          <w:sz w:val="16"/>
          <w:szCs w:val="16"/>
          <w:color w:val="auto"/>
        </w:rPr>
        <w:t>Katonah Debt Advisors, L.L.C. (“Katonah Debt Advisors”), a registered investment adviser under the Investment Company Act of 1940 (“the IA Act of 1940”), is a wholly-owned portfolio company of KCAP Financial, Inc. (“KCAP Financial”, the “Company”), which is an internally managed, non-diversified closed-end publicly traded investment company that is regulated as a business development company (“BDC”) under the Investment Company Act of 1940 (the “1940 Act”). Katonah Debt Advisors manages collateralized loan obligation funds (“CLO Funds”) which invest in broadly syndicated loans, high-yield bonds and other credit instruments. On February 29, 2012, KCAP Financial, through its newly formed wholly-owned subsidiary Commodore Holdings LLC purchased Trimaran Advisors, L.L.C. (“Trimaran Advisors”), a new registered investment adviser and CLO manager similar to Katonah Debt Advisors, with assets under management of approximately $1.5 billion, for total consideration of $13.0 million in cash and 3,600,000 shares of KCAP Financial’s common stock. Contemporaneous with the acquisition of Trimaran Advisors, KCAP Financial acquired from Trimaran Advisors equity interests in certain CLO Funds managed by Trimaran Advisors for an aggregate purchase price of $12.0 million in cash. As of December 31, 2013, Katonah Debt Advisors and Trimaran Advisors are KCAP Financial’s only wholly-owned portfolio companies (collectively, the “Asset Manager Affiliates”) and have approximately $3.2 billion of par value assets under management. Katonah Debt Advisors and Trimaran Advisors are each managed independently from KCAP Financial by a separate management team. The Asset Manager Affiliates provide investment management services to CLO Funds, making day-to-day investment decisions concerning the assets of the CLO Funds. The Asset Manager Affiliates do not have any investment interests in the CLO Funds they manage; however, KCAP Financial holds investments in a portion of the securities issued by the CLO Funds managed by the Asset Manager Affiliates.</w:t>
      </w:r>
    </w:p>
    <w:p>
      <w:pPr>
        <w:spacing w:after="0" w:line="67" w:lineRule="exact"/>
        <w:rPr>
          <w:sz w:val="20"/>
          <w:szCs w:val="20"/>
          <w:color w:val="auto"/>
        </w:rPr>
      </w:pPr>
    </w:p>
    <w:p>
      <w:pPr>
        <w:ind w:left="40" w:right="779" w:firstLine="270"/>
        <w:spacing w:after="0" w:line="286" w:lineRule="auto"/>
        <w:rPr>
          <w:sz w:val="20"/>
          <w:szCs w:val="20"/>
          <w:color w:val="auto"/>
        </w:rPr>
      </w:pPr>
      <w:r>
        <w:rPr>
          <w:rFonts w:ascii="Arial" w:cs="Arial" w:eastAsia="Arial" w:hAnsi="Arial"/>
          <w:sz w:val="16"/>
          <w:szCs w:val="16"/>
          <w:color w:val="auto"/>
        </w:rPr>
        <w:t>All of the CLO funds managed by the Asset Manager Affiliates are considered to be variable interest entities (“VIEs”) for which the Asset Manager Affiliates are the primary beneficiary and, as a result, are required to be consolidated into the financial statements of the Asset Manager Affiliates as discussed in Note 3 — CLO Funds. The CLO funds considered to be VIEs are as follows: KATONAH VII CLO LTD.; KATONAH VIII CLO LTD.; KATONAH IX CLO LTD.; KATONAH X CLO LTD.;</w:t>
      </w:r>
    </w:p>
    <w:p>
      <w:pPr>
        <w:spacing w:after="0" w:line="2" w:lineRule="exact"/>
        <w:rPr>
          <w:sz w:val="20"/>
          <w:szCs w:val="20"/>
          <w:color w:val="auto"/>
        </w:rPr>
      </w:pPr>
    </w:p>
    <w:p>
      <w:pPr>
        <w:ind w:left="40" w:right="919"/>
        <w:spacing w:after="0" w:line="255" w:lineRule="auto"/>
        <w:rPr>
          <w:sz w:val="20"/>
          <w:szCs w:val="20"/>
          <w:color w:val="auto"/>
        </w:rPr>
      </w:pPr>
      <w:r>
        <w:rPr>
          <w:rFonts w:ascii="Arial" w:cs="Arial" w:eastAsia="Arial" w:hAnsi="Arial"/>
          <w:sz w:val="18"/>
          <w:szCs w:val="18"/>
          <w:color w:val="auto"/>
        </w:rPr>
        <w:t>KATONAH 2007-I CLO LTD.; TRIMARAN CLO IV LTD.; TRIMARAN CLO V LTD.; TRIMARAN CLO VI LTD.; TRIMARAN CLO VII LTD.; CATAMARAN CLO 2012-1 LTD, CATAMARAN CLO 2013-1 LTD, and CATAMARAN CLO 2014-1, LTD.</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Combination</w:t>
      </w:r>
    </w:p>
    <w:p>
      <w:pPr>
        <w:spacing w:after="0" w:line="121" w:lineRule="exact"/>
        <w:rPr>
          <w:sz w:val="20"/>
          <w:szCs w:val="20"/>
          <w:color w:val="auto"/>
        </w:rPr>
      </w:pPr>
    </w:p>
    <w:p>
      <w:pPr>
        <w:ind w:left="40" w:right="559" w:firstLine="270"/>
        <w:spacing w:after="0" w:line="293" w:lineRule="auto"/>
        <w:rPr>
          <w:sz w:val="20"/>
          <w:szCs w:val="20"/>
          <w:color w:val="auto"/>
        </w:rPr>
      </w:pPr>
      <w:r>
        <w:rPr>
          <w:rFonts w:ascii="Arial" w:cs="Arial" w:eastAsia="Arial" w:hAnsi="Arial"/>
          <w:sz w:val="16"/>
          <w:szCs w:val="16"/>
          <w:color w:val="auto"/>
        </w:rPr>
        <w:t>In the opinion of management, the combined financial statements reflect all adjustments, consisting of normal recurring accruals, which are necessary for the fair presentation of the financial condition and results of operations for the periods presented. All significant intercompany transactions, balances, revenues and expenses are eliminated upon combination. Certain prior-year amounts have been reclassified to conform to the current year presentation. Furthermore, the preparation of the financial statements requires management to make significant estimates and assumptions including the fair value of investments that do not have a readily available market value. Actual results could differ from those estimates, and the differences could be material.</w:t>
      </w:r>
    </w:p>
    <w:p>
      <w:pPr>
        <w:spacing w:after="0" w:line="57"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color w:val="auto"/>
        </w:rPr>
        <w:t>The combined financial statements have been prepared in accordance with U.S. GAAP (“Accounting Principles Generally Accepted in the United States”) and include the financial statements of the Asset Manager Affiliates and any VIEs required to be consolidated. The Asset Manager Affiliates provide investment management services to various CLO Funds, making day-to-day investment decisions concerning the assets of the CLO Funds. All of the CLO Funds managed by the Asset Manager Affiliates are VIEs that are required to be consolidated.</w:t>
      </w:r>
    </w:p>
    <w:p>
      <w:pPr>
        <w:spacing w:after="0" w:line="80"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Although the Asset Manager Affiliates have no ownership interests in the CLO Funds they manage, the Asset Manager Affiliates follow the provisions of Accounting Standards Codification ASC Topic 810, “Consolidation,” when accounting for VIEs as further detailed below. Pursuant to ASC 810, VIEs, or entities</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719"/>
        <w:spacing w:after="0" w:line="277" w:lineRule="auto"/>
        <w:rPr>
          <w:sz w:val="20"/>
          <w:szCs w:val="20"/>
          <w:color w:val="auto"/>
        </w:rPr>
      </w:pPr>
      <w:r>
        <w:rPr>
          <w:rFonts w:ascii="Arial" w:cs="Arial" w:eastAsia="Arial" w:hAnsi="Arial"/>
          <w:sz w:val="18"/>
          <w:szCs w:val="18"/>
          <w:color w:val="auto"/>
        </w:rPr>
        <w:t>in which the risks and rewards of ownership are not directly linked to voting interests, for which the Asset Manager Affiliates are the primary beneficiary are consolidated.</w:t>
      </w:r>
    </w:p>
    <w:p>
      <w:pPr>
        <w:spacing w:after="0" w:line="62"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For CLO Funds, if the Asset Manager Affiliates are deemed to have the power to direct the activities of the CLO that most significantly impact the CLO’s economic performance, and the obligation to absorb losses/right to receive benefits (management fees and potential incentive fees) from the CLO that could potentially be significant to the CLO, then the Asset Manager Affiliates are deemed to be the CLO’s primary beneficiary and are required to consolidate the CLO.</w:t>
      </w:r>
    </w:p>
    <w:p>
      <w:pPr>
        <w:spacing w:after="0" w:line="63"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All of the investments held and notes issued by CLO Funds considered to be VIEs are presented at fair value in the Asset Manager Affiliates’ Combined Balance Sheets and interest income and expense of consolidated CLO Funds are presented in the Asset Manager Affiliates’ Combined Statements of Operations. The Asset Manager Affiliates review factors, including the rights of the equity holders and obligations of equity holders to absorb losses or receive expected residual returns to determine if the investment product is a VIE. The Asset Manager Affiliates are required to consolidate a VIE when they are deemed to be the primary beneficiary, which is evaluated continuously as facts and circumstances change.</w:t>
      </w:r>
    </w:p>
    <w:p>
      <w:pPr>
        <w:spacing w:after="0" w:line="70" w:lineRule="exact"/>
        <w:rPr>
          <w:sz w:val="20"/>
          <w:szCs w:val="20"/>
          <w:color w:val="auto"/>
        </w:rPr>
      </w:pPr>
    </w:p>
    <w:p>
      <w:pPr>
        <w:ind w:left="40" w:right="579" w:firstLine="270"/>
        <w:spacing w:after="0" w:line="291" w:lineRule="auto"/>
        <w:rPr>
          <w:sz w:val="20"/>
          <w:szCs w:val="20"/>
          <w:color w:val="auto"/>
        </w:rPr>
      </w:pPr>
      <w:r>
        <w:rPr>
          <w:rFonts w:ascii="Arial" w:cs="Arial" w:eastAsia="Arial" w:hAnsi="Arial"/>
          <w:sz w:val="16"/>
          <w:szCs w:val="16"/>
          <w:b w:val="1"/>
          <w:bCs w:val="1"/>
          <w:i w:val="1"/>
          <w:iCs w:val="1"/>
          <w:color w:val="auto"/>
        </w:rPr>
        <w:t xml:space="preserve">Investments of CLO Funds at Fair Value. </w:t>
      </w:r>
      <w:r>
        <w:rPr>
          <w:rFonts w:ascii="Arial" w:cs="Arial" w:eastAsia="Arial" w:hAnsi="Arial"/>
          <w:sz w:val="16"/>
          <w:szCs w:val="16"/>
          <w:color w:val="auto"/>
        </w:rPr>
        <w:t>Investment transactions are recorded on the applicable trade date. Realized gains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are determined using the specific identification method. Investments held by the CLO Funds are stated at fair value. ASC</w:t>
      </w:r>
    </w:p>
    <w:p>
      <w:pPr>
        <w:ind w:left="40" w:right="539"/>
        <w:spacing w:after="0" w:line="261" w:lineRule="auto"/>
        <w:rPr>
          <w:sz w:val="20"/>
          <w:szCs w:val="20"/>
          <w:color w:val="auto"/>
        </w:rPr>
      </w:pPr>
      <w:r>
        <w:rPr>
          <w:rFonts w:ascii="Arial" w:cs="Arial" w:eastAsia="Arial" w:hAnsi="Arial"/>
          <w:sz w:val="18"/>
          <w:szCs w:val="18"/>
          <w:color w:val="auto"/>
        </w:rPr>
        <w:t>820 - Fair Value Measurements and Disclosures (“ASC 820: Fair Value”), requires among other things, disclosures about assets and liabilities that are measured and reported at fair value.</w:t>
      </w:r>
    </w:p>
    <w:p>
      <w:pPr>
        <w:spacing w:after="0" w:line="76"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b w:val="1"/>
          <w:bCs w:val="1"/>
          <w:i w:val="1"/>
          <w:iCs w:val="1"/>
          <w:color w:val="auto"/>
        </w:rPr>
        <w:t>Hierarchy of Fair Value Inputs</w:t>
      </w:r>
      <w:r>
        <w:rPr>
          <w:rFonts w:ascii="Arial" w:cs="Arial" w:eastAsia="Arial" w:hAnsi="Arial"/>
          <w:sz w:val="17"/>
          <w:szCs w:val="17"/>
          <w:color w:val="auto"/>
        </w:rPr>
        <w:t>. The provisions of ASC 820: Fair Value establishes a hierarchy that prioritizes inputs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valuation techniques used to measure fair value and require companies to disclose the fair value of their financial instruments according to the fair value hierarchy (i.e., Level I, II and III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III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I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ind w:left="600" w:right="599" w:hanging="322"/>
        <w:spacing w:after="0" w:line="259" w:lineRule="auto"/>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Level I assets may include listed mutual funds (including those accounted for under the equity method of accounting as these mutual funds are investment companies, that have publicly available Net Asset Values which in accordance with U.S. GAAP are calculated under fair value measures and are equal to the earnings of such funds), ETFs, equities and certain derivatives.</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II Inputs:</w:t>
      </w:r>
    </w:p>
    <w:p>
      <w:pPr>
        <w:spacing w:after="0" w:line="117" w:lineRule="exact"/>
        <w:rPr>
          <w:sz w:val="20"/>
          <w:szCs w:val="20"/>
          <w:color w:val="auto"/>
        </w:rPr>
      </w:pPr>
    </w:p>
    <w:p>
      <w:pPr>
        <w:ind w:left="320" w:right="639"/>
        <w:spacing w:after="0" w:line="279" w:lineRule="auto"/>
        <w:rPr>
          <w:sz w:val="20"/>
          <w:szCs w:val="20"/>
          <w:color w:val="auto"/>
        </w:rPr>
      </w:pPr>
      <w:r>
        <w:rPr>
          <w:rFonts w:ascii="Arial" w:cs="Arial" w:eastAsia="Arial" w:hAnsi="Arial"/>
          <w:sz w:val="17"/>
          <w:szCs w:val="17"/>
          <w:color w:val="auto"/>
        </w:rPr>
        <w:t>Quoted prices for similar assets or liabilities in active markets; quoted prices for identical or similar assets or liabilities that are not active; quotes from pricing services or brokers, for which the Asset Manager Affiliates can determine that orderly transactions took place at the quoted price or that the inputs used to arrive at the price were observable; and inputs other than quoted prices that are observable, such as models or other valuation methodologies.</w:t>
      </w:r>
    </w:p>
    <w:p>
      <w:pPr>
        <w:spacing w:after="0" w:line="63" w:lineRule="exact"/>
        <w:rPr>
          <w:sz w:val="20"/>
          <w:szCs w:val="20"/>
          <w:color w:val="auto"/>
        </w:rPr>
      </w:pPr>
    </w:p>
    <w:p>
      <w:pPr>
        <w:ind w:left="600" w:right="859" w:hanging="322"/>
        <w:spacing w:after="0" w:line="259"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II assets in this category may include debt securities, bank loans, short-term floating rate notes and asset-backed securities, restricted public securities valued at a discount, as well as over the counter derivatives, including interest and inflation rate swaps and foreign currency exchange contracts that have inputs to the valuations that generally can be corroborated by observable market data.</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III Inputs:</w:t>
      </w:r>
    </w:p>
    <w:p>
      <w:pPr>
        <w:spacing w:after="0" w:line="117" w:lineRule="exact"/>
        <w:rPr>
          <w:sz w:val="20"/>
          <w:szCs w:val="20"/>
          <w:color w:val="auto"/>
        </w:rPr>
      </w:pPr>
    </w:p>
    <w:p>
      <w:pPr>
        <w:jc w:val="both"/>
        <w:ind w:left="320" w:right="739"/>
        <w:spacing w:after="0" w:line="264" w:lineRule="auto"/>
        <w:rPr>
          <w:sz w:val="20"/>
          <w:szCs w:val="20"/>
          <w:color w:val="auto"/>
        </w:rPr>
      </w:pPr>
      <w:r>
        <w:rPr>
          <w:rFonts w:ascii="Arial" w:cs="Arial" w:eastAsia="Arial" w:hAnsi="Arial"/>
          <w:sz w:val="18"/>
          <w:szCs w:val="18"/>
          <w:color w:val="auto"/>
        </w:rPr>
        <w:t>Unobservable inputs for the valuation of the asset or liability, which may include non-binding broker quotes. Level III assets include investments for which there is little, if any, market activity. These inputs require significant management judgment or estimation.</w:t>
      </w:r>
    </w:p>
    <w:p>
      <w:pPr>
        <w:spacing w:after="0" w:line="73" w:lineRule="exact"/>
        <w:rPr>
          <w:sz w:val="20"/>
          <w:szCs w:val="20"/>
          <w:color w:val="auto"/>
        </w:rPr>
      </w:pPr>
    </w:p>
    <w:p>
      <w:pPr>
        <w:ind w:left="600" w:right="599" w:hanging="322"/>
        <w:spacing w:after="0" w:line="312" w:lineRule="auto"/>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Level III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38" w:lineRule="exact"/>
        <w:rPr>
          <w:rFonts w:ascii="Arial" w:cs="Arial" w:eastAsia="Arial" w:hAnsi="Arial"/>
          <w:sz w:val="16"/>
          <w:szCs w:val="16"/>
          <w:color w:val="auto"/>
        </w:rPr>
      </w:pPr>
    </w:p>
    <w:p>
      <w:pPr>
        <w:ind w:left="600" w:right="519" w:hanging="322"/>
        <w:spacing w:after="0" w:line="308" w:lineRule="auto"/>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Level III liabilities included in this category include borrowings of consolidated collateralized loan obligations valued based upon non-binding broker quotes or discounted cash flow model based on a discount margin calculation.</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Significance of Inputs:</w:t>
      </w:r>
    </w:p>
    <w:p>
      <w:pPr>
        <w:spacing w:after="0" w:line="117" w:lineRule="exact"/>
        <w:rPr>
          <w:sz w:val="20"/>
          <w:szCs w:val="20"/>
          <w:color w:val="auto"/>
        </w:rPr>
      </w:pPr>
    </w:p>
    <w:p>
      <w:pPr>
        <w:ind w:left="320" w:right="699"/>
        <w:spacing w:after="0" w:line="277" w:lineRule="auto"/>
        <w:rPr>
          <w:sz w:val="20"/>
          <w:szCs w:val="20"/>
          <w:color w:val="auto"/>
        </w:rPr>
      </w:pPr>
      <w:r>
        <w:rPr>
          <w:rFonts w:ascii="Arial" w:cs="Arial" w:eastAsia="Arial" w:hAnsi="Arial"/>
          <w:sz w:val="18"/>
          <w:szCs w:val="18"/>
          <w:color w:val="auto"/>
        </w:rPr>
        <w:t>The Asset Manager Affiliates’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left="40" w:right="679" w:firstLine="270"/>
        <w:spacing w:after="0" w:line="285"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Debt and equity securities for which market quotations are readily available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Asset Manager Affiliates follow the provisions of ASC 820: Fair Value which defines fair value, establishes a framework for measuring fair value, and expands disclosures about assets and liabilities measured at fair value. ASC</w:t>
      </w:r>
    </w:p>
    <w:p>
      <w:pPr>
        <w:spacing w:after="0" w:line="2" w:lineRule="exact"/>
        <w:rPr>
          <w:sz w:val="20"/>
          <w:szCs w:val="20"/>
          <w:color w:val="auto"/>
        </w:rPr>
      </w:pPr>
    </w:p>
    <w:p>
      <w:pPr>
        <w:jc w:val="both"/>
        <w:ind w:left="40" w:right="799" w:firstLine="8"/>
        <w:spacing w:after="0" w:line="255" w:lineRule="auto"/>
        <w:tabs>
          <w:tab w:leader="none" w:pos="4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82" w:lineRule="exact"/>
        <w:rPr>
          <w:sz w:val="20"/>
          <w:szCs w:val="20"/>
          <w:color w:val="auto"/>
        </w:rPr>
      </w:pPr>
    </w:p>
    <w:p>
      <w:pPr>
        <w:ind w:left="40" w:right="619" w:firstLine="270"/>
        <w:spacing w:after="0" w:line="259" w:lineRule="auto"/>
        <w:rPr>
          <w:sz w:val="20"/>
          <w:szCs w:val="20"/>
          <w:color w:val="auto"/>
        </w:rPr>
      </w:pPr>
      <w:r>
        <w:rPr>
          <w:rFonts w:ascii="Arial" w:cs="Arial" w:eastAsia="Arial" w:hAnsi="Arial"/>
          <w:sz w:val="18"/>
          <w:szCs w:val="18"/>
          <w:color w:val="auto"/>
        </w:rPr>
        <w:t>In January 2010, the FASB issued guidance that clarifies and requires new disclosures about fair value measurements. The clarifications and requirement to disclose the amounts and reasons for significant transfers between Level I and Level II, as well as significant transfers in and out of Level III of the fair value hierarchy, were adopted by Katonah Debt Advisors in 2010, and Trimaran Advisors upon acquisition in 2012.</w:t>
      </w:r>
    </w:p>
    <w:p>
      <w:pPr>
        <w:spacing w:after="0" w:line="79"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of the inputs and valuation techniques used to measure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a discussion of changes in valuation techniques and related inputs, if any, during the period.</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1059" w:firstLine="270"/>
        <w:spacing w:after="0" w:line="277" w:lineRule="auto"/>
        <w:rPr>
          <w:sz w:val="20"/>
          <w:szCs w:val="20"/>
          <w:color w:val="auto"/>
        </w:rPr>
      </w:pPr>
      <w:r>
        <w:rPr>
          <w:rFonts w:ascii="Arial" w:cs="Arial" w:eastAsia="Arial" w:hAnsi="Arial"/>
          <w:sz w:val="18"/>
          <w:szCs w:val="18"/>
          <w:color w:val="auto"/>
        </w:rPr>
        <w:t>The Asset Manager Affiliates’ valuation methodology and procedures for investments held by the Funds are generally as follows: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For Debt Securities:</w:t>
      </w:r>
    </w:p>
    <w:p>
      <w:pPr>
        <w:spacing w:after="0" w:line="117" w:lineRule="exact"/>
        <w:rPr>
          <w:sz w:val="20"/>
          <w:szCs w:val="20"/>
          <w:color w:val="auto"/>
        </w:rPr>
      </w:pPr>
    </w:p>
    <w:p>
      <w:pPr>
        <w:ind w:left="540" w:right="699" w:hanging="262"/>
        <w:spacing w:after="0" w:line="277"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right="679" w:hanging="262"/>
        <w:spacing w:after="0" w:line="264"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Fair value for all assets which a Fund has committed to purchase but yet to settle will be the most recent mark produced by Markit (or other third party pricing service, as may be available). If the asset has not received a mark from Markit, the purchase price is deemed to be the fair value.</w:t>
      </w:r>
    </w:p>
    <w:p>
      <w:pPr>
        <w:spacing w:after="0" w:line="73" w:lineRule="exact"/>
        <w:rPr>
          <w:rFonts w:ascii="Arial" w:cs="Arial" w:eastAsia="Arial" w:hAnsi="Arial"/>
          <w:sz w:val="18"/>
          <w:szCs w:val="18"/>
          <w:color w:val="auto"/>
        </w:rPr>
      </w:pPr>
    </w:p>
    <w:p>
      <w:pPr>
        <w:ind w:left="540" w:right="559" w:hanging="262"/>
        <w:spacing w:after="0" w:line="254"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performing loan and bond assets, the fair value is determined in accordance with the following procedure. First, if the asset was marked by Markit (or other third party pricing service, as may be available) within one month of applicable date, then the most recent Markit mark will be the fair value. Next, if the most recent Markit mark is aged beyond one month but less than one year, then the fair value will be the lower of the most recent Markit mark and the average price on the applicable rating bucket on the CSFB Loan Index produced on the date closest to the applicable date. Lastly, if the asset has not received a Markit mark within the last year, the fair value will be produced by haircutting (in percentage terms) the mark on the applicable rating bucket of the CSFB Loan Index produced on the date closest to the applicable date by said CSFB Loan Index value.</w:t>
      </w:r>
    </w:p>
    <w:p>
      <w:pPr>
        <w:spacing w:after="0" w:line="84" w:lineRule="exact"/>
        <w:rPr>
          <w:rFonts w:ascii="Arial" w:cs="Arial" w:eastAsia="Arial" w:hAnsi="Arial"/>
          <w:sz w:val="18"/>
          <w:szCs w:val="18"/>
          <w:color w:val="auto"/>
        </w:rPr>
      </w:pPr>
    </w:p>
    <w:p>
      <w:pPr>
        <w:ind w:left="540" w:right="539" w:hanging="262"/>
        <w:spacing w:after="0" w:line="293"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loan and bond assets in payment default, the fair value is determined in accordance with the following procedure. First, if the asset was marked by Markit (or other third party pricing service, as may be available) within one month of applicable date, then the most recent Markit mark will be the fair value. Next, if the most recent Markit mark is aged beyond one month but less than one year, then the fair value will be the lower of most recent Markit mark and the average price on the Distressed/Defaulted bucket of the CSFB Distressed Loan Index produced on the date closet to the applicable date. Lastly, if the asset has not received a Markit mark within the last year, the fair value will be deemed to be zero.</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For Equity Securities:</w:t>
      </w:r>
    </w:p>
    <w:p>
      <w:pPr>
        <w:spacing w:after="0" w:line="117" w:lineRule="exact"/>
        <w:rPr>
          <w:sz w:val="20"/>
          <w:szCs w:val="20"/>
          <w:color w:val="auto"/>
        </w:rPr>
      </w:pPr>
    </w:p>
    <w:p>
      <w:pPr>
        <w:ind w:left="540" w:right="779" w:hanging="262"/>
        <w:spacing w:after="0" w:line="297"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equity assets the fair value is determined in accordance with the following procedure. First, if the asset is a publicly-traded equity, the fair value will be based upon the closing price per share as of the applicable date. Next, if the asset was marked by Markit (or other third party pricing service, as may be available) within one month of the applicable date, then the fair value will be based on the most recent Markit price per share. Lastly, if the asset was most recently marked by Markit is aged beyond one month, or has never been marked by Markit, the fair value will be deemed to be zero.</w:t>
      </w:r>
    </w:p>
    <w:p>
      <w:pPr>
        <w:spacing w:after="0" w:line="5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For CLO Securities:</w:t>
      </w:r>
    </w:p>
    <w:p>
      <w:pPr>
        <w:spacing w:after="0" w:line="117" w:lineRule="exact"/>
        <w:rPr>
          <w:sz w:val="20"/>
          <w:szCs w:val="20"/>
          <w:color w:val="auto"/>
        </w:rPr>
      </w:pPr>
    </w:p>
    <w:p>
      <w:pPr>
        <w:ind w:left="540" w:right="699" w:hanging="262"/>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Fair value for all assets which a Fund has committed to purchase but yet to settle will be deemed to be the purchase price.</w:t>
      </w:r>
    </w:p>
    <w:p>
      <w:pPr>
        <w:spacing w:after="0" w:line="140" w:lineRule="exact"/>
        <w:rPr>
          <w:rFonts w:ascii="Arial" w:cs="Arial" w:eastAsia="Arial" w:hAnsi="Arial"/>
          <w:sz w:val="16"/>
          <w:szCs w:val="16"/>
          <w:color w:val="auto"/>
        </w:rPr>
      </w:pPr>
    </w:p>
    <w:p>
      <w:pPr>
        <w:ind w:left="540" w:right="579" w:hanging="262"/>
        <w:spacing w:after="0" w:line="297"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performing assets, a Present Value is determined in accordance with the following procedure. First, the Asset Manager Affiliates amalgamate Discount Margin (DM) data from the most recent reports published by the CLO Research and Secondary Trading desks of sell side broker dealers. The DM data is averaged across each original rating bucket of the CLO capital structure. For each asset, future cash flows are produced based upon the three month LIBOR rate as of the applicable date and the contractually mandated spread each asset is required to pay in a no-loss scenario. The</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540" w:right="739"/>
        <w:spacing w:after="0" w:line="277" w:lineRule="auto"/>
        <w:rPr>
          <w:sz w:val="20"/>
          <w:szCs w:val="20"/>
          <w:color w:val="auto"/>
        </w:rPr>
      </w:pPr>
      <w:r>
        <w:rPr>
          <w:rFonts w:ascii="Arial" w:cs="Arial" w:eastAsia="Arial" w:hAnsi="Arial"/>
          <w:sz w:val="18"/>
          <w:szCs w:val="18"/>
          <w:color w:val="auto"/>
        </w:rPr>
        <w:t>present value of the future cash flows is then calculated by using a discount rate equal to the applicable DM for the asset’s original rating bucket plus the three month LIBOR rate as of the applicable date.</w:t>
      </w:r>
    </w:p>
    <w:p>
      <w:pPr>
        <w:spacing w:after="0" w:line="62" w:lineRule="exact"/>
        <w:rPr>
          <w:sz w:val="20"/>
          <w:szCs w:val="20"/>
          <w:color w:val="auto"/>
        </w:rPr>
      </w:pPr>
    </w:p>
    <w:p>
      <w:pPr>
        <w:ind w:left="540" w:right="639" w:hanging="262"/>
        <w:spacing w:after="0" w:line="25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Next, the Asset Manager Affiliates inquire with the sell-side institution from which they purchased each asset to provide indicative pricing as if the applicable date. The fair value is determined by an equal weight average of the Present Value determined from the cash flow model and the indicative price provided by the sell side broker dealer from which the asset was purchased. In the event there is no indicative price produced by a sell side broker dealer, then the Fair Value will be the Present Value determined from the cash flow model.</w:t>
      </w:r>
    </w:p>
    <w:p>
      <w:pPr>
        <w:spacing w:after="0" w:line="80" w:lineRule="exact"/>
        <w:rPr>
          <w:rFonts w:ascii="Arial" w:cs="Arial" w:eastAsia="Arial" w:hAnsi="Arial"/>
          <w:sz w:val="18"/>
          <w:szCs w:val="18"/>
          <w:color w:val="auto"/>
        </w:rPr>
      </w:pPr>
    </w:p>
    <w:p>
      <w:pPr>
        <w:ind w:left="540" w:right="579" w:hanging="262"/>
        <w:spacing w:after="0" w:line="259"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 bond is a non-performing bond, it will be necessary to use a more detailed cash flow model. Such a model may be one that is commercially available (e.g. Intex) or one that is a spreadsheet-based CLO cash flow model which has been set up to replicate the deal in question is used with specific prepayment, default, and severity inputs as appropriate to the bond in question.</w:t>
      </w:r>
    </w:p>
    <w:p>
      <w:pPr>
        <w:spacing w:after="0" w:line="79" w:lineRule="exact"/>
        <w:rPr>
          <w:sz w:val="20"/>
          <w:szCs w:val="20"/>
          <w:color w:val="auto"/>
        </w:rPr>
      </w:pPr>
    </w:p>
    <w:p>
      <w:pPr>
        <w:ind w:left="40" w:right="779" w:firstLine="270"/>
        <w:spacing w:after="0" w:line="273" w:lineRule="auto"/>
        <w:rPr>
          <w:sz w:val="20"/>
          <w:szCs w:val="20"/>
          <w:color w:val="auto"/>
        </w:rPr>
      </w:pP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Most of the CLO Funds’ investment portfolio is composed of broadly syndicated back loans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debt securities for which an independent pricing service quote is available. To the extent that the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w:t>
      </w:r>
    </w:p>
    <w:p>
      <w:pPr>
        <w:spacing w:after="0" w:line="70"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b w:val="1"/>
          <w:bCs w:val="1"/>
          <w:i w:val="1"/>
          <w:iCs w:val="1"/>
          <w:color w:val="auto"/>
        </w:rPr>
        <w:t>CLO Fund Securities</w:t>
      </w:r>
      <w:r>
        <w:rPr>
          <w:rFonts w:ascii="Arial" w:cs="Arial" w:eastAsia="Arial" w:hAnsi="Arial"/>
          <w:sz w:val="18"/>
          <w:szCs w:val="18"/>
          <w:color w:val="auto"/>
        </w:rPr>
        <w:t>. The CLO Funds managed by the Asset Manager Affiliates may selectively invest in securities issued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funds managed by other asset management companies. For bond rated tranches of CLO Funds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84"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Equity Securities</w:t>
      </w:r>
      <w:r>
        <w:rPr>
          <w:rFonts w:ascii="Arial" w:cs="Arial" w:eastAsia="Arial" w:hAnsi="Arial"/>
          <w:sz w:val="18"/>
          <w:szCs w:val="18"/>
          <w:color w:val="auto"/>
        </w:rPr>
        <w:t>. From time to time, the CLO Funds may receive equity securities that are received in exchange with a default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restructuring of collateral obligations.</w:t>
      </w:r>
    </w:p>
    <w:p>
      <w:pPr>
        <w:spacing w:after="0" w:line="62" w:lineRule="exact"/>
        <w:rPr>
          <w:sz w:val="20"/>
          <w:szCs w:val="20"/>
          <w:color w:val="auto"/>
        </w:rPr>
      </w:pPr>
    </w:p>
    <w:p>
      <w:pPr>
        <w:ind w:left="40" w:right="539" w:firstLine="270"/>
        <w:spacing w:after="0" w:line="342" w:lineRule="auto"/>
        <w:rPr>
          <w:sz w:val="20"/>
          <w:szCs w:val="20"/>
          <w:color w:val="auto"/>
        </w:rPr>
      </w:pPr>
      <w:r>
        <w:rPr>
          <w:rFonts w:ascii="Arial" w:cs="Arial" w:eastAsia="Arial" w:hAnsi="Arial"/>
          <w:sz w:val="16"/>
          <w:szCs w:val="16"/>
          <w:b w:val="1"/>
          <w:bCs w:val="1"/>
          <w:i w:val="1"/>
          <w:iCs w:val="1"/>
          <w:color w:val="auto"/>
        </w:rPr>
        <w:t>Cash</w:t>
      </w:r>
      <w:r>
        <w:rPr>
          <w:rFonts w:ascii="Arial" w:cs="Arial" w:eastAsia="Arial" w:hAnsi="Arial"/>
          <w:sz w:val="16"/>
          <w:szCs w:val="16"/>
          <w:color w:val="auto"/>
        </w:rPr>
        <w:t>. The Asset Manager Affiliates define cash as demand deposits. The Asset Manager Affiliates place their cash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at times, cash held in these accounts may exceed the Federal Deposit Insurance Corporation insured limit.</w:t>
      </w:r>
    </w:p>
    <w:p>
      <w:pPr>
        <w:spacing w:after="0" w:line="16" w:lineRule="exact"/>
        <w:rPr>
          <w:sz w:val="20"/>
          <w:szCs w:val="20"/>
          <w:color w:val="auto"/>
        </w:rPr>
      </w:pPr>
    </w:p>
    <w:p>
      <w:pPr>
        <w:ind w:left="40" w:right="1179" w:firstLine="270"/>
        <w:spacing w:after="0" w:line="277" w:lineRule="auto"/>
        <w:rPr>
          <w:sz w:val="20"/>
          <w:szCs w:val="20"/>
          <w:color w:val="auto"/>
        </w:rPr>
      </w:pPr>
      <w:r>
        <w:rPr>
          <w:rFonts w:ascii="Arial" w:cs="Arial" w:eastAsia="Arial" w:hAnsi="Arial"/>
          <w:sz w:val="18"/>
          <w:szCs w:val="18"/>
          <w:b w:val="1"/>
          <w:bCs w:val="1"/>
          <w:i w:val="1"/>
          <w:iCs w:val="1"/>
          <w:color w:val="auto"/>
        </w:rPr>
        <w:t>Restricted Cash of CLO Funds</w:t>
      </w:r>
      <w:r>
        <w:rPr>
          <w:rFonts w:ascii="Arial" w:cs="Arial" w:eastAsia="Arial" w:hAnsi="Arial"/>
          <w:sz w:val="18"/>
          <w:szCs w:val="18"/>
          <w:color w:val="auto"/>
        </w:rPr>
        <w:t>. Restricted cash consists of cash held for reinvestment, quarterly interest and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(if any) to holders of CLO Fund liabilities, and for payment of CLO Fund expenses.</w:t>
      </w:r>
    </w:p>
    <w:p>
      <w:pPr>
        <w:spacing w:after="0" w:line="62" w:lineRule="exact"/>
        <w:rPr>
          <w:sz w:val="20"/>
          <w:szCs w:val="20"/>
          <w:color w:val="auto"/>
        </w:rPr>
      </w:pPr>
    </w:p>
    <w:p>
      <w:pPr>
        <w:ind w:left="40" w:right="979" w:firstLine="270"/>
        <w:spacing w:after="0" w:line="342" w:lineRule="auto"/>
        <w:rPr>
          <w:sz w:val="20"/>
          <w:szCs w:val="20"/>
          <w:color w:val="auto"/>
        </w:rPr>
      </w:pPr>
      <w:r>
        <w:rPr>
          <w:rFonts w:ascii="Arial" w:cs="Arial" w:eastAsia="Arial" w:hAnsi="Arial"/>
          <w:sz w:val="16"/>
          <w:szCs w:val="16"/>
          <w:b w:val="1"/>
          <w:bCs w:val="1"/>
          <w:i w:val="1"/>
          <w:iCs w:val="1"/>
          <w:color w:val="auto"/>
        </w:rPr>
        <w:t>CLO Fund Liabilities at Fair Value</w:t>
      </w:r>
      <w:r>
        <w:rPr>
          <w:rFonts w:ascii="Arial" w:cs="Arial" w:eastAsia="Arial" w:hAnsi="Arial"/>
          <w:sz w:val="16"/>
          <w:szCs w:val="16"/>
          <w:color w:val="auto"/>
        </w:rPr>
        <w:t>. The CLO Funds managed by the Asset manager Affiliates and that are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herein, have issued rated and unrated securities to finance their operations. CLO Fund liabilities are presented at fair value.</w:t>
      </w:r>
    </w:p>
    <w:p>
      <w:pPr>
        <w:spacing w:after="0" w:line="16"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is recorded on the accrual basis on interest-bearing assets. The CLO Funds generally place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 or security on non-accrual status and cease recognizing cash interest income on such loan or security when a loan or security becomes 90 days or more past due or if the Asset Manager Affiliates otherwise do not expect the debtor to be able to service its debt obligations. Non-accrual loans represented less than 1% of investments of CLO Funds at fair value as of December 31, 2013 and</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99"/>
        <w:spacing w:after="0" w:line="259" w:lineRule="auto"/>
        <w:rPr>
          <w:sz w:val="20"/>
          <w:szCs w:val="20"/>
          <w:color w:val="auto"/>
        </w:rPr>
      </w:pPr>
      <w:r>
        <w:rPr>
          <w:rFonts w:ascii="Arial" w:cs="Arial" w:eastAsia="Arial" w:hAnsi="Arial"/>
          <w:sz w:val="18"/>
          <w:szCs w:val="18"/>
          <w:color w:val="auto"/>
        </w:rPr>
        <w:t>December 31, 2012. The aggregate unpaid principal value of loans past due as of December 31, 2013 was approximately $72.6 million and the difference between fair value and the unpaid principal balance was approximately $46.2 million. The aggregate unpaid principal value of loans past due as of December 31, 2012 was approximately $42.7 million and the difference between fair value and the unpaid principal balance was approximately $36.2 million.</w:t>
      </w:r>
    </w:p>
    <w:p>
      <w:pPr>
        <w:spacing w:after="0" w:line="79" w:lineRule="exact"/>
        <w:rPr>
          <w:sz w:val="20"/>
          <w:szCs w:val="20"/>
          <w:color w:val="auto"/>
        </w:rPr>
      </w:pPr>
    </w:p>
    <w:p>
      <w:pPr>
        <w:ind w:left="40" w:right="539" w:firstLine="270"/>
        <w:spacing w:after="0" w:line="293" w:lineRule="auto"/>
        <w:rPr>
          <w:sz w:val="20"/>
          <w:szCs w:val="20"/>
          <w:color w:val="auto"/>
        </w:rPr>
      </w:pPr>
      <w:r>
        <w:rPr>
          <w:rFonts w:ascii="Arial" w:cs="Arial" w:eastAsia="Arial" w:hAnsi="Arial"/>
          <w:sz w:val="16"/>
          <w:szCs w:val="16"/>
          <w:b w:val="1"/>
          <w:bCs w:val="1"/>
          <w:i w:val="1"/>
          <w:iCs w:val="1"/>
          <w:color w:val="auto"/>
        </w:rPr>
        <w:t>Management Fees</w:t>
      </w:r>
      <w:r>
        <w:rPr>
          <w:rFonts w:ascii="Arial" w:cs="Arial" w:eastAsia="Arial" w:hAnsi="Arial"/>
          <w:sz w:val="16"/>
          <w:szCs w:val="16"/>
          <w:color w:val="auto"/>
        </w:rPr>
        <w:t>. As a manager of CLO Funds, the Asset Manager Affiliates receive contractual and recurring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fees (and may receive a one-time structuring fee)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annual management fees the Asset Manager Affiliates receive have two components — a senior management fee and a subordinated management fee.</w:t>
      </w:r>
    </w:p>
    <w:p>
      <w:pPr>
        <w:spacing w:after="0" w:line="57"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b w:val="1"/>
          <w:bCs w:val="1"/>
          <w:i w:val="1"/>
          <w:iCs w:val="1"/>
          <w:color w:val="auto"/>
        </w:rPr>
        <w:t>Incentive Fees</w:t>
      </w:r>
      <w:r>
        <w:rPr>
          <w:rFonts w:ascii="Arial" w:cs="Arial" w:eastAsia="Arial" w:hAnsi="Arial"/>
          <w:sz w:val="18"/>
          <w:szCs w:val="18"/>
          <w:color w:val="auto"/>
        </w:rPr>
        <w:t>. As a manager of CLO Funds, the Asset Manager Affiliates may receive incentive fees upon exceeding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relative and/or absolute investment return thresholds. Such fees are recorded upon completion of the measurement period which varies by CLO Fund.</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Dividends to Member</w:t>
      </w:r>
      <w:r>
        <w:rPr>
          <w:rFonts w:ascii="Arial" w:cs="Arial" w:eastAsia="Arial" w:hAnsi="Arial"/>
          <w:sz w:val="17"/>
          <w:szCs w:val="17"/>
          <w:color w:val="auto"/>
        </w:rPr>
        <w:t>. Dividends to the Asset Manager Affiliates’ sole member are recognized on the ex-dividend date.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Generally, dividends are declared and paid on a quarterly basis.</w:t>
      </w:r>
    </w:p>
    <w:p>
      <w:pPr>
        <w:spacing w:after="0" w:line="103"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b w:val="1"/>
          <w:bCs w:val="1"/>
          <w:i w:val="1"/>
          <w:iCs w:val="1"/>
          <w:color w:val="auto"/>
        </w:rPr>
        <w:t>Expenses</w:t>
      </w:r>
      <w:r>
        <w:rPr>
          <w:rFonts w:ascii="Arial" w:cs="Arial" w:eastAsia="Arial" w:hAnsi="Arial"/>
          <w:sz w:val="17"/>
          <w:szCs w:val="17"/>
          <w:color w:val="auto"/>
        </w:rPr>
        <w:t>. The Asset Manager Affiliates are internally managed and expense costs, as incurred, with regard to the running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operations. Primary operating expenses include employee salaries and benefits, the costs of identifying, evaluating, monitoring and servicing the CLO Fund investments managed by the Asset Manager Affiliates, and related overhead charges and expenses, including rental expense. The Asset Manager Affiliates share office space and certain other operating expenses. Katonah Debt Advisors has entered into an Overhead Allocation Agreement with its sole member, KCAP Financial. Trimaran Advisors has entered into such an allocation agreement with Katonah Debt Advisors. The Agreements provide for the sharing of such expenses based on an equal sharing of office lease costs and the ratable usage of other shared resources. Katonah Debt Advisors accounts for its operating leases, which may include escalations, in accordance with ASC 840-10, Leases, and expenses the lease payments associated with operating leases evenly during the lease term (including rent-free periods), beginning on the commencement of the lease term.</w:t>
      </w:r>
    </w:p>
    <w:p>
      <w:pPr>
        <w:spacing w:after="0" w:line="7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b w:val="1"/>
          <w:bCs w:val="1"/>
          <w:i w:val="1"/>
          <w:iCs w:val="1"/>
          <w:color w:val="auto"/>
        </w:rPr>
        <w:t>Interest Expenses</w:t>
      </w:r>
      <w:r>
        <w:rPr>
          <w:rFonts w:ascii="Arial" w:cs="Arial" w:eastAsia="Arial" w:hAnsi="Arial"/>
          <w:sz w:val="18"/>
          <w:szCs w:val="18"/>
          <w:color w:val="auto"/>
        </w:rPr>
        <w:t>. Interest expense related to borrowings of the Asset Manager Affiliates is recorded on an accrual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terms of the related borrowing agreements, however the CLO Funds they manage that are consolidated herein have issued rated and unrated bonds to finance their operations. Interest on CLO Fund liabilities is calculated by the third party trustee of the CLO Funds. Interest is accrued and generally paid quarterly.</w:t>
      </w:r>
    </w:p>
    <w:p>
      <w:pPr>
        <w:spacing w:after="0" w:line="7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b w:val="1"/>
          <w:bCs w:val="1"/>
          <w:i w:val="1"/>
          <w:iCs w:val="1"/>
          <w:color w:val="auto"/>
        </w:rPr>
        <w:t>Trustee Fees</w:t>
      </w:r>
      <w:r>
        <w:rPr>
          <w:rFonts w:ascii="Arial" w:cs="Arial" w:eastAsia="Arial" w:hAnsi="Arial"/>
          <w:sz w:val="18"/>
          <w:szCs w:val="18"/>
          <w:color w:val="auto"/>
        </w:rPr>
        <w:t>. Each CLO Fund has a third party trustee that is the custodian for all cash and investments of the CLO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receives and disburses all cash in accordance to the trustee and custodial agreements. Trustee fees are accrued and paid quarterly by the CLO Funds.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The Asset Manager Affiliates account for income taxes under the asset and liability method prescribed by ASC</w:t>
      </w:r>
    </w:p>
    <w:p>
      <w:pPr>
        <w:spacing w:after="0" w:line="46" w:lineRule="exact"/>
        <w:rPr>
          <w:sz w:val="20"/>
          <w:szCs w:val="20"/>
          <w:color w:val="auto"/>
        </w:rPr>
      </w:pPr>
    </w:p>
    <w:p>
      <w:pPr>
        <w:ind w:left="40" w:right="759"/>
        <w:spacing w:after="0" w:line="253" w:lineRule="auto"/>
        <w:rPr>
          <w:sz w:val="20"/>
          <w:szCs w:val="20"/>
          <w:color w:val="auto"/>
        </w:rPr>
      </w:pPr>
      <w:r>
        <w:rPr>
          <w:rFonts w:ascii="Arial" w:cs="Arial" w:eastAsia="Arial" w:hAnsi="Arial"/>
          <w:sz w:val="18"/>
          <w:szCs w:val="18"/>
          <w:color w:val="auto"/>
        </w:rPr>
        <w:t>740-10, Income Taxes (“ASC 740-10”). Deferred income tax assets and liabilities are recognized for the future tax consequences attributable to temporary differences between the financial statement carrying amounts of existing assets and liabilities and their respective tax bases using currently enacted tax rates in effect for the year in which the differences are expected to reverse. The effect of a change in tax rates on deferred income tax assets and liabilities is recognized in income in the period that includes the enactment date.</w:t>
      </w:r>
    </w:p>
    <w:p>
      <w:pPr>
        <w:spacing w:after="0" w:line="83"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Management periodically assesses the recoverability of its deferred income tax assets based upon expected future earnings, taxable income in prior carryback years, future deductibility of the asset, changes in</w:t>
      </w: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59"/>
        <w:spacing w:after="0" w:line="257" w:lineRule="auto"/>
        <w:rPr>
          <w:sz w:val="20"/>
          <w:szCs w:val="20"/>
          <w:color w:val="auto"/>
        </w:rPr>
      </w:pPr>
      <w:r>
        <w:rPr>
          <w:rFonts w:ascii="Arial" w:cs="Arial" w:eastAsia="Arial" w:hAnsi="Arial"/>
          <w:sz w:val="18"/>
          <w:szCs w:val="18"/>
          <w:color w:val="auto"/>
        </w:rPr>
        <w:t>applicable tax laws and other factors. If management determines that it is not more likely than not that the deferred tax asset will be fully recoverable in the future, a valuation allowance will be established for the difference between the asset balance and the amount expected to be recoverable in the future. This allowance will result in a charge to income tax expense on the combined statements of income. The Asset Manager Affiliate record their income taxes receivables and payables based upon their estimated income tax liability.</w:t>
      </w:r>
    </w:p>
    <w:p>
      <w:pPr>
        <w:spacing w:after="0" w:line="80"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ASC 740-10 clarifies the accounting for uncertainty in income taxes recognized in a company’s financial statements by prescribing a threshold for measurement and recognition in the financial statements of an asset or liability resulting from a tax position taken or expected to be taken in an income tax return. ASC 740-10 also provides guidance on derecognition, classification, interest and penalties, accounting in interim periods, disclosure and transition.</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CLO FUNDS</w:t>
      </w:r>
    </w:p>
    <w:p>
      <w:pPr>
        <w:spacing w:after="0" w:line="121" w:lineRule="exact"/>
        <w:rPr>
          <w:sz w:val="20"/>
          <w:szCs w:val="20"/>
          <w:color w:val="auto"/>
        </w:rPr>
      </w:pPr>
    </w:p>
    <w:p>
      <w:pPr>
        <w:ind w:left="40" w:right="599" w:firstLine="270"/>
        <w:spacing w:after="0" w:line="276" w:lineRule="auto"/>
        <w:rPr>
          <w:sz w:val="20"/>
          <w:szCs w:val="20"/>
          <w:color w:val="auto"/>
        </w:rPr>
      </w:pPr>
      <w:r>
        <w:rPr>
          <w:rFonts w:ascii="Arial" w:cs="Arial" w:eastAsia="Arial" w:hAnsi="Arial"/>
          <w:sz w:val="17"/>
          <w:szCs w:val="17"/>
          <w:color w:val="auto"/>
        </w:rPr>
        <w:t>A CLO Fund generally refers to a special purpose vehicle that owns a portfolio of investments and issues various tranches of debt and subordinated securities to finance the purchase of those investments. Investments purchased by the CLO Funds are governed by extensive investment guidelines, including limits on exposure to any single industry or issuer and limits on the ratings of the CLO Fund’s assets. The CLO Funds managed by the Asset Manager Affiliates have a defined investment period during which they are allowed to make investments or reinvest capital as it becomes available.</w:t>
      </w:r>
    </w:p>
    <w:p>
      <w:pPr>
        <w:spacing w:after="0" w:line="64" w:lineRule="exact"/>
        <w:rPr>
          <w:sz w:val="20"/>
          <w:szCs w:val="20"/>
          <w:color w:val="auto"/>
        </w:rPr>
      </w:pPr>
    </w:p>
    <w:p>
      <w:pPr>
        <w:jc w:val="both"/>
        <w:ind w:left="40" w:right="779" w:firstLine="270"/>
        <w:spacing w:after="0" w:line="312" w:lineRule="auto"/>
        <w:rPr>
          <w:sz w:val="20"/>
          <w:szCs w:val="20"/>
          <w:color w:val="auto"/>
        </w:rPr>
      </w:pPr>
      <w:r>
        <w:rPr>
          <w:rFonts w:ascii="Arial" w:cs="Arial" w:eastAsia="Arial" w:hAnsi="Arial"/>
          <w:sz w:val="16"/>
          <w:szCs w:val="16"/>
          <w:color w:val="auto"/>
        </w:rPr>
        <w:t>The Asset Manager Affiliates manage eleven CLO Funds primarily for third party investors that invest in broadly syndicated loans, high yield bonds and other credit instruments issued by corporations. At December 31, 2013 and December 31, 2012, the Asset Manager Affiliates had approximately $3.2 billion and $3.6 billion of par value of assets under management, respectively.</w:t>
      </w:r>
    </w:p>
    <w:p>
      <w:pPr>
        <w:spacing w:after="0" w:line="39" w:lineRule="exact"/>
        <w:rPr>
          <w:sz w:val="20"/>
          <w:szCs w:val="20"/>
          <w:color w:val="auto"/>
        </w:rPr>
      </w:pPr>
    </w:p>
    <w:p>
      <w:pPr>
        <w:ind w:left="40" w:right="519" w:firstLine="270"/>
        <w:spacing w:after="0" w:line="287" w:lineRule="auto"/>
        <w:rPr>
          <w:sz w:val="20"/>
          <w:szCs w:val="20"/>
          <w:color w:val="auto"/>
        </w:rPr>
      </w:pPr>
      <w:r>
        <w:rPr>
          <w:rFonts w:ascii="Arial" w:cs="Arial" w:eastAsia="Arial" w:hAnsi="Arial"/>
          <w:sz w:val="16"/>
          <w:szCs w:val="16"/>
          <w:color w:val="auto"/>
        </w:rPr>
        <w:t>CLO Funds typically issue multiple tranches of debt and subordinated securities with varying ratings and levels of subordination to finance the purchase of their underlying investments. Interest and principal payments (net of designated CLO Fund expenses) from the CLO Fund are paid to each issued security in accordance with an agreed upon priority of payments, commonly referred to as the “waterfall.” The most senior notes, generally rated AAA/Aaa, commonly represent the majority of the total liabilities of the CLO Fund. AAA/Aaa notes are issued at a specified spread over LIBOR and normally have the first claim on the earnings on the CLO Fund’s investments after payment of certain fees and expenses. Lower subordinated “mezzanine” tranches of rated notes generally have ratings ranging from AA/Aa to BB/Ba and are usually issued at a specified spread over LIBOR with higher spreads paid on the tranches with lower ratings. Each tranche is typically only entitled to a share of the earnings on the CLO Fund’s investments if the required interest and principal payments have been made on the more senior tranches in the waterfall. The subordinated securities are the most junior tranche and can take the form of either subordinated notes, income notes or preferred shares. The subordinated notes, income notes or preferred shares generally do not have a stated coupon but are entitled to residual cash flows from the CLO Fund’s investments after all of the other tranches of notes and certain other fees and expenses are paid.</w:t>
      </w:r>
    </w:p>
    <w:p>
      <w:pPr>
        <w:spacing w:after="0" w:line="61"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The CLO Funds are primarily financed via capital contributed by subordinated noteholders and debt holders. The Asset Manager Affiliates’ risk with respect to each investment in the CLO Funds they manage is limited to any uncollected management fees (as the Asset Manager Affiliates have no investment in the CLO Funds they have no exposure or benefits in the ownership of the CLO Funds securities). Therefore, the gains or losses of the CLO Funds have not had a significant impact on the Asset Manager Affiliates’ financial position, results of operations or cash flows. The Asset Manager Affiliates have no right to the benefits from, nor do they bear the risks associated with, these investments, beyond the management fees generated from the CLO Funds. If the Asset Manager Affiliates were to liquidate, these investments would not be available to any general creditors of the Asset Manager Affiliates. Additionally, the collateral assets of consolidated CLO Funds</w:t>
      </w:r>
    </w:p>
    <w:p>
      <w:pPr>
        <w:spacing w:after="0" w:line="200" w:lineRule="exact"/>
        <w:rPr>
          <w:sz w:val="20"/>
          <w:szCs w:val="20"/>
          <w:color w:val="auto"/>
        </w:rPr>
      </w:pPr>
    </w:p>
    <w:p>
      <w:pPr>
        <w:spacing w:after="0" w:line="3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are held solely to satisfy the obligations of the CLO Funds, and the investors in the consolidated CLO Funds have no recourse to the general credit of the Asset Manager Affiliates for the notes issued by the CLO Funds.</w:t>
      </w:r>
    </w:p>
    <w:p>
      <w:pPr>
        <w:spacing w:after="0" w:line="62"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color w:val="auto"/>
        </w:rPr>
        <w:t>CLO Funds are investment vehicles created for the sole purpose of issuing collateralized loan instruments that offer investors the opportunity for returns that vary with the risk level of their investment. The securities issued by the CLO Funds are backed by diversified collateral asset portfolios consisting primarily of loans. For managing the collateral for the CLO Fund entities, the Asset Manager Affiliates earn investment management fees, including senior subordinated management fees, as well as contingent incentive fees. The Asset Manager Affiliates have no investment in the CLO Funds they manage. However, their sole direct or indirect shareholder, KCAP Financial, has invested in certain of the CLO Funds, generally taking a portion of the unrated, junior subordinated position (generally subordinated to other interests in the entities and entitle KCAP Financial and other subordinated tranche investors to receive the residual cash flows, if any, from the entities).</w:t>
      </w:r>
    </w:p>
    <w:p>
      <w:pPr>
        <w:spacing w:after="0" w:line="71" w:lineRule="exact"/>
        <w:rPr>
          <w:sz w:val="20"/>
          <w:szCs w:val="20"/>
          <w:color w:val="auto"/>
        </w:rPr>
      </w:pPr>
    </w:p>
    <w:p>
      <w:pPr>
        <w:ind w:left="40" w:right="519" w:firstLine="270"/>
        <w:spacing w:after="0" w:line="270" w:lineRule="auto"/>
        <w:rPr>
          <w:sz w:val="20"/>
          <w:szCs w:val="20"/>
          <w:color w:val="auto"/>
        </w:rPr>
      </w:pPr>
      <w:r>
        <w:rPr>
          <w:rFonts w:ascii="Arial" w:cs="Arial" w:eastAsia="Arial" w:hAnsi="Arial"/>
          <w:sz w:val="17"/>
          <w:szCs w:val="17"/>
          <w:color w:val="auto"/>
        </w:rPr>
        <w:t>Upon adoption of guidance encompassed in ASC Topic 810, the Asset Manager Affiliates determined that they were the primary beneficiary of these CLO Funds, as they have the power to direct the activities of the CLO Funds that most significantly impact the CLO Funds’ economic performance, and the obligation to absorb losses/right to receive benefits (in the form of senior and subordinate management fees as well as the potential to earn an incentive fee) from the CLO Funds that could potentially be significant to the CLO Funds. The primary beneficiary assessment includes an analysis of the rights of the Asset Manager Affiliates in their capacity as investment manager. In certain CLOs, the Asset Manager Affiliates’ role as investment manager provides that the Asset Manager Affiliates contractually have the power, as defined in ASC Topic 810, to direct the activities of the CLO Funds that most significantly impact the CLO Funds’ economic performance, such as managing the collateral portfolio and its credit risk. Additionally, the primary beneficiary assessment includes an analysis of the Asset Manager Affiliates’ rights to receive benefits and obligations to absorb losses associated with its management/incentive fees.</w:t>
      </w:r>
    </w:p>
    <w:p>
      <w:pPr>
        <w:spacing w:after="0" w:line="70" w:lineRule="exact"/>
        <w:rPr>
          <w:sz w:val="20"/>
          <w:szCs w:val="20"/>
          <w:color w:val="auto"/>
        </w:rPr>
      </w:pPr>
    </w:p>
    <w:p>
      <w:pPr>
        <w:ind w:left="40" w:right="839" w:firstLine="270"/>
        <w:spacing w:after="0" w:line="293" w:lineRule="auto"/>
        <w:rPr>
          <w:sz w:val="20"/>
          <w:szCs w:val="20"/>
          <w:color w:val="auto"/>
        </w:rPr>
      </w:pPr>
      <w:r>
        <w:rPr>
          <w:rFonts w:ascii="Arial" w:cs="Arial" w:eastAsia="Arial" w:hAnsi="Arial"/>
          <w:sz w:val="16"/>
          <w:szCs w:val="16"/>
          <w:color w:val="auto"/>
        </w:rPr>
        <w:t>As a manager of the CLO Funds, the Asset Manager Affiliates receive contractual and recurring management fees and may receive a one-time structuring fee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management fees the Asset Manager Affiliates receive may have three components — a senior management fee, a subordinated management fee and an incentive fee.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Fair value of consolidated CLO Funds</w:t>
      </w:r>
    </w:p>
    <w:p>
      <w:pPr>
        <w:spacing w:after="0" w:line="117" w:lineRule="exact"/>
        <w:rPr>
          <w:sz w:val="20"/>
          <w:szCs w:val="20"/>
          <w:color w:val="auto"/>
        </w:rPr>
      </w:pPr>
    </w:p>
    <w:p>
      <w:pPr>
        <w:ind w:left="40" w:right="519" w:firstLine="270"/>
        <w:spacing w:after="0" w:line="268" w:lineRule="auto"/>
        <w:rPr>
          <w:sz w:val="20"/>
          <w:szCs w:val="20"/>
          <w:color w:val="auto"/>
        </w:rPr>
      </w:pPr>
      <w:r>
        <w:rPr>
          <w:rFonts w:ascii="Arial" w:cs="Arial" w:eastAsia="Arial" w:hAnsi="Arial"/>
          <w:sz w:val="17"/>
          <w:szCs w:val="17"/>
          <w:color w:val="auto"/>
        </w:rPr>
        <w:t>The investments held by consolidated CLO Funds are primarily invested in senior secured bank loans (typically syndicated by banks), bonds, and equity securities. Bank loan investments, which comprise the majority of consolidated CLO Fund portfolio collateral, are senior secured corporate loans from a variety of industries, including but not limited to the aerospace and defense, broadcasting, technology, utilities, household products, healthcare, oil and gas, and finance industries. These investments mature at various dates between 2014 and 2023, pay interest at LIBOR or Euribor plus a spread of up to 8.6%, and typically range in credit rating categories from BBB down to unrated. At December 31, 2013, the unpaid par principal balance exceeded the fair value by approximately $49 million. Less than 1% of the collateral assets are in default as of December 31, 2013. At December 31, 2012, the unpaid par principal balance exceeded the fair value by approximately $142 million. Less than 1% of the collateral assets are in default as of December 31, 2012. CLO Fund investments are valued based on price quotations provided by an independent third-party pricing source which are indicative of traded prices and/or dealer price quotations. In the event that a third-party pricing source is unable to price an investment, other relevant factors, data and information are considered, including: i) information relating to the market for the investment, including price quotations for and trading in the investment and interests in similar investments and the market environment and investor attitudes</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40" w:right="559"/>
        <w:spacing w:after="0" w:line="271" w:lineRule="auto"/>
        <w:rPr>
          <w:sz w:val="20"/>
          <w:szCs w:val="20"/>
          <w:color w:val="auto"/>
        </w:rPr>
      </w:pPr>
      <w:r>
        <w:rPr>
          <w:rFonts w:ascii="Arial" w:cs="Arial" w:eastAsia="Arial" w:hAnsi="Arial"/>
          <w:sz w:val="17"/>
          <w:szCs w:val="17"/>
          <w:color w:val="auto"/>
        </w:rPr>
        <w:t>towards the investment and interests in similar investments; ii) the characteristics of and fundamental analytical data relating to the investment, including the cost, size, current interest rate, period until next interest rate reset, maturity and base lending rate, the terms and conditions of the loan and any related agreements, and the position of the loan in the issuer’s debt structure; iii) the nature, adequacy and value of the senior secured corporate loan’s collateral, including the CLO’s rights, remedies and interests with respect to the collateral; iv) the creditworthiness of the borrower, based on an evaluation of its financial condition, financial statements and information about the business, cash flows, capital structure and future prospects; v) the reputation and financial condition of the agent and any intermediate participants in the senior secured corporate loan; and vi) general economic and market conditions affecting the fair value of the senior secured corporate loan.</w:t>
      </w:r>
    </w:p>
    <w:p>
      <w:pPr>
        <w:spacing w:after="0" w:line="71" w:lineRule="exact"/>
        <w:rPr>
          <w:sz w:val="20"/>
          <w:szCs w:val="20"/>
          <w:color w:val="auto"/>
        </w:rPr>
      </w:pPr>
    </w:p>
    <w:p>
      <w:pPr>
        <w:ind w:left="40" w:right="559" w:firstLine="270"/>
        <w:spacing w:after="0" w:line="268" w:lineRule="auto"/>
        <w:rPr>
          <w:sz w:val="20"/>
          <w:szCs w:val="20"/>
          <w:color w:val="auto"/>
        </w:rPr>
      </w:pPr>
      <w:r>
        <w:rPr>
          <w:rFonts w:ascii="Arial" w:cs="Arial" w:eastAsia="Arial" w:hAnsi="Arial"/>
          <w:sz w:val="17"/>
          <w:szCs w:val="17"/>
          <w:color w:val="auto"/>
        </w:rPr>
        <w:t>CLO Fund liabilities issued by consolidated CLO Funds have stated maturity dates between 2017 and 2025. The CLO Fund liabilities are issued in various tranches with different risk profiles and ratings. The interest rates are generally variable rates based on LIBOR or Euribor plus a pre-defined spread, which varies from 0.225% for the more senior tranches to 6.25% for the more subordinated tranches. At December 31, 2013, the outstanding par balance on the CLO Fund liabilities issued by consolidated CLO Funds exceeded their fair value by approximately $209 million. At December 31, 2012, the outstanding par balance on the CLO Fund liabilities issued by consolidated CLO Funds exceeded their fair value by approximately $223 million. The investors in the CLO Fund liabilities have no recourse to the general credit of the Asset Manager Affiliates. CLO Fund liabilities are recorded at fair value using an income approach, driven by cash flows expected to be received from the portfolio collateral assets. Market yields, default rates and recovery rates used in the Asset Manager Affiliates’ estimate of fair value vary based on the nature of the investments in the underlying collateral pools. In periods of rising market yields, default rates and lower debt recovery rates, the fair value, and therefore the carrying value, of the liabilities may be adversely affected. Once the undiscounted cash flows of the collateral assets have been determined, the Asset Manager Affiliates apply appropriate discount rates that a market participant would use, to determine the discounted cash flow valuation of the notes.</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4" w:name="page135"/>
    <w:bookmarkEnd w:id="13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60" w:right="1080" w:firstLine="270"/>
        <w:spacing w:after="0" w:line="262" w:lineRule="auto"/>
        <w:rPr>
          <w:sz w:val="20"/>
          <w:szCs w:val="20"/>
          <w:color w:val="auto"/>
        </w:rPr>
      </w:pPr>
      <w:r>
        <w:rPr>
          <w:rFonts w:ascii="Arial" w:cs="Arial" w:eastAsia="Arial" w:hAnsi="Arial"/>
          <w:sz w:val="18"/>
          <w:szCs w:val="18"/>
          <w:color w:val="auto"/>
        </w:rPr>
        <w:t>The carrying value of investments held and CLO Fund liabilities issued by CLO Funds is also their fair value. The following table presents the fair value hierarchy levels of investments held and CLO Fund liabilities issued by the CLO Funds, which are measured at fair value as of December 31, 2013 and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60"/>
        </w:trPr>
        <w:tc>
          <w:tcPr>
            <w:tcW w:w="30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3"/>
                <w:szCs w:val="13"/>
                <w:color w:val="auto"/>
              </w:rPr>
            </w:pPr>
          </w:p>
        </w:tc>
        <w:tc>
          <w:tcPr>
            <w:tcW w:w="920" w:type="dxa"/>
            <w:vAlign w:val="bottom"/>
          </w:tcPr>
          <w:p>
            <w:pPr>
              <w:jc w:val="right"/>
              <w:ind w:right="116"/>
              <w:spacing w:after="0" w:line="160"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83"/>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2"/>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8"/>
              </w:rPr>
              <w:t>(Level I)</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(Level III)</w:t>
            </w:r>
          </w:p>
        </w:tc>
      </w:tr>
      <w:tr>
        <w:trPr>
          <w:trHeight w:val="171"/>
        </w:trPr>
        <w:tc>
          <w:tcPr>
            <w:tcW w:w="2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(Level II)</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Investments of CLO Funds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2,964.2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22"/>
              <w:spacing w:after="0"/>
              <w:rPr>
                <w:sz w:val="20"/>
                <w:szCs w:val="20"/>
                <w:color w:val="auto"/>
              </w:rPr>
            </w:pPr>
            <w:r>
              <w:rPr>
                <w:rFonts w:ascii="Arial" w:cs="Arial" w:eastAsia="Arial" w:hAnsi="Arial"/>
                <w:sz w:val="18"/>
                <w:szCs w:val="18"/>
                <w:color w:val="auto"/>
              </w:rPr>
              <w:t>2,964.2</w:t>
            </w: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CLO Fund Liabilities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3,079.8</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22"/>
              <w:spacing w:after="0"/>
              <w:rPr>
                <w:sz w:val="20"/>
                <w:szCs w:val="20"/>
                <w:color w:val="auto"/>
              </w:rPr>
            </w:pPr>
            <w:r>
              <w:rPr>
                <w:rFonts w:ascii="Arial" w:cs="Arial" w:eastAsia="Arial" w:hAnsi="Arial"/>
                <w:sz w:val="18"/>
                <w:szCs w:val="18"/>
                <w:color w:val="auto"/>
              </w:rPr>
              <w:t>3,079.8</w:t>
            </w:r>
          </w:p>
        </w:tc>
      </w:tr>
      <w:tr>
        <w:trPr>
          <w:trHeight w:val="203"/>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December 31, 2012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0"/>
        </w:trPr>
        <w:tc>
          <w:tcPr>
            <w:tcW w:w="30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3"/>
                <w:szCs w:val="13"/>
                <w:color w:val="auto"/>
              </w:rPr>
            </w:pPr>
          </w:p>
        </w:tc>
        <w:tc>
          <w:tcPr>
            <w:tcW w:w="920" w:type="dxa"/>
            <w:vAlign w:val="bottom"/>
          </w:tcPr>
          <w:p>
            <w:pPr>
              <w:jc w:val="right"/>
              <w:ind w:right="116"/>
              <w:spacing w:after="0" w:line="160"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83"/>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2"/>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8"/>
              </w:rPr>
              <w:t>(Level I)</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rPr>
              <w:t>(Level III)</w:t>
            </w:r>
          </w:p>
        </w:tc>
      </w:tr>
      <w:tr>
        <w:trPr>
          <w:trHeight w:val="171"/>
        </w:trPr>
        <w:tc>
          <w:tcPr>
            <w:tcW w:w="2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(Level II)</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Investments of CLO Funds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3,255.8</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22"/>
              <w:spacing w:after="0"/>
              <w:rPr>
                <w:sz w:val="20"/>
                <w:szCs w:val="20"/>
                <w:color w:val="auto"/>
              </w:rPr>
            </w:pPr>
            <w:r>
              <w:rPr>
                <w:rFonts w:ascii="Arial" w:cs="Arial" w:eastAsia="Arial" w:hAnsi="Arial"/>
                <w:sz w:val="18"/>
                <w:szCs w:val="18"/>
                <w:color w:val="auto"/>
              </w:rPr>
              <w:t>3,255.8</w:t>
            </w: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CLO Fund Liabilities</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3,459.5</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ind w:left="7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22"/>
              <w:spacing w:after="0"/>
              <w:rPr>
                <w:sz w:val="20"/>
                <w:szCs w:val="20"/>
                <w:color w:val="auto"/>
              </w:rPr>
            </w:pPr>
            <w:r>
              <w:rPr>
                <w:rFonts w:ascii="Arial" w:cs="Arial" w:eastAsia="Arial" w:hAnsi="Arial"/>
                <w:sz w:val="18"/>
                <w:szCs w:val="18"/>
                <w:color w:val="auto"/>
              </w:rPr>
              <w:t>3,459.5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-1268730</wp:posOffset>
            </wp:positionV>
            <wp:extent cx="521398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ind w:left="60" w:right="1380" w:firstLine="270"/>
        <w:spacing w:after="0" w:line="269" w:lineRule="auto"/>
        <w:rPr>
          <w:sz w:val="20"/>
          <w:szCs w:val="20"/>
          <w:color w:val="auto"/>
        </w:rPr>
      </w:pPr>
      <w:r>
        <w:rPr>
          <w:rFonts w:ascii="Arial" w:cs="Arial" w:eastAsia="Arial" w:hAnsi="Arial"/>
          <w:sz w:val="18"/>
          <w:szCs w:val="18"/>
          <w:color w:val="auto"/>
        </w:rPr>
        <w:t>The following table shows a reconciliation of the beginning and ending fair value measurements for Level 3 assets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For the year ended December</w:t>
            </w:r>
          </w:p>
        </w:tc>
        <w:tc>
          <w:tcPr>
            <w:tcW w:w="290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31,</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r>
      <w:tr>
        <w:trPr>
          <w:trHeight w:val="196"/>
        </w:trPr>
        <w:tc>
          <w:tcPr>
            <w:tcW w:w="550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millions)</w:t>
            </w:r>
          </w:p>
        </w:tc>
        <w:tc>
          <w:tcPr>
            <w:tcW w:w="80" w:type="dxa"/>
            <w:vAlign w:val="bottom"/>
          </w:tcPr>
          <w:p>
            <w:pPr>
              <w:spacing w:after="0"/>
              <w:rPr>
                <w:sz w:val="17"/>
                <w:szCs w:val="17"/>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10"/>
        </w:trPr>
        <w:tc>
          <w:tcPr>
            <w:tcW w:w="53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3,255.8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205.4</w:t>
            </w:r>
          </w:p>
        </w:tc>
        <w:tc>
          <w:tcPr>
            <w:tcW w:w="2900" w:type="dxa"/>
            <w:vAlign w:val="bottom"/>
          </w:tcPr>
          <w:p>
            <w:pPr>
              <w:spacing w:after="0"/>
              <w:rPr>
                <w:sz w:val="18"/>
                <w:szCs w:val="18"/>
                <w:color w:val="auto"/>
              </w:rPr>
            </w:pPr>
          </w:p>
        </w:tc>
      </w:tr>
      <w:tr>
        <w:trPr>
          <w:trHeight w:val="216"/>
        </w:trPr>
        <w:tc>
          <w:tcPr>
            <w:tcW w:w="55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Transfers into Level 3</w:t>
            </w:r>
          </w:p>
        </w:tc>
        <w:tc>
          <w:tcPr>
            <w:tcW w:w="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1,562.7</w:t>
            </w:r>
          </w:p>
        </w:tc>
        <w:tc>
          <w:tcPr>
            <w:tcW w:w="2900" w:type="dxa"/>
            <w:vAlign w:val="bottom"/>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Transfers from Level 3</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6"/>
        </w:trPr>
        <w:tc>
          <w:tcPr>
            <w:tcW w:w="55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Purchase of Trimaran investments</w:t>
            </w:r>
          </w:p>
        </w:tc>
        <w:tc>
          <w:tcPr>
            <w:tcW w:w="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1,386.8</w:t>
            </w:r>
          </w:p>
        </w:tc>
        <w:tc>
          <w:tcPr>
            <w:tcW w:w="2900" w:type="dxa"/>
            <w:vAlign w:val="bottom"/>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1,279.3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1,032.5</w:t>
            </w:r>
          </w:p>
        </w:tc>
        <w:tc>
          <w:tcPr>
            <w:tcW w:w="2900" w:type="dxa"/>
            <w:vAlign w:val="bottom"/>
          </w:tcPr>
          <w:p>
            <w:pPr>
              <w:spacing w:after="0"/>
              <w:rPr>
                <w:sz w:val="18"/>
                <w:szCs w:val="18"/>
                <w:color w:val="auto"/>
              </w:rPr>
            </w:pPr>
          </w:p>
        </w:tc>
      </w:tr>
      <w:tr>
        <w:trPr>
          <w:trHeight w:val="216"/>
        </w:trPr>
        <w:tc>
          <w:tcPr>
            <w:tcW w:w="55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8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7"/>
              </w:rPr>
              <w:t>(1,571.2)</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(1,034.1)</w:t>
            </w:r>
          </w:p>
        </w:tc>
        <w:tc>
          <w:tcPr>
            <w:tcW w:w="2900" w:type="dxa"/>
            <w:vAlign w:val="bottom"/>
          </w:tcPr>
          <w:p>
            <w:pPr>
              <w:spacing w:after="0"/>
              <w:rPr>
                <w:sz w:val="18"/>
                <w:szCs w:val="18"/>
                <w:color w:val="auto"/>
              </w:rPr>
            </w:pPr>
          </w:p>
        </w:tc>
      </w:tr>
      <w:tr>
        <w:trPr>
          <w:trHeight w:val="216"/>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Realized and unrealized gains/(losses), net</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102.5</w:t>
            </w:r>
          </w:p>
        </w:tc>
        <w:tc>
          <w:tcPr>
            <w:tcW w:w="29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0"/>
        </w:trPr>
        <w:tc>
          <w:tcPr>
            <w:tcW w:w="55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2,964.2</w:t>
            </w: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3,255.8</w:t>
            </w:r>
          </w:p>
        </w:tc>
        <w:tc>
          <w:tcPr>
            <w:tcW w:w="290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45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5"/>
        </w:trPr>
        <w:tc>
          <w:tcPr>
            <w:tcW w:w="5500" w:type="dxa"/>
            <w:vAlign w:val="bottom"/>
            <w:gridSpan w:val="3"/>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(29.4)</w:t>
            </w:r>
          </w:p>
        </w:tc>
        <w:tc>
          <w:tcPr>
            <w:tcW w:w="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73.5</w:t>
            </w:r>
          </w:p>
        </w:tc>
        <w:tc>
          <w:tcPr>
            <w:tcW w:w="2900" w:type="dxa"/>
            <w:vAlign w:val="bottom"/>
          </w:tcPr>
          <w:p>
            <w:pPr>
              <w:spacing w:after="0"/>
              <w:rPr>
                <w:sz w:val="16"/>
                <w:szCs w:val="16"/>
                <w:color w:val="auto"/>
              </w:rPr>
            </w:pPr>
          </w:p>
        </w:tc>
      </w:tr>
      <w:tr>
        <w:trPr>
          <w:trHeight w:val="230"/>
        </w:trPr>
        <w:tc>
          <w:tcPr>
            <w:tcW w:w="5500" w:type="dxa"/>
            <w:vAlign w:val="bottom"/>
            <w:gridSpan w:val="3"/>
          </w:tcPr>
          <w:p>
            <w:pPr>
              <w:ind w:left="200"/>
              <w:spacing w:after="0"/>
              <w:rPr>
                <w:sz w:val="20"/>
                <w:szCs w:val="20"/>
                <w:color w:val="auto"/>
              </w:rPr>
            </w:pPr>
            <w:r>
              <w:rPr>
                <w:rFonts w:ascii="Arial" w:cs="Arial" w:eastAsia="Arial" w:hAnsi="Arial"/>
                <w:sz w:val="18"/>
                <w:szCs w:val="18"/>
                <w:color w:val="auto"/>
              </w:rPr>
              <w:t>related to investments still held at reporting date</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783"/>
        </w:trPr>
        <w:tc>
          <w:tcPr>
            <w:tcW w:w="800" w:type="dxa"/>
            <w:vAlign w:val="bottom"/>
          </w:tcPr>
          <w:p>
            <w:pPr>
              <w:spacing w:after="0"/>
              <w:rPr>
                <w:sz w:val="24"/>
                <w:szCs w:val="24"/>
                <w:color w:val="auto"/>
              </w:rPr>
            </w:pPr>
          </w:p>
        </w:tc>
        <w:tc>
          <w:tcPr>
            <w:tcW w:w="4700" w:type="dxa"/>
            <w:vAlign w:val="bottom"/>
            <w:gridSpan w:val="2"/>
          </w:tcPr>
          <w:p>
            <w:pPr>
              <w:ind w:left="3700"/>
              <w:spacing w:after="0"/>
              <w:rPr>
                <w:sz w:val="20"/>
                <w:szCs w:val="20"/>
                <w:color w:val="auto"/>
              </w:rPr>
            </w:pPr>
            <w:r>
              <w:rPr>
                <w:rFonts w:ascii="Arial" w:cs="Arial" w:eastAsia="Arial" w:hAnsi="Arial"/>
                <w:sz w:val="18"/>
                <w:szCs w:val="18"/>
                <w:color w:val="auto"/>
              </w:rPr>
              <w:t>S-16</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45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4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-942975</wp:posOffset>
            </wp:positionV>
            <wp:extent cx="4751070" cy="3086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51070" cy="30861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35" w:name="page136"/>
    <w:bookmarkEnd w:id="13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60" w:right="579" w:firstLine="270"/>
        <w:spacing w:after="0" w:line="277" w:lineRule="auto"/>
        <w:rPr>
          <w:sz w:val="20"/>
          <w:szCs w:val="20"/>
          <w:color w:val="auto"/>
        </w:rPr>
      </w:pPr>
      <w:r>
        <w:rPr>
          <w:rFonts w:ascii="Arial" w:cs="Arial" w:eastAsia="Arial" w:hAnsi="Arial"/>
          <w:sz w:val="18"/>
          <w:szCs w:val="18"/>
          <w:color w:val="auto"/>
        </w:rPr>
        <w:t>As of December 31, 2013, the Asset Manager Affiliates’ Level III portfolio investments had the following valuation techniques and significant inputs: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68"/>
        </w:trPr>
        <w:tc>
          <w:tcPr>
            <w:tcW w:w="1740" w:type="dxa"/>
            <w:vAlign w:val="bottom"/>
            <w:tcBorders>
              <w:top w:val="single" w:sz="8" w:color="auto"/>
              <w:bottom w:val="single" w:sz="8" w:color="auto"/>
            </w:tcBorders>
          </w:tcPr>
          <w:p>
            <w:pPr>
              <w:spacing w:after="0"/>
              <w:rPr>
                <w:sz w:val="5"/>
                <w:szCs w:val="5"/>
                <w:color w:val="auto"/>
              </w:rPr>
            </w:pPr>
          </w:p>
        </w:tc>
        <w:tc>
          <w:tcPr>
            <w:tcW w:w="1060" w:type="dxa"/>
            <w:vAlign w:val="bottom"/>
            <w:tcBorders>
              <w:top w:val="single" w:sz="8" w:color="auto"/>
              <w:bottom w:val="single" w:sz="8" w:color="auto"/>
            </w:tcBorders>
          </w:tcPr>
          <w:p>
            <w:pPr>
              <w:spacing w:after="0"/>
              <w:rPr>
                <w:sz w:val="5"/>
                <w:szCs w:val="5"/>
                <w:color w:val="auto"/>
              </w:rPr>
            </w:pPr>
          </w:p>
        </w:tc>
        <w:tc>
          <w:tcPr>
            <w:tcW w:w="1680" w:type="dxa"/>
            <w:vAlign w:val="bottom"/>
            <w:tcBorders>
              <w:top w:val="single" w:sz="8" w:color="auto"/>
              <w:bottom w:val="single" w:sz="8" w:color="auto"/>
            </w:tcBorders>
          </w:tcPr>
          <w:p>
            <w:pPr>
              <w:spacing w:after="0"/>
              <w:rPr>
                <w:sz w:val="5"/>
                <w:szCs w:val="5"/>
                <w:color w:val="auto"/>
              </w:rPr>
            </w:pPr>
          </w:p>
        </w:tc>
        <w:tc>
          <w:tcPr>
            <w:tcW w:w="2380" w:type="dxa"/>
            <w:vAlign w:val="bottom"/>
            <w:tcBorders>
              <w:top w:val="single" w:sz="8" w:color="auto"/>
              <w:bottom w:val="single" w:sz="8" w:color="auto"/>
            </w:tcBorders>
          </w:tcPr>
          <w:p>
            <w:pPr>
              <w:spacing w:after="0"/>
              <w:rPr>
                <w:sz w:val="5"/>
                <w:szCs w:val="5"/>
                <w:color w:val="auto"/>
              </w:rPr>
            </w:pPr>
          </w:p>
        </w:tc>
        <w:tc>
          <w:tcPr>
            <w:tcW w:w="60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right w:val="single" w:sz="8" w:color="auto"/>
            </w:tcBorders>
          </w:tcPr>
          <w:p>
            <w:pPr>
              <w:spacing w:after="0"/>
              <w:rPr>
                <w:sz w:val="5"/>
                <w:szCs w:val="5"/>
                <w:color w:val="auto"/>
              </w:rPr>
            </w:pPr>
          </w:p>
        </w:tc>
      </w:tr>
      <w:tr>
        <w:trPr>
          <w:trHeight w:val="210"/>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06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360" w:type="dxa"/>
            <w:vAlign w:val="bottom"/>
            <w:tcBorders>
              <w:bottom w:val="single" w:sz="8" w:color="auto"/>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Range of Inputs</w:t>
            </w:r>
          </w:p>
        </w:tc>
      </w:tr>
      <w:tr>
        <w:trPr>
          <w:trHeight w:val="22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71,298,314</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Income Approach</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Implied Effective Discount Rate</w:t>
            </w:r>
          </w:p>
        </w:tc>
        <w:tc>
          <w:tcPr>
            <w:tcW w:w="600" w:type="dxa"/>
            <w:vAlign w:val="bottom"/>
          </w:tcPr>
          <w:p>
            <w:pPr>
              <w:jc w:val="right"/>
              <w:spacing w:after="0"/>
              <w:rPr>
                <w:sz w:val="20"/>
                <w:szCs w:val="20"/>
                <w:color w:val="auto"/>
              </w:rPr>
            </w:pPr>
            <w:r>
              <w:rPr>
                <w:rFonts w:ascii="Arial" w:cs="Arial" w:eastAsia="Arial" w:hAnsi="Arial"/>
                <w:sz w:val="16"/>
                <w:szCs w:val="16"/>
                <w:color w:val="auto"/>
              </w:rPr>
              <w:t>2.42%</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8.80%</w:t>
            </w:r>
          </w:p>
        </w:tc>
      </w:tr>
      <w:tr>
        <w:trPr>
          <w:trHeight w:val="43"/>
        </w:trPr>
        <w:tc>
          <w:tcPr>
            <w:tcW w:w="1740" w:type="dxa"/>
            <w:vAlign w:val="bottom"/>
            <w:tcBorders>
              <w:left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r>
      <w:tr>
        <w:trPr>
          <w:trHeight w:val="220"/>
        </w:trPr>
        <w:tc>
          <w:tcPr>
            <w:tcW w:w="174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w w:val="89"/>
              </w:rPr>
              <w:t>2,821,873,413</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Quote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Option Value</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0"/>
              </w:rPr>
              <w:t>0% – 0.39%</w:t>
            </w:r>
          </w:p>
        </w:tc>
      </w:tr>
      <w:tr>
        <w:trPr>
          <w:trHeight w:val="43"/>
        </w:trPr>
        <w:tc>
          <w:tcPr>
            <w:tcW w:w="1740" w:type="dxa"/>
            <w:vAlign w:val="bottom"/>
            <w:tcBorders>
              <w:left w:val="single" w:sz="8" w:color="auto"/>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r>
      <w:tr>
        <w:trPr>
          <w:trHeight w:val="220"/>
        </w:trPr>
        <w:tc>
          <w:tcPr>
            <w:tcW w:w="174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Third-Party Bid-Ask Mid</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0"/>
              </w:rPr>
              <w:t>3.0% – 114.5%</w:t>
            </w:r>
          </w:p>
        </w:tc>
      </w:tr>
      <w:tr>
        <w:trPr>
          <w:trHeight w:val="43"/>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r>
      <w:tr>
        <w:trPr>
          <w:trHeight w:val="22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Equity Securities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595,278</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Enterprise Value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Avg EBITDA Multiple</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9"/>
              </w:rPr>
              <w:t>7.4x</w:t>
            </w:r>
          </w:p>
        </w:tc>
      </w:tr>
      <w:tr>
        <w:trPr>
          <w:trHeight w:val="43"/>
        </w:trPr>
        <w:tc>
          <w:tcPr>
            <w:tcW w:w="1740" w:type="dxa"/>
            <w:vAlign w:val="bottom"/>
            <w:tcBorders>
              <w:left w:val="single" w:sz="8" w:color="auto"/>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r>
      <w:tr>
        <w:trPr>
          <w:trHeight w:val="220"/>
        </w:trPr>
        <w:tc>
          <w:tcPr>
            <w:tcW w:w="174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Wtd Avg Cost of Capital</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2"/>
              </w:rPr>
              <w:t>12.92%</w:t>
            </w:r>
          </w:p>
        </w:tc>
      </w:tr>
      <w:tr>
        <w:trPr>
          <w:trHeight w:val="43"/>
        </w:trPr>
        <w:tc>
          <w:tcPr>
            <w:tcW w:w="1740" w:type="dxa"/>
            <w:vAlign w:val="bottom"/>
            <w:tcBorders>
              <w:left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r>
      <w:tr>
        <w:trPr>
          <w:trHeight w:val="220"/>
        </w:trPr>
        <w:tc>
          <w:tcPr>
            <w:tcW w:w="174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4,656,390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Quote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Third-Party Bid-Ask Mid</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2"/>
              </w:rPr>
              <w:t>$3.45 – $300</w:t>
            </w:r>
          </w:p>
        </w:tc>
      </w:tr>
      <w:tr>
        <w:trPr>
          <w:trHeight w:val="43"/>
        </w:trPr>
        <w:tc>
          <w:tcPr>
            <w:tcW w:w="1740" w:type="dxa"/>
            <w:vAlign w:val="bottom"/>
            <w:tcBorders>
              <w:left w:val="single" w:sz="8" w:color="auto"/>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gridSpan w:val="2"/>
          </w:tcPr>
          <w:p>
            <w:pPr>
              <w:spacing w:after="0"/>
              <w:rPr>
                <w:sz w:val="3"/>
                <w:szCs w:val="3"/>
                <w:color w:val="auto"/>
              </w:rPr>
            </w:pPr>
          </w:p>
        </w:tc>
      </w:tr>
      <w:tr>
        <w:trPr>
          <w:trHeight w:val="220"/>
        </w:trPr>
        <w:tc>
          <w:tcPr>
            <w:tcW w:w="174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Listed Exchange Quote</w:t>
            </w: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4"/>
              </w:rPr>
              <w:t>$6.77</w:t>
            </w:r>
          </w:p>
        </w:tc>
      </w:tr>
      <w:tr>
        <w:trPr>
          <w:trHeight w:val="43"/>
        </w:trPr>
        <w:tc>
          <w:tcPr>
            <w:tcW w:w="1740" w:type="dxa"/>
            <w:vAlign w:val="bottom"/>
            <w:tcBorders>
              <w:left w:val="single" w:sz="8" w:color="auto"/>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220"/>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65,805,690</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Quote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Third-Party Bid</w:t>
            </w:r>
          </w:p>
        </w:tc>
        <w:tc>
          <w:tcPr>
            <w:tcW w:w="600" w:type="dxa"/>
            <w:vAlign w:val="bottom"/>
          </w:tcPr>
          <w:p>
            <w:pPr>
              <w:jc w:val="right"/>
              <w:spacing w:after="0"/>
              <w:rPr>
                <w:sz w:val="20"/>
                <w:szCs w:val="20"/>
                <w:color w:val="auto"/>
              </w:rPr>
            </w:pPr>
            <w:r>
              <w:rPr>
                <w:rFonts w:ascii="Arial" w:cs="Arial" w:eastAsia="Arial" w:hAnsi="Arial"/>
                <w:sz w:val="16"/>
                <w:szCs w:val="16"/>
                <w:color w:val="auto"/>
              </w:rPr>
              <w:t>87.35%</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100.0%</w:t>
            </w:r>
          </w:p>
        </w:tc>
      </w:tr>
      <w:tr>
        <w:trPr>
          <w:trHeight w:val="43"/>
        </w:trPr>
        <w:tc>
          <w:tcPr>
            <w:tcW w:w="1740" w:type="dxa"/>
            <w:vAlign w:val="bottom"/>
            <w:tcBorders>
              <w:left w:val="single" w:sz="8" w:color="auto"/>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220"/>
        </w:trPr>
        <w:tc>
          <w:tcPr>
            <w:tcW w:w="174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Discounted Cash Flow</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600" w:type="dxa"/>
            <w:vAlign w:val="bottom"/>
          </w:tcPr>
          <w:p>
            <w:pPr>
              <w:jc w:val="right"/>
              <w:spacing w:after="0"/>
              <w:rPr>
                <w:sz w:val="20"/>
                <w:szCs w:val="20"/>
                <w:color w:val="auto"/>
              </w:rPr>
            </w:pPr>
            <w:r>
              <w:rPr>
                <w:rFonts w:ascii="Arial" w:cs="Arial" w:eastAsia="Arial" w:hAnsi="Arial"/>
                <w:sz w:val="16"/>
                <w:szCs w:val="16"/>
                <w:color w:val="auto"/>
              </w:rPr>
              <w:t>1.21%</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5.58%</w:t>
            </w:r>
          </w:p>
        </w:tc>
      </w:tr>
      <w:tr>
        <w:trPr>
          <w:trHeight w:val="30"/>
        </w:trPr>
        <w:tc>
          <w:tcPr>
            <w:tcW w:w="1740" w:type="dxa"/>
            <w:vAlign w:val="bottom"/>
            <w:tcBorders>
              <w:left w:val="single" w:sz="8" w:color="auto"/>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48"/>
        </w:trPr>
        <w:tc>
          <w:tcPr>
            <w:tcW w:w="17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bl>
    <w:p>
      <w:pPr>
        <w:spacing w:after="0" w:line="36" w:lineRule="exact"/>
        <w:rPr>
          <w:sz w:val="20"/>
          <w:szCs w:val="20"/>
          <w:color w:val="auto"/>
        </w:rPr>
      </w:pPr>
    </w:p>
    <w:p>
      <w:pPr>
        <w:ind w:left="60" w:right="739" w:firstLine="270"/>
        <w:spacing w:after="0" w:line="269" w:lineRule="auto"/>
        <w:rPr>
          <w:sz w:val="20"/>
          <w:szCs w:val="20"/>
          <w:color w:val="auto"/>
        </w:rPr>
      </w:pPr>
      <w:r>
        <w:rPr>
          <w:rFonts w:ascii="Arial" w:cs="Arial" w:eastAsia="Arial" w:hAnsi="Arial"/>
          <w:sz w:val="18"/>
          <w:szCs w:val="18"/>
          <w:color w:val="auto"/>
        </w:rPr>
        <w:t>The following table shows a reconciliation of the beginning and ending fair value measurements for Level III liabilities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96"/>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7"/>
                <w:szCs w:val="17"/>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r>
      <w:tr>
        <w:trPr>
          <w:trHeight w:val="210"/>
        </w:trPr>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3,459.5</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1,727.6</w:t>
            </w:r>
          </w:p>
        </w:tc>
      </w:tr>
      <w:tr>
        <w:trPr>
          <w:trHeight w:val="216"/>
        </w:trPr>
        <w:tc>
          <w:tcPr>
            <w:tcW w:w="5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Purchase of Trimaran CLO Fund Liabilities</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1,374.2</w:t>
            </w: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Issuance of Catamaran CLO Fund Liabilities</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415.4</w:t>
            </w:r>
          </w:p>
        </w:tc>
      </w:tr>
      <w:tr>
        <w:trPr>
          <w:trHeight w:val="216"/>
        </w:trPr>
        <w:tc>
          <w:tcPr>
            <w:tcW w:w="5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Prepayments, amortization, net</w:t>
            </w:r>
          </w:p>
        </w:tc>
        <w:tc>
          <w:tcPr>
            <w:tcW w:w="16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(858.9)</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(252.2)</w:t>
            </w:r>
          </w:p>
        </w:tc>
      </w:tr>
      <w:tr>
        <w:trPr>
          <w:trHeight w:val="216"/>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Unrealized appreciation/(depreciation)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194.6</w:t>
            </w:r>
          </w:p>
        </w:tc>
      </w:tr>
      <w:tr>
        <w:trPr>
          <w:trHeight w:val="20"/>
        </w:trPr>
        <w:tc>
          <w:tcPr>
            <w:tcW w:w="5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3,079.</w:t>
            </w:r>
            <w:r>
              <w:rPr>
                <w:rFonts w:ascii="Arial" w:cs="Arial" w:eastAsia="Arial" w:hAnsi="Arial"/>
                <w:sz w:val="18"/>
                <w:szCs w:val="18"/>
                <w:u w:val="single" w:color="auto"/>
                <w:color w:val="auto"/>
                <w:w w:val="99"/>
              </w:rPr>
              <w:t>8</w:t>
            </w: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3,459.</w:t>
            </w:r>
            <w:r>
              <w:rPr>
                <w:rFonts w:ascii="Arial" w:cs="Arial" w:eastAsia="Arial" w:hAnsi="Arial"/>
                <w:sz w:val="18"/>
                <w:szCs w:val="18"/>
                <w:u w:val="single" w:color="auto"/>
                <w:color w:val="auto"/>
              </w:rPr>
              <w:t>5</w:t>
            </w:r>
          </w:p>
        </w:tc>
      </w:tr>
      <w:tr>
        <w:trPr>
          <w:trHeight w:val="20"/>
        </w:trPr>
        <w:tc>
          <w:tcPr>
            <w:tcW w:w="5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195"/>
        </w:trPr>
        <w:tc>
          <w:tcPr>
            <w:tcW w:w="538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4"/>
              </w:rPr>
              <w:t>Changes in unrealized appreciation (depreciation) included in earnings</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14.2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11.4</w:t>
            </w:r>
          </w:p>
        </w:tc>
      </w:tr>
      <w:tr>
        <w:trPr>
          <w:trHeight w:val="230"/>
        </w:trPr>
        <w:tc>
          <w:tcPr>
            <w:tcW w:w="5380" w:type="dxa"/>
            <w:vAlign w:val="bottom"/>
            <w:gridSpan w:val="2"/>
          </w:tcPr>
          <w:p>
            <w:pPr>
              <w:ind w:left="200"/>
              <w:spacing w:after="0"/>
              <w:rPr>
                <w:sz w:val="20"/>
                <w:szCs w:val="20"/>
                <w:color w:val="auto"/>
              </w:rPr>
            </w:pPr>
            <w:r>
              <w:rPr>
                <w:rFonts w:ascii="Arial" w:cs="Arial" w:eastAsia="Arial" w:hAnsi="Arial"/>
                <w:sz w:val="18"/>
                <w:szCs w:val="18"/>
                <w:color w:val="auto"/>
              </w:rPr>
              <w:t>related to liabilities still held at reporting date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-307975</wp:posOffset>
            </wp:positionV>
            <wp:extent cx="4751070" cy="3086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751070" cy="308610"/>
                    </a:xfrm>
                    <a:prstGeom prst="rect">
                      <a:avLst/>
                    </a:prstGeom>
                    <a:noFill/>
                  </pic:spPr>
                </pic:pic>
              </a:graphicData>
            </a:graphic>
          </wp:anchor>
        </w:drawing>
      </w:r>
    </w:p>
    <w:p>
      <w:pPr>
        <w:spacing w:after="0" w:line="74" w:lineRule="exact"/>
        <w:rPr>
          <w:sz w:val="20"/>
          <w:szCs w:val="20"/>
          <w:color w:val="auto"/>
        </w:rPr>
      </w:pPr>
    </w:p>
    <w:p>
      <w:pPr>
        <w:ind w:left="60" w:right="1219" w:firstLine="270"/>
        <w:spacing w:after="0" w:line="258" w:lineRule="auto"/>
        <w:rPr>
          <w:sz w:val="20"/>
          <w:szCs w:val="20"/>
          <w:color w:val="auto"/>
        </w:rPr>
      </w:pPr>
      <w:r>
        <w:rPr>
          <w:rFonts w:ascii="Arial" w:cs="Arial" w:eastAsia="Arial" w:hAnsi="Arial"/>
          <w:sz w:val="18"/>
          <w:szCs w:val="18"/>
          <w:color w:val="auto"/>
        </w:rPr>
        <w:t>As of December 31, 2013, the Asset Manager Affiliates’ Level III liabilities had the following valuation technique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Type</w:t>
            </w:r>
          </w:p>
        </w:tc>
        <w:tc>
          <w:tcPr>
            <w:tcW w:w="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6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60" w:type="dxa"/>
            <w:vAlign w:val="bottom"/>
          </w:tcPr>
          <w:p>
            <w:pPr>
              <w:spacing w:after="0"/>
              <w:rPr>
                <w:sz w:val="15"/>
                <w:szCs w:val="15"/>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Range of Inputs</w:t>
            </w:r>
          </w:p>
        </w:tc>
      </w:tr>
      <w:tr>
        <w:trPr>
          <w:trHeight w:val="200"/>
        </w:trPr>
        <w:tc>
          <w:tcPr>
            <w:tcW w:w="2340" w:type="dxa"/>
            <w:vAlign w:val="bottom"/>
          </w:tcPr>
          <w:p>
            <w:pPr>
              <w:ind w:left="20"/>
              <w:spacing w:after="0"/>
              <w:rPr>
                <w:sz w:val="20"/>
                <w:szCs w:val="20"/>
                <w:color w:val="auto"/>
              </w:rPr>
            </w:pPr>
            <w:r>
              <w:rPr>
                <w:rFonts w:ascii="Arial" w:cs="Arial" w:eastAsia="Arial" w:hAnsi="Arial"/>
                <w:sz w:val="16"/>
                <w:szCs w:val="16"/>
                <w:color w:val="auto"/>
              </w:rPr>
              <w:t>CLO Fund Liabilities</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w w:val="89"/>
              </w:rPr>
              <w:t>$3,079,835,713</w:t>
            </w:r>
          </w:p>
        </w:tc>
        <w:tc>
          <w:tcPr>
            <w:tcW w:w="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Discounted Cash Flow</w:t>
            </w:r>
          </w:p>
        </w:tc>
        <w:tc>
          <w:tcPr>
            <w:tcW w:w="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1"/>
              </w:rPr>
              <w:t>Discount Rate</w:t>
            </w:r>
          </w:p>
        </w:tc>
        <w:tc>
          <w:tcPr>
            <w:tcW w:w="60" w:type="dxa"/>
            <w:vAlign w:val="bottom"/>
          </w:tcPr>
          <w:p>
            <w:pPr>
              <w:spacing w:after="0"/>
              <w:rPr>
                <w:sz w:val="17"/>
                <w:szCs w:val="17"/>
                <w:color w:val="auto"/>
              </w:rPr>
            </w:pPr>
          </w:p>
        </w:tc>
        <w:tc>
          <w:tcPr>
            <w:tcW w:w="1260" w:type="dxa"/>
            <w:vAlign w:val="bottom"/>
          </w:tcPr>
          <w:p>
            <w:pPr>
              <w:ind w:left="160"/>
              <w:spacing w:after="0"/>
              <w:rPr>
                <w:sz w:val="20"/>
                <w:szCs w:val="20"/>
                <w:color w:val="auto"/>
              </w:rPr>
            </w:pPr>
            <w:r>
              <w:rPr>
                <w:rFonts w:ascii="Arial" w:cs="Arial" w:eastAsia="Arial" w:hAnsi="Arial"/>
                <w:sz w:val="16"/>
                <w:szCs w:val="16"/>
                <w:color w:val="auto"/>
                <w:w w:val="99"/>
              </w:rPr>
              <w:t>1.21% – 7.41%</w:t>
            </w:r>
          </w:p>
        </w:tc>
      </w:tr>
    </w:tbl>
    <w:p>
      <w:pPr>
        <w:spacing w:after="0" w:line="90" w:lineRule="exact"/>
        <w:rPr>
          <w:sz w:val="20"/>
          <w:szCs w:val="20"/>
          <w:color w:val="auto"/>
        </w:rPr>
      </w:pPr>
    </w:p>
    <w:p>
      <w:pPr>
        <w:ind w:left="60" w:right="1099" w:firstLine="270"/>
        <w:spacing w:after="0" w:line="312"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39" w:lineRule="exact"/>
        <w:rPr>
          <w:sz w:val="20"/>
          <w:szCs w:val="20"/>
          <w:color w:val="auto"/>
        </w:rPr>
      </w:pPr>
    </w:p>
    <w:p>
      <w:pPr>
        <w:ind w:left="620" w:right="959" w:hanging="322"/>
        <w:spacing w:after="0" w:line="277" w:lineRule="auto"/>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I — Valuations based on quoted prices in active markets for identical assets or liabilities that the Asset Manager Affiliates have the ability to access.</w:t>
      </w:r>
    </w:p>
    <w:p>
      <w:pPr>
        <w:spacing w:after="0" w:line="62" w:lineRule="exact"/>
        <w:rPr>
          <w:rFonts w:ascii="Arial" w:cs="Arial" w:eastAsia="Arial" w:hAnsi="Arial"/>
          <w:sz w:val="18"/>
          <w:szCs w:val="18"/>
          <w:color w:val="auto"/>
        </w:rPr>
      </w:pPr>
    </w:p>
    <w:p>
      <w:pPr>
        <w:ind w:left="620" w:right="1339" w:hanging="322"/>
        <w:spacing w:after="0" w:line="277" w:lineRule="auto"/>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Level II — 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Level III — Valuations based on inputs that are unobservable and significant to the overall fair value measurement.</w:t>
      </w:r>
    </w:p>
    <w:p>
      <w:pPr>
        <w:spacing w:after="0" w:line="129" w:lineRule="exact"/>
        <w:rPr>
          <w:sz w:val="20"/>
          <w:szCs w:val="20"/>
          <w:color w:val="auto"/>
        </w:rPr>
      </w:pPr>
    </w:p>
    <w:p>
      <w:pPr>
        <w:ind w:left="60" w:right="1079" w:firstLine="270"/>
        <w:spacing w:after="0" w:line="277" w:lineRule="auto"/>
        <w:rPr>
          <w:sz w:val="20"/>
          <w:szCs w:val="20"/>
          <w:color w:val="auto"/>
        </w:rPr>
      </w:pPr>
      <w:r>
        <w:rPr>
          <w:rFonts w:ascii="Arial" w:cs="Arial" w:eastAsia="Arial" w:hAnsi="Arial"/>
          <w:sz w:val="18"/>
          <w:szCs w:val="18"/>
          <w:color w:val="auto"/>
        </w:rPr>
        <w:t>The CLO Funds managed by the Asset Manager Affiliate and that are consolidated herein, have issued rated and unrated securities to finance their operations. CLO Fund Liabilities are presented at fair value with</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CLO FUNDS – (continued)</w:t>
      </w:r>
    </w:p>
    <w:p>
      <w:pPr>
        <w:spacing w:after="0" w:line="121" w:lineRule="exact"/>
        <w:rPr>
          <w:sz w:val="20"/>
          <w:szCs w:val="20"/>
          <w:color w:val="auto"/>
        </w:rPr>
      </w:pPr>
    </w:p>
    <w:p>
      <w:pPr>
        <w:ind w:left="40" w:right="1199"/>
        <w:spacing w:after="0" w:line="342" w:lineRule="auto"/>
        <w:rPr>
          <w:sz w:val="20"/>
          <w:szCs w:val="20"/>
          <w:color w:val="auto"/>
        </w:rPr>
      </w:pPr>
      <w:r>
        <w:rPr>
          <w:rFonts w:ascii="Arial" w:cs="Arial" w:eastAsia="Arial" w:hAnsi="Arial"/>
          <w:sz w:val="16"/>
          <w:szCs w:val="16"/>
          <w:color w:val="auto"/>
        </w:rPr>
        <w:t>the difference between principal and fair value recorded as unrealized gain/loss. The par amount of CLO Fund liabilities is approximately $3.3 billion and $3.7 billion respectively for the years ended December 31, 2013 and December 31, 2012.</w:t>
      </w:r>
    </w:p>
    <w:p>
      <w:pPr>
        <w:spacing w:after="0" w:line="16" w:lineRule="exact"/>
        <w:rPr>
          <w:sz w:val="20"/>
          <w:szCs w:val="20"/>
          <w:color w:val="auto"/>
        </w:rPr>
      </w:pPr>
    </w:p>
    <w:p>
      <w:pPr>
        <w:ind w:left="40" w:right="599" w:firstLine="270"/>
        <w:spacing w:after="0" w:line="279" w:lineRule="auto"/>
        <w:rPr>
          <w:sz w:val="20"/>
          <w:szCs w:val="20"/>
          <w:color w:val="auto"/>
        </w:rPr>
      </w:pPr>
      <w:r>
        <w:rPr>
          <w:rFonts w:ascii="Arial" w:cs="Arial" w:eastAsia="Arial" w:hAnsi="Arial"/>
          <w:sz w:val="17"/>
          <w:szCs w:val="17"/>
          <w:color w:val="auto"/>
        </w:rPr>
        <w:t>The Asset Manager Affiliates have determined that, although the junior tranches have certain characteristics of equity, they should be accounted for and disclosed as debt on the its Combined Balance Sheet, as the subordinated and income notes and preferred shares have a stated maturity indicating a date for which they are mandatorily redeemable. The preference shares are also classified as debt, as they are mandatorily redeemable upon liquidation or termination of the CLO.</w:t>
      </w:r>
    </w:p>
    <w:p>
      <w:pPr>
        <w:spacing w:after="0" w:line="63"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The Asset Manager Affiliates’ risk with respect to the CLO Funds is limited to any uncollected management fees. The Asset Manager Affiliates have no right to the benefits from, nor do they bear the risks associated with, the CLO Funds, beyond the management fees generated by the CLO Funds. If the Asset Manager Affiliates were to liquidate, the CLO Funds would not be available to the general creditors of the Asset Manager Affiliates. Additionally, the Investments of the CLO Funds are held solely to satisfy the obligations of the CLO Funds, and the investors in the consolidated CLO Funds have no recourse to the general credit of the Asset Manager Affiliates for the CO Fund liabilities.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BUSINESS COMBINATION</w:t>
      </w:r>
    </w:p>
    <w:p>
      <w:pPr>
        <w:spacing w:after="0" w:line="121" w:lineRule="exact"/>
        <w:rPr>
          <w:sz w:val="20"/>
          <w:szCs w:val="20"/>
          <w:color w:val="auto"/>
        </w:rPr>
      </w:pPr>
    </w:p>
    <w:p>
      <w:pPr>
        <w:ind w:left="40" w:right="539" w:firstLine="270"/>
        <w:spacing w:after="0" w:line="297" w:lineRule="auto"/>
        <w:rPr>
          <w:sz w:val="20"/>
          <w:szCs w:val="20"/>
          <w:color w:val="auto"/>
        </w:rPr>
      </w:pPr>
      <w:r>
        <w:rPr>
          <w:rFonts w:ascii="Arial" w:cs="Arial" w:eastAsia="Arial" w:hAnsi="Arial"/>
          <w:sz w:val="16"/>
          <w:szCs w:val="16"/>
          <w:color w:val="auto"/>
        </w:rPr>
        <w:t>On February 29, 2012, KCAP Financial, Inc. (the “Company”) and Commodore Holdings, L.L.C., a newly-formed, wholly-owned subsidiary of the Company (“Commodore”), acquired all of the outstanding equity interests in Trimaran for $13.0 million in cash and 3,600,000 shares of the Company’s common stock, par value $0.01 per share, which were valued at the opening price on the closing date of the acquisition. Contemporaneously with the acquisition, the Company acquired the equity interests in four CLO Funds sponsored by Trimaran, at fair value, for $12.0 million in cash. The aggregate purchase price was $50.6 million.</w:t>
      </w:r>
    </w:p>
    <w:p>
      <w:pPr>
        <w:spacing w:after="0" w:line="50"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In accordance with the purchase agreement, Commodore was deemed the acquirer of Trimaran and accounted for the acquisition as a business combination. The assets acquired (no liabilities were assumed) by Commodore through this acquisition were “pushed-down” to Trimaran. The purchase price allocation included the fair value of the identifiable intangible assets acquired, which consist of four CLO management contracts, of approximately $15.7 million, resulting in goodwill of $22.8 million. The CLO management contracts are being amortized over the lives of the contracts (3 – 5 years). The goodwill will be subject to an annual impairment test. The goodwill represents expected synergies from combining the operations of Katonah Debt Advisors and Trimaran Advisors. Both are CLO asset managers and registered under the Investment Advisors Act of 1940.</w:t>
      </w:r>
    </w:p>
    <w:p>
      <w:pPr>
        <w:spacing w:after="0" w:line="59"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Trimaran, a taxable entity (corporation), has recognized the acquisition as an asset acquisition for tax purposes. The book and tax basis of the intangible assets and goodwill were identical; accordingly, Trimaran did not provide for any deferred taxes at the closing date of the acquisition. The tax basis of the intangible assets and goodwill will be amortized over 15 years, which gives rise to deferred taxes.</w:t>
      </w:r>
    </w:p>
    <w:p>
      <w:pPr>
        <w:spacing w:after="0" w:line="79" w:lineRule="exact"/>
        <w:rPr>
          <w:sz w:val="20"/>
          <w:szCs w:val="20"/>
          <w:color w:val="auto"/>
        </w:rPr>
      </w:pPr>
    </w:p>
    <w:p>
      <w:pPr>
        <w:ind w:left="40" w:right="579" w:firstLine="270"/>
        <w:spacing w:after="0" w:line="312" w:lineRule="auto"/>
        <w:rPr>
          <w:sz w:val="20"/>
          <w:szCs w:val="20"/>
          <w:color w:val="auto"/>
        </w:rPr>
      </w:pPr>
      <w:r>
        <w:rPr>
          <w:rFonts w:ascii="Arial" w:cs="Arial" w:eastAsia="Arial" w:hAnsi="Arial"/>
          <w:sz w:val="16"/>
          <w:szCs w:val="16"/>
          <w:color w:val="auto"/>
        </w:rPr>
        <w:t>Trimaran will continue operating as a stand-alone entity and serve as collateral manager under its the CLO management contracts. KDA is a 100% owned asset manager subsidiary of the Company. KDA and Trimaran are both under common control of the Company and have similar business characteristics; therefore they report on a combined basis for financial reporting purposes.</w:t>
      </w:r>
    </w:p>
    <w:p>
      <w:pPr>
        <w:spacing w:after="0" w:line="39" w:lineRule="exact"/>
        <w:rPr>
          <w:sz w:val="20"/>
          <w:szCs w:val="20"/>
          <w:color w:val="auto"/>
        </w:rPr>
      </w:pPr>
    </w:p>
    <w:p>
      <w:pPr>
        <w:jc w:val="both"/>
        <w:ind w:left="40" w:right="579" w:firstLine="270"/>
        <w:spacing w:after="0" w:line="264" w:lineRule="auto"/>
        <w:rPr>
          <w:sz w:val="20"/>
          <w:szCs w:val="20"/>
          <w:color w:val="auto"/>
        </w:rPr>
      </w:pPr>
      <w:r>
        <w:rPr>
          <w:rFonts w:ascii="Arial" w:cs="Arial" w:eastAsia="Arial" w:hAnsi="Arial"/>
          <w:sz w:val="18"/>
          <w:szCs w:val="18"/>
          <w:color w:val="auto"/>
        </w:rPr>
        <w:t>The combined 2012 results of operations associated with the acquisition of Trimaran Advisors, including the consolidated CLO Funds managed by Trimaran Advisors, for the ten-month period following the date of acquisition, includes revenues of $57 million and net loss before tax of $45.7 million.</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7" w:name="page138"/>
    <w:bookmarkEnd w:id="13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TAXES</w:t>
      </w:r>
    </w:p>
    <w:p>
      <w:pPr>
        <w:spacing w:after="0" w:line="121" w:lineRule="exact"/>
        <w:rPr>
          <w:sz w:val="20"/>
          <w:szCs w:val="20"/>
          <w:color w:val="auto"/>
        </w:rPr>
      </w:pPr>
    </w:p>
    <w:p>
      <w:pPr>
        <w:ind w:left="60" w:right="859" w:firstLine="270"/>
        <w:spacing w:after="0" w:line="277" w:lineRule="auto"/>
        <w:rPr>
          <w:sz w:val="20"/>
          <w:szCs w:val="20"/>
          <w:color w:val="auto"/>
        </w:rPr>
      </w:pPr>
      <w:r>
        <w:rPr>
          <w:rFonts w:ascii="Arial" w:cs="Arial" w:eastAsia="Arial" w:hAnsi="Arial"/>
          <w:sz w:val="18"/>
          <w:szCs w:val="18"/>
          <w:color w:val="auto"/>
        </w:rPr>
        <w:t>As separately regarded entities for tax purposes, the Asset Manager Affiliates are taxed at normal corporate rates. The CLO Funds are not generally taxed.</w:t>
      </w:r>
    </w:p>
    <w:p>
      <w:pPr>
        <w:spacing w:after="0" w:line="62" w:lineRule="exact"/>
        <w:rPr>
          <w:sz w:val="20"/>
          <w:szCs w:val="20"/>
          <w:color w:val="auto"/>
        </w:rPr>
      </w:pPr>
    </w:p>
    <w:p>
      <w:pPr>
        <w:jc w:val="both"/>
        <w:ind w:left="60" w:right="739" w:firstLine="270"/>
        <w:spacing w:after="0" w:line="302" w:lineRule="auto"/>
        <w:rPr>
          <w:sz w:val="20"/>
          <w:szCs w:val="20"/>
          <w:color w:val="auto"/>
        </w:rPr>
      </w:pPr>
      <w:r>
        <w:rPr>
          <w:rFonts w:ascii="Arial" w:cs="Arial" w:eastAsia="Arial" w:hAnsi="Arial"/>
          <w:sz w:val="16"/>
          <w:szCs w:val="16"/>
          <w:color w:val="auto"/>
        </w:rPr>
        <w:t>For tax purposes, the Asset Manager Affiliates taxable net income will differ from GAAP net income because of deferred tax timing adjustments and permanent tax adjustments. Deferred tax timing adjustments may include differences for the recognition and timing of depreciation, bonuses to employees and restricted stock expense. Permanent differences may include adjustments, limitations or disallowances for meals and entertainment expenses, penalties, tax goodwill amortization.</w:t>
      </w:r>
    </w:p>
    <w:p>
      <w:pPr>
        <w:spacing w:after="0" w:line="46" w:lineRule="exact"/>
        <w:rPr>
          <w:sz w:val="20"/>
          <w:szCs w:val="20"/>
          <w:color w:val="auto"/>
        </w:rPr>
      </w:pPr>
    </w:p>
    <w:p>
      <w:pPr>
        <w:ind w:left="60" w:right="699" w:firstLine="270"/>
        <w:spacing w:after="0" w:line="272" w:lineRule="auto"/>
        <w:rPr>
          <w:sz w:val="20"/>
          <w:szCs w:val="20"/>
          <w:color w:val="auto"/>
        </w:rPr>
      </w:pPr>
      <w:r>
        <w:rPr>
          <w:rFonts w:ascii="Arial" w:cs="Arial" w:eastAsia="Arial" w:hAnsi="Arial"/>
          <w:sz w:val="17"/>
          <w:szCs w:val="17"/>
          <w:color w:val="auto"/>
        </w:rPr>
        <w:t>Goodwill amortization for tax purposes was created upon the purchase of 100% of the equity interests in Katonah Debt Advisors by its sole member, KCAP Financial, in exchange for shares of the KCAP Financial’s stock valued at $33 million. Although this transaction was a stock transaction rather than an asset purchase and thus no goodwill was recognized for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 which accounts for an annual difference between GAAP income and taxable income by approximately $2 million per year over such period.</w:t>
      </w:r>
    </w:p>
    <w:p>
      <w:pPr>
        <w:spacing w:after="0" w:line="70" w:lineRule="exact"/>
        <w:rPr>
          <w:sz w:val="20"/>
          <w:szCs w:val="20"/>
          <w:color w:val="auto"/>
        </w:rPr>
      </w:pPr>
    </w:p>
    <w:p>
      <w:pPr>
        <w:jc w:val="both"/>
        <w:ind w:left="60" w:right="539" w:firstLine="270"/>
        <w:spacing w:after="0" w:line="302" w:lineRule="auto"/>
        <w:rPr>
          <w:sz w:val="20"/>
          <w:szCs w:val="20"/>
          <w:color w:val="auto"/>
        </w:rPr>
      </w:pPr>
      <w:r>
        <w:rPr>
          <w:rFonts w:ascii="Arial" w:cs="Arial" w:eastAsia="Arial" w:hAnsi="Arial"/>
          <w:sz w:val="16"/>
          <w:szCs w:val="16"/>
          <w:color w:val="auto"/>
        </w:rPr>
        <w:t>As discussed in Note 4, additional goodwill amortization for tax purposes was created upon the purchase of Trimaran Advisors by its sole member. The transaction was considered an asset purchase under Section 351(a) of the Code and resulted in tax goodwill of approximately $22.8 million which is being amortized for tax purposes on a straight-line basis over 15 years, which accounts for an annual difference between GAAP income and taxable income by approximately $1.5 million per year over such period.</w:t>
      </w:r>
    </w:p>
    <w:p>
      <w:pPr>
        <w:spacing w:after="0" w:line="46"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Any distributions of taxable net income earned by the Asset Manager Affiliates to KCAP Financial would generally need to be distributed to KCAP Financial’s shareholders. Generally, such distributions of the Asset Manager Affiliate’s income to KCAP Financial’s shareholders will be considered as qualified dividends for tax purposes.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income tax expense (benefit) for the years ended December 31, 2013, 2012, and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7421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33"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6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-3175</wp:posOffset>
            </wp:positionV>
            <wp:extent cx="20066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vMerge w:val="restart"/>
          </w:tcPr>
          <w:p>
            <w:pPr>
              <w:ind w:left="20"/>
              <w:spacing w:after="0"/>
              <w:rPr>
                <w:sz w:val="20"/>
                <w:szCs w:val="20"/>
                <w:color w:val="auto"/>
              </w:rPr>
            </w:pPr>
            <w:r>
              <w:rPr>
                <w:rFonts w:ascii="Arial" w:cs="Arial" w:eastAsia="Arial" w:hAnsi="Arial"/>
                <w:sz w:val="18"/>
                <w:szCs w:val="18"/>
                <w:color w:val="auto"/>
              </w:rPr>
              <w:t>Current income tax expense:</w:t>
            </w:r>
          </w:p>
        </w:tc>
        <w:tc>
          <w:tcPr>
            <w:tcW w:w="80" w:type="dxa"/>
            <w:vAlign w:val="bottom"/>
          </w:tcPr>
          <w:p>
            <w:pPr>
              <w:spacing w:after="0"/>
              <w:rPr>
                <w:sz w:val="16"/>
                <w:szCs w:val="16"/>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508,874</w:t>
            </w:r>
          </w:p>
        </w:tc>
        <w:tc>
          <w:tcPr>
            <w:tcW w:w="120" w:type="dxa"/>
            <w:vAlign w:val="bottom"/>
            <w:tcBorders>
              <w:left w:val="single" w:sz="8" w:color="CCFFCC"/>
            </w:tcBorders>
            <w:shd w:val="clear" w:color="auto" w:fill="CCFFCC"/>
          </w:tcPr>
          <w:p>
            <w:pPr>
              <w:spacing w:after="0"/>
              <w:rPr>
                <w:sz w:val="18"/>
                <w:szCs w:val="18"/>
                <w:color w:val="auto"/>
              </w:rPr>
            </w:pP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$ 433,823</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84,821</w:t>
            </w: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State &amp; local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292,533</w:t>
            </w:r>
          </w:p>
        </w:tc>
        <w:tc>
          <w:tcPr>
            <w:tcW w:w="1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(59,674)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259,797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net current income tax expense</w:t>
            </w: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801,407</w:t>
            </w:r>
          </w:p>
        </w:tc>
        <w:tc>
          <w:tcPr>
            <w:tcW w:w="120" w:type="dxa"/>
            <w:vAlign w:val="bottom"/>
            <w:tcBorders>
              <w:left w:val="single" w:sz="8" w:color="CCFFCC"/>
            </w:tcBorders>
            <w:shd w:val="clear" w:color="auto" w:fill="CCFFCC"/>
          </w:tcPr>
          <w:p>
            <w:pPr>
              <w:spacing w:after="0"/>
              <w:rPr>
                <w:sz w:val="18"/>
                <w:szCs w:val="18"/>
                <w:color w:val="auto"/>
              </w:rPr>
            </w:pP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374,149</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374,149</w:t>
            </w: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1"/>
              </w:rPr>
              <w:t>(1,883,479)</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11,143</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(350,459)</w:t>
            </w:r>
          </w:p>
        </w:tc>
        <w:tc>
          <w:tcPr>
            <w:tcW w:w="0" w:type="dxa"/>
            <w:vAlign w:val="bottom"/>
          </w:tcPr>
          <w:p>
            <w:pPr>
              <w:spacing w:after="0"/>
              <w:rPr>
                <w:sz w:val="1"/>
                <w:szCs w:val="1"/>
                <w:color w:val="auto"/>
              </w:rPr>
            </w:pP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State &amp; local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424,735</w:t>
            </w:r>
          </w:p>
        </w:tc>
        <w:tc>
          <w:tcPr>
            <w:tcW w:w="12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(736,242)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(215,474)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net deferred income tax expense (benefit)</w:t>
            </w:r>
          </w:p>
        </w:tc>
        <w:tc>
          <w:tcPr>
            <w:tcW w:w="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1"/>
              </w:rPr>
              <w:t>(1,458,744)</w:t>
            </w:r>
          </w:p>
        </w:tc>
        <w:tc>
          <w:tcPr>
            <w:tcW w:w="10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(725,099)</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3"/>
              </w:rPr>
              <w:t>(565,933)</w:t>
            </w:r>
          </w:p>
        </w:tc>
        <w:tc>
          <w:tcPr>
            <w:tcW w:w="0" w:type="dxa"/>
            <w:vAlign w:val="bottom"/>
          </w:tcPr>
          <w:p>
            <w:pPr>
              <w:spacing w:after="0"/>
              <w:rPr>
                <w:sz w:val="1"/>
                <w:szCs w:val="1"/>
                <w:color w:val="auto"/>
              </w:rPr>
            </w:pPr>
          </w:p>
        </w:tc>
      </w:tr>
      <w:tr>
        <w:trPr>
          <w:trHeight w:val="20"/>
        </w:trPr>
        <w:tc>
          <w:tcPr>
            <w:tcW w:w="43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Total income tax expense (benefit)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(657,337)</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(350,950)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(221,315)</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599" w:firstLine="270"/>
        <w:spacing w:after="0" w:line="264" w:lineRule="auto"/>
        <w:rPr>
          <w:sz w:val="20"/>
          <w:szCs w:val="20"/>
          <w:color w:val="auto"/>
        </w:rPr>
      </w:pPr>
      <w:r>
        <w:rPr>
          <w:rFonts w:ascii="Arial" w:cs="Arial" w:eastAsia="Arial" w:hAnsi="Arial"/>
          <w:sz w:val="18"/>
          <w:szCs w:val="18"/>
          <w:color w:val="auto"/>
        </w:rPr>
        <w:t>The Asset Manager Affiliates’ effective income tax rate was 4.8%, 0.4% and 0.7% for tax years 2013, 2012 and 2011, respectively. The difference between the Company’s reported provision for income taxes and the U.S. federal statutory rate of 35% is primarily due to tax goodwill amortization and the CLO funds having no tax consequences.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8" w:name="page139"/>
    <w:bookmarkEnd w:id="13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INCOME TAXES – (continued)</w:t>
      </w:r>
    </w:p>
    <w:p>
      <w:pPr>
        <w:spacing w:after="0" w:line="121"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Deferred income taxes are provided for the effects of temporary differences between the tax basis of an asset or liability and its reported amount in the consolidated financial statements. These temporary differences result in taxable or deductible amounts in future years.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deferred income tax assets and liabilities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339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1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96"/>
        </w:trPr>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Deferred income tax assets:</w:t>
            </w:r>
          </w:p>
        </w:tc>
        <w:tc>
          <w:tcPr>
            <w:tcW w:w="100" w:type="dxa"/>
            <w:vAlign w:val="bottom"/>
          </w:tcPr>
          <w:p>
            <w:pPr>
              <w:spacing w:after="0"/>
              <w:rPr>
                <w:sz w:val="17"/>
                <w:szCs w:val="17"/>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operating loss and tax credit carryforward</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766,341</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$ 3,690,343</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159,281</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45,529</w:t>
            </w:r>
          </w:p>
        </w:tc>
        <w:tc>
          <w:tcPr>
            <w:tcW w:w="0" w:type="dxa"/>
            <w:vAlign w:val="bottom"/>
          </w:tcPr>
          <w:p>
            <w:pPr>
              <w:spacing w:after="0"/>
              <w:rPr>
                <w:sz w:val="1"/>
                <w:szCs w:val="1"/>
                <w:color w:val="auto"/>
              </w:rPr>
            </w:pPr>
          </w:p>
        </w:tc>
      </w:tr>
      <w:tr>
        <w:trPr>
          <w:trHeight w:val="216"/>
        </w:trPr>
        <w:tc>
          <w:tcPr>
            <w:tcW w:w="54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Intangible depreciation/amortization</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657,811</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268,058</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1,396,014</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75,320</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61,723</w:t>
            </w: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(2,957,205)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3,054,767</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1,108,448</w:t>
            </w:r>
          </w:p>
        </w:tc>
        <w:tc>
          <w:tcPr>
            <w:tcW w:w="0" w:type="dxa"/>
            <w:vAlign w:val="bottom"/>
          </w:tcPr>
          <w:p>
            <w:pPr>
              <w:spacing w:after="0"/>
              <w:rPr>
                <w:sz w:val="1"/>
                <w:szCs w:val="1"/>
                <w:color w:val="auto"/>
              </w:rPr>
            </w:pPr>
          </w:p>
        </w:tc>
      </w:tr>
      <w:tr>
        <w:trPr>
          <w:trHeight w:val="210"/>
        </w:trPr>
        <w:tc>
          <w:tcPr>
            <w:tcW w:w="540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(487,576)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(487,576)</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deferred tax assets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2,567,191</w:t>
            </w:r>
          </w:p>
        </w:tc>
        <w:tc>
          <w:tcPr>
            <w:tcW w:w="11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$ 1,108,448</w:t>
            </w:r>
          </w:p>
        </w:tc>
        <w:tc>
          <w:tcPr>
            <w:tcW w:w="0" w:type="dxa"/>
            <w:vAlign w:val="bottom"/>
          </w:tcPr>
          <w:p>
            <w:pPr>
              <w:spacing w:after="0"/>
              <w:rPr>
                <w:sz w:val="1"/>
                <w:szCs w:val="1"/>
                <w:color w:val="auto"/>
              </w:rPr>
            </w:pPr>
          </w:p>
        </w:tc>
      </w:tr>
      <w:tr>
        <w:trPr>
          <w:trHeight w:val="20"/>
        </w:trPr>
        <w:tc>
          <w:tcPr>
            <w:tcW w:w="5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-633730</wp:posOffset>
            </wp:positionV>
            <wp:extent cx="4751070" cy="1714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4751070" cy="154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60" w:right="639" w:firstLine="270"/>
        <w:spacing w:after="0" w:line="286" w:lineRule="auto"/>
        <w:rPr>
          <w:sz w:val="20"/>
          <w:szCs w:val="20"/>
          <w:color w:val="auto"/>
        </w:rPr>
      </w:pPr>
      <w:r>
        <w:rPr>
          <w:rFonts w:ascii="Arial" w:cs="Arial" w:eastAsia="Arial" w:hAnsi="Arial"/>
          <w:sz w:val="17"/>
          <w:szCs w:val="17"/>
          <w:color w:val="auto"/>
        </w:rPr>
        <w:t>The ultimate realization of deferred income tax assets is dependent upon the generation of future taxable income during the periods in which the temporary differences become deductible. If it is not more likely than not that some portion or all of the gross deferred income tax assets will be realized in future years, a valuation allowance is recorded.</w:t>
      </w:r>
    </w:p>
    <w:p>
      <w:pPr>
        <w:spacing w:after="0" w:line="57" w:lineRule="exact"/>
        <w:rPr>
          <w:sz w:val="20"/>
          <w:szCs w:val="20"/>
          <w:color w:val="auto"/>
        </w:rPr>
      </w:pPr>
    </w:p>
    <w:p>
      <w:pPr>
        <w:ind w:left="60" w:right="539" w:firstLine="270"/>
        <w:spacing w:after="0" w:line="272" w:lineRule="auto"/>
        <w:rPr>
          <w:sz w:val="20"/>
          <w:szCs w:val="20"/>
          <w:color w:val="auto"/>
        </w:rPr>
      </w:pPr>
      <w:r>
        <w:rPr>
          <w:rFonts w:ascii="Arial" w:cs="Arial" w:eastAsia="Arial" w:hAnsi="Arial"/>
          <w:sz w:val="17"/>
          <w:szCs w:val="17"/>
          <w:color w:val="auto"/>
        </w:rPr>
        <w:t>At December 31, 2013 the Asset Manager Affiliates had federal and state net loss carryovers of approximately $2.2 million and $0, respectively, available to offset future taxable income. At December 31, 2012, federal and state net loss carryovers were $8.5 million and $7.0 million, respectively. The net loss carryovers expire in the years 2028 to 2032. At December 31, 2013 the federal and state net operating loss carryovers made up approximately $2.2 million and $0 million of the deferred tax asset respectively. At the present time, the Asset Manager Affiliates believe that it is more likely than not that the deferred tax assets related to the federal net operating loss carryovers will be recognized. Accordingly, the Asset Manager Affiliates have determined that a valuation allowance as of December 31, 2013 is not required.</w:t>
      </w:r>
    </w:p>
    <w:p>
      <w:pPr>
        <w:spacing w:after="0" w:line="70" w:lineRule="exact"/>
        <w:rPr>
          <w:sz w:val="20"/>
          <w:szCs w:val="20"/>
          <w:color w:val="auto"/>
        </w:rPr>
      </w:pPr>
    </w:p>
    <w:p>
      <w:pPr>
        <w:ind w:left="60" w:right="539" w:firstLine="270"/>
        <w:spacing w:after="0" w:line="271" w:lineRule="auto"/>
        <w:rPr>
          <w:sz w:val="20"/>
          <w:szCs w:val="20"/>
          <w:color w:val="auto"/>
        </w:rPr>
      </w:pPr>
      <w:r>
        <w:rPr>
          <w:rFonts w:ascii="Arial" w:cs="Arial" w:eastAsia="Arial" w:hAnsi="Arial"/>
          <w:sz w:val="17"/>
          <w:szCs w:val="17"/>
          <w:color w:val="auto"/>
        </w:rPr>
        <w:t>Asset Manager Affiliates adopted Financial Accounting Standards Board ASC Topic 740 Accounting for Uncertainty in Income Taxes (“ASC 740”) as of January 1, 2009. ASC 740 provides guidance for how uncertain tax positions should be recognized, measured, presented, and disclosed in the financial statements. ASC 740 requires the evaluation of tax positions taken or expected to be taken in the course of preparing the tax returns to determine whether the tax positions are “more-likely-than-not” of being sustained by the applicable tax authority. Tax positions not deemed to meet the more-likely-than-not threshold are recorded as a tax benefit or expense in the current year. The adoption of ASC 740 did not have an effect on the financial position or results of operations of the Asset Manager Affiliates as there was no liability for unrecognized tax benefits and no change to the beginning of capital of the Asset Manager Affiliates.</w:t>
      </w:r>
    </w:p>
    <w:p>
      <w:pPr>
        <w:spacing w:after="0" w:line="71" w:lineRule="exact"/>
        <w:rPr>
          <w:sz w:val="20"/>
          <w:szCs w:val="20"/>
          <w:color w:val="auto"/>
        </w:rPr>
      </w:pPr>
    </w:p>
    <w:p>
      <w:pPr>
        <w:ind w:left="60" w:right="639" w:firstLine="270"/>
        <w:spacing w:after="0" w:line="312" w:lineRule="auto"/>
        <w:rPr>
          <w:sz w:val="20"/>
          <w:szCs w:val="20"/>
          <w:color w:val="auto"/>
        </w:rPr>
      </w:pPr>
      <w:r>
        <w:rPr>
          <w:rFonts w:ascii="Arial" w:cs="Arial" w:eastAsia="Arial" w:hAnsi="Arial"/>
          <w:sz w:val="16"/>
          <w:szCs w:val="16"/>
          <w:color w:val="auto"/>
        </w:rPr>
        <w:t>Management’s determinations regarding ASC 740 may be subject to review and adjustment at a later date based upon factors including, but not limited to, an ongoing analysis of tax laws, regulations and interpretations thereof. With a few exceptions, Asset Manager Affiliates is no longer subject to U.S. federal, state and local tax examinations by tax authorities for years prior to 2009.</w:t>
      </w:r>
    </w:p>
    <w:p>
      <w:pPr>
        <w:spacing w:after="0" w:line="200" w:lineRule="exact"/>
        <w:rPr>
          <w:sz w:val="20"/>
          <w:szCs w:val="20"/>
          <w:color w:val="auto"/>
        </w:rPr>
      </w:pP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9" w:name="page140"/>
    <w:bookmarkEnd w:id="13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6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6. COMMITMENTS AND CONTINGENCIES</w:t>
      </w:r>
    </w:p>
    <w:p>
      <w:pPr>
        <w:spacing w:after="0" w:line="1" w:lineRule="exact"/>
        <w:rPr>
          <w:sz w:val="20"/>
          <w:szCs w:val="20"/>
          <w:color w:val="auto"/>
        </w:rPr>
      </w:pPr>
    </w:p>
    <w:p>
      <w:pPr>
        <w:ind w:left="60" w:right="719" w:firstLine="270"/>
        <w:spacing w:after="0" w:line="308" w:lineRule="auto"/>
        <w:rPr>
          <w:sz w:val="20"/>
          <w:szCs w:val="20"/>
          <w:color w:val="auto"/>
        </w:rPr>
      </w:pPr>
      <w:r>
        <w:rPr>
          <w:rFonts w:ascii="Arial" w:cs="Arial" w:eastAsia="Arial" w:hAnsi="Arial"/>
          <w:sz w:val="17"/>
          <w:szCs w:val="17"/>
          <w:color w:val="auto"/>
        </w:rPr>
        <w:t>The CLO Funds have commitments to fund approximately $2.5 million and $86,000 of investments as of December 31, 2013 and December 2012, respectively. The Asset Manager Affiliates have commitments under lease obligations.</w:t>
      </w:r>
    </w:p>
    <w:p>
      <w:pPr>
        <w:spacing w:after="0" w:line="38" w:lineRule="exact"/>
        <w:rPr>
          <w:sz w:val="20"/>
          <w:szCs w:val="20"/>
          <w:color w:val="auto"/>
        </w:rPr>
      </w:pPr>
    </w:p>
    <w:p>
      <w:pPr>
        <w:ind w:left="60" w:right="799" w:firstLine="270"/>
        <w:spacing w:after="0" w:line="277" w:lineRule="auto"/>
        <w:rPr>
          <w:sz w:val="20"/>
          <w:szCs w:val="20"/>
          <w:color w:val="auto"/>
        </w:rPr>
      </w:pPr>
      <w:r>
        <w:rPr>
          <w:rFonts w:ascii="Arial" w:cs="Arial" w:eastAsia="Arial" w:hAnsi="Arial"/>
          <w:sz w:val="18"/>
          <w:szCs w:val="18"/>
          <w:color w:val="auto"/>
        </w:rPr>
        <w:t>Rent expense was approximately $346,000, $379,000 and $295,459 for the years ended December 31, 2013, 2012 and 2011,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minimum future lease payments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15429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5429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More than</w:t>
            </w:r>
          </w:p>
        </w:tc>
      </w:tr>
      <w:tr>
        <w:trPr>
          <w:trHeight w:val="171"/>
        </w:trPr>
        <w:tc>
          <w:tcPr>
            <w:tcW w:w="2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2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lease obligations</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$ 215,502</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$ 369,432</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$ 369,432</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$ 369,432</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$ 369,432</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$ 2,155,020</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Consolidated Variable Interest Entities Debt: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199"/>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Borrowing Rate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Maturity</w:t>
            </w: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0"/>
        </w:trPr>
        <w:tc>
          <w:tcPr>
            <w:tcW w:w="3460" w:type="dxa"/>
            <w:vAlign w:val="bottom"/>
            <w:gridSpan w:val="3"/>
            <w:shd w:val="clear" w:color="auto" w:fill="CCFFCC"/>
          </w:tcPr>
          <w:p>
            <w:pPr>
              <w:ind w:left="20"/>
              <w:spacing w:after="0" w:line="250" w:lineRule="exact"/>
              <w:rPr>
                <w:sz w:val="20"/>
                <w:szCs w:val="20"/>
                <w:color w:val="auto"/>
              </w:rPr>
            </w:pPr>
            <w:r>
              <w:rPr>
                <w:rFonts w:ascii="Arial" w:cs="Arial" w:eastAsia="Arial" w:hAnsi="Arial"/>
                <w:sz w:val="17"/>
                <w:szCs w:val="17"/>
                <w:color w:val="auto"/>
              </w:rPr>
              <w:t>CLO Debt</w:t>
            </w:r>
            <w:r>
              <w:rPr>
                <w:rFonts w:ascii="Arial" w:cs="Arial" w:eastAsia="Arial" w:hAnsi="Arial"/>
                <w:sz w:val="28"/>
                <w:szCs w:val="28"/>
                <w:color w:val="auto"/>
                <w:vertAlign w:val="superscript"/>
              </w:rPr>
              <w:t>(1)</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3,176,654,741</w:t>
            </w:r>
          </w:p>
        </w:tc>
        <w:tc>
          <w:tcPr>
            <w:tcW w:w="1200" w:type="dxa"/>
            <w:vAlign w:val="bottom"/>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1.30%</w:t>
            </w:r>
          </w:p>
        </w:tc>
        <w:tc>
          <w:tcPr>
            <w:tcW w:w="1140" w:type="dxa"/>
            <w:vAlign w:val="bottom"/>
            <w:gridSpan w:val="2"/>
            <w:shd w:val="clear" w:color="auto" w:fill="CCFFCC"/>
          </w:tcPr>
          <w:p>
            <w:pPr>
              <w:jc w:val="right"/>
              <w:ind w:right="108"/>
              <w:spacing w:after="0"/>
              <w:rPr>
                <w:sz w:val="20"/>
                <w:szCs w:val="20"/>
                <w:color w:val="auto"/>
              </w:rPr>
            </w:pPr>
            <w:r>
              <w:rPr>
                <w:rFonts w:ascii="Arial" w:cs="Arial" w:eastAsia="Arial" w:hAnsi="Arial"/>
                <w:sz w:val="18"/>
                <w:szCs w:val="18"/>
                <w:color w:val="auto"/>
              </w:rPr>
              <w:t>6.0</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56" w:lineRule="exact"/>
        <w:rPr>
          <w:sz w:val="20"/>
          <w:szCs w:val="20"/>
          <w:color w:val="auto"/>
        </w:rPr>
      </w:pPr>
    </w:p>
    <w:p>
      <w:pPr>
        <w:ind w:left="300" w:right="699" w:hanging="272"/>
        <w:spacing w:after="0" w:line="259"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Long-term debt of the VIEs is recorded at fair value. This includes the fair value of the subordinated notes issued by the VIEs. However, the subordinated notes do not have a stated interest rate and are therefore excluded from the calculation of the weighted average borrowing rate. The par value of the VIEs debt (excluding subordinated notes) was $3.0 billion and $3.4 billion as of December 31, 2013 and 2012, respectively.</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MEMBER’S EQUITY</w:t>
      </w:r>
    </w:p>
    <w:p>
      <w:pPr>
        <w:spacing w:after="0" w:line="121" w:lineRule="exact"/>
        <w:rPr>
          <w:sz w:val="20"/>
          <w:szCs w:val="20"/>
          <w:color w:val="auto"/>
        </w:rPr>
      </w:pPr>
    </w:p>
    <w:p>
      <w:pPr>
        <w:ind w:left="60" w:right="739" w:firstLine="270"/>
        <w:spacing w:after="0" w:line="277" w:lineRule="auto"/>
        <w:rPr>
          <w:sz w:val="20"/>
          <w:szCs w:val="20"/>
          <w:color w:val="auto"/>
        </w:rPr>
      </w:pPr>
      <w:r>
        <w:rPr>
          <w:rFonts w:ascii="Arial" w:cs="Arial" w:eastAsia="Arial" w:hAnsi="Arial"/>
          <w:sz w:val="18"/>
          <w:szCs w:val="18"/>
          <w:color w:val="auto"/>
        </w:rPr>
        <w:t>The member interest of Asset Manager Affiliates is held solely by KCAP Financial. KCAP Financial owns 100% of Katonah Debt Advisors and 100% of Commodore Holdings, which wholly owns Trimaran Advisors.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EMPLOYEE COMPENSATION</w:t>
      </w:r>
    </w:p>
    <w:p>
      <w:pPr>
        <w:spacing w:after="0" w:line="121" w:lineRule="exact"/>
        <w:rPr>
          <w:sz w:val="20"/>
          <w:szCs w:val="20"/>
          <w:color w:val="auto"/>
        </w:rPr>
      </w:pPr>
    </w:p>
    <w:p>
      <w:pPr>
        <w:ind w:left="60" w:right="519" w:firstLine="270"/>
        <w:spacing w:after="0" w:line="272" w:lineRule="auto"/>
        <w:rPr>
          <w:sz w:val="20"/>
          <w:szCs w:val="20"/>
          <w:color w:val="auto"/>
        </w:rPr>
      </w:pPr>
      <w:r>
        <w:rPr>
          <w:rFonts w:ascii="Arial" w:cs="Arial" w:eastAsia="Arial" w:hAnsi="Arial"/>
          <w:sz w:val="17"/>
          <w:szCs w:val="17"/>
          <w:color w:val="auto"/>
        </w:rPr>
        <w:t>The Asset Manager Affiliates adopted a 401(k) plan (“401K Plan”) effective January 1, 2007 that it shares with its sole shareholder, KCAP Financial. The 401K Plan is open to all full time employees. The Plan permits an employee to defer a portion of their total annual compensation up to the Internal Revenue Service annual maximum based on age and eligibility. Katonah Debt Advisors and Trimaran Advisors make contributions to the 401K Plan of up to 2.67% of the employee’s first 74.9% of maximum eligible compensation, which fully vest at the time of contribution. For the year ended December 31, 2013, Asset Manager Affiliates made contributions to the 401K Plan of approximately $102,000. For the year ended December 31, 2012, Asset Manager Affiliates made contributions to the 401K Plan of approximately $54,000.</w:t>
      </w:r>
    </w:p>
    <w:p>
      <w:pPr>
        <w:spacing w:after="0" w:line="70" w:lineRule="exact"/>
        <w:rPr>
          <w:sz w:val="20"/>
          <w:szCs w:val="20"/>
          <w:color w:val="auto"/>
        </w:rPr>
      </w:pPr>
    </w:p>
    <w:p>
      <w:pPr>
        <w:ind w:left="60" w:right="579" w:firstLine="270"/>
        <w:spacing w:after="0" w:line="290" w:lineRule="auto"/>
        <w:rPr>
          <w:sz w:val="20"/>
          <w:szCs w:val="20"/>
          <w:color w:val="auto"/>
        </w:rPr>
      </w:pPr>
      <w:r>
        <w:rPr>
          <w:rFonts w:ascii="Arial" w:cs="Arial" w:eastAsia="Arial" w:hAnsi="Arial"/>
          <w:sz w:val="16"/>
          <w:szCs w:val="16"/>
          <w:color w:val="auto"/>
        </w:rPr>
        <w:t>The Asset Manager Affiliates also adopted a deferred compensation plan (“Profit-Sharing Plan”) effective January 1, 2007. Employees are eligible for the Profit-Sharing Plan provided that they are employed and working with the Asset Manager Affiliates for at least 100 days during the year and remain employed as of the last day of the year. Employees do not make contributions to the Profit-Sharing Plan. The Asset Manager Affiliates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years ended December 31, 2013 and 2012, the Asset Manager Affiliates made contributions of approximately $315,000 and $302,000 to the Profit-Sharing Plan, respectively.</w:t>
      </w: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8. OTHER EMPLOYEE COMPENSATION – (continued)</w:t>
      </w:r>
    </w:p>
    <w:p>
      <w:pPr>
        <w:spacing w:after="0" w:line="1" w:lineRule="exact"/>
        <w:rPr>
          <w:sz w:val="20"/>
          <w:szCs w:val="20"/>
          <w:color w:val="auto"/>
        </w:rPr>
      </w:pPr>
    </w:p>
    <w:p>
      <w:pPr>
        <w:ind w:left="40" w:right="839" w:firstLine="270"/>
        <w:spacing w:after="0" w:line="279" w:lineRule="auto"/>
        <w:rPr>
          <w:sz w:val="20"/>
          <w:szCs w:val="20"/>
          <w:color w:val="auto"/>
        </w:rPr>
      </w:pPr>
      <w:r>
        <w:rPr>
          <w:rFonts w:ascii="Arial" w:cs="Arial" w:eastAsia="Arial" w:hAnsi="Arial"/>
          <w:sz w:val="17"/>
          <w:szCs w:val="17"/>
          <w:color w:val="auto"/>
        </w:rPr>
        <w:t>Certain employees of Asset Manager Affiliates may receive restricted stock grants in the stock of Asset Manager Affiliates’ sole member, KCAP Financial. For the years ended December 31, 2013, 2012 and 2011, non-cash compensation expense of approximately $252,000, $20,000 and $89,000 respectively, was expensed at Asset Manager Affiliates related to an allocated reimbursable expense for a grant of restricted stock of KCAP Financial.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RELATED PARTY TRANSACTION</w:t>
      </w:r>
    </w:p>
    <w:p>
      <w:pPr>
        <w:spacing w:after="0" w:line="121" w:lineRule="exact"/>
        <w:rPr>
          <w:sz w:val="20"/>
          <w:szCs w:val="20"/>
          <w:color w:val="auto"/>
        </w:rPr>
      </w:pPr>
    </w:p>
    <w:p>
      <w:pPr>
        <w:ind w:left="40" w:right="619" w:firstLine="270"/>
        <w:spacing w:after="0" w:line="255" w:lineRule="auto"/>
        <w:rPr>
          <w:sz w:val="20"/>
          <w:szCs w:val="20"/>
          <w:color w:val="auto"/>
        </w:rPr>
      </w:pPr>
      <w:r>
        <w:rPr>
          <w:rFonts w:ascii="Arial" w:cs="Arial" w:eastAsia="Arial" w:hAnsi="Arial"/>
          <w:sz w:val="18"/>
          <w:szCs w:val="18"/>
          <w:color w:val="auto"/>
        </w:rPr>
        <w:t>On November 20, 2012, the Company entered into a senior credit agreement (the “Senior Credit Facility”) with Trimaran Advisors, pursuant to which Trimaran Advisors may borrow from time to time up to $20 million from the Company in order to provide the capital necessary to support one or more of Trimaran Advisors’ warehouse lines and/or working capital in connection with Trimaran Advisors’ warehouse activities. The Senior Credit Facility expires on November 20, 2017 and bears interest at an annual rate of 9.0%. As of December 27, 2012, the Senior Credit Facility was repaid and terminated and there were no borrowings outstanding as of December 31, 2012.</w:t>
      </w:r>
    </w:p>
    <w:p>
      <w:pPr>
        <w:spacing w:after="0" w:line="85" w:lineRule="exact"/>
        <w:rPr>
          <w:sz w:val="20"/>
          <w:szCs w:val="20"/>
          <w:color w:val="auto"/>
        </w:rPr>
      </w:pPr>
    </w:p>
    <w:p>
      <w:pPr>
        <w:ind w:left="40" w:right="739" w:firstLine="270"/>
        <w:spacing w:after="0" w:line="293" w:lineRule="auto"/>
        <w:rPr>
          <w:sz w:val="20"/>
          <w:szCs w:val="20"/>
          <w:color w:val="auto"/>
        </w:rPr>
      </w:pPr>
      <w:r>
        <w:rPr>
          <w:rFonts w:ascii="Arial" w:cs="Arial" w:eastAsia="Arial" w:hAnsi="Arial"/>
          <w:sz w:val="16"/>
          <w:szCs w:val="16"/>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On April 15, 2013, the Trimaran Credit Facility was amended and upsized from $20 million to $23 million. At December 31, 2013, there was $23 million outstanding under the Trimaran Credit Facility.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Management has evaluated the possibility of subsequent events existing in the Asset Manager Affiliates’ combined financial statements through March 12, 2014, the date the financial statements were available to be issued. Management has determined that there are no material events that would require disclosure in the Asset Manager Affiliates’ financial statements.</w:t>
      </w:r>
    </w:p>
    <w:p>
      <w:pPr>
        <w:spacing w:after="0" w:line="200" w:lineRule="exact"/>
        <w:rPr>
          <w:sz w:val="20"/>
          <w:szCs w:val="20"/>
          <w:color w:val="auto"/>
        </w:rPr>
      </w:pPr>
    </w:p>
    <w:p>
      <w:pPr>
        <w:spacing w:after="0" w:line="2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KCAP Financial, Inc.</w:t>
      </w:r>
    </w:p>
    <w:p>
      <w:pPr>
        <w:spacing w:after="0" w:line="103" w:lineRule="exact"/>
        <w:rPr>
          <w:sz w:val="20"/>
          <w:szCs w:val="20"/>
          <w:color w:val="auto"/>
        </w:rPr>
      </w:pPr>
    </w:p>
    <w:p>
      <w:pPr>
        <w:jc w:val="both"/>
        <w:ind w:left="40" w:right="839" w:firstLine="270"/>
        <w:spacing w:after="0" w:line="264" w:lineRule="auto"/>
        <w:rPr>
          <w:sz w:val="20"/>
          <w:szCs w:val="20"/>
          <w:color w:val="auto"/>
        </w:rPr>
      </w:pPr>
      <w:r>
        <w:rPr>
          <w:rFonts w:ascii="Arial" w:cs="Arial" w:eastAsia="Arial" w:hAnsi="Arial"/>
          <w:sz w:val="18"/>
          <w:szCs w:val="18"/>
          <w:color w:val="auto"/>
        </w:rPr>
        <w:t>We have audited the accompanying financial statements of Katonah 2007-I CLO Ltd., which comprise the statement of net assets as of December 31, 2013 and 2012, and the related statements of operations, changes in net assets, and cash flows for the years then ended, and the related notes to the financial statements.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59" w:firstLine="270"/>
        <w:spacing w:after="0" w:line="312" w:lineRule="auto"/>
        <w:rPr>
          <w:sz w:val="20"/>
          <w:szCs w:val="20"/>
          <w:color w:val="auto"/>
        </w:rPr>
      </w:pPr>
      <w:r>
        <w:rPr>
          <w:rFonts w:ascii="Arial" w:cs="Arial" w:eastAsia="Arial" w:hAnsi="Arial"/>
          <w:sz w:val="16"/>
          <w:szCs w:val="16"/>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39"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039" w:firstLine="270"/>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Katonah 2007-I CLO Ltd. as of December 31, 2013 and 2012, and the results of its operations and its cash flows for the years then ended in accordance with accounting principles generally accepted in the United States of America.</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2" w:name="page143"/>
    <w:bookmarkEnd w:id="142"/>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STATEMENTS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9684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 of</w:t>
            </w:r>
          </w:p>
        </w:tc>
      </w:tr>
      <w:tr>
        <w:trPr>
          <w:trHeight w:val="171"/>
        </w:trPr>
        <w:tc>
          <w:tcPr>
            <w:tcW w:w="5540" w:type="dxa"/>
            <w:vAlign w:val="bottom"/>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December 31, 2013</w:t>
            </w:r>
          </w:p>
        </w:tc>
        <w:tc>
          <w:tcPr>
            <w:tcW w:w="16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December 31, 2012</w:t>
            </w:r>
          </w:p>
        </w:tc>
      </w:tr>
      <w:tr>
        <w:trPr>
          <w:trHeight w:val="210"/>
        </w:trPr>
        <w:tc>
          <w:tcPr>
            <w:tcW w:w="55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Debt securities</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292,304,054</w:t>
            </w:r>
          </w:p>
        </w:tc>
        <w:tc>
          <w:tcPr>
            <w:tcW w:w="380" w:type="dxa"/>
            <w:vAlign w:val="bottom"/>
            <w:gridSpan w:val="2"/>
            <w:shd w:val="clear" w:color="auto" w:fill="CCFFCC"/>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291,720,614</w:t>
            </w: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2,361,136</w:t>
            </w:r>
          </w:p>
        </w:tc>
      </w:tr>
      <w:tr>
        <w:trPr>
          <w:trHeight w:val="216"/>
        </w:trPr>
        <w:tc>
          <w:tcPr>
            <w:tcW w:w="55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CLO equity securities</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18,123,734</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16,321,029</w:t>
            </w:r>
          </w:p>
        </w:tc>
      </w:tr>
      <w:tr>
        <w:trPr>
          <w:trHeight w:val="20"/>
        </w:trPr>
        <w:tc>
          <w:tcPr>
            <w:tcW w:w="55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5540" w:type="dxa"/>
            <w:vAlign w:val="bottom"/>
          </w:tcPr>
          <w:p>
            <w:pPr>
              <w:ind w:left="380"/>
              <w:spacing w:after="0"/>
              <w:rPr>
                <w:sz w:val="20"/>
                <w:szCs w:val="20"/>
                <w:color w:val="auto"/>
              </w:rPr>
            </w:pPr>
            <w:r>
              <w:rPr>
                <w:rFonts w:ascii="Arial" w:cs="Arial" w:eastAsia="Arial" w:hAnsi="Arial"/>
                <w:sz w:val="18"/>
                <w:szCs w:val="18"/>
                <w:color w:val="auto"/>
              </w:rPr>
              <w:t>Total investments at fair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310,427,788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310,402,779</w:t>
            </w:r>
          </w:p>
        </w:tc>
      </w:tr>
      <w:tr>
        <w:trPr>
          <w:trHeight w:val="216"/>
        </w:trPr>
        <w:tc>
          <w:tcPr>
            <w:tcW w:w="5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15,260,243</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13,018,610</w:t>
            </w: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674,911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737,624</w:t>
            </w:r>
          </w:p>
        </w:tc>
      </w:tr>
      <w:tr>
        <w:trPr>
          <w:trHeight w:val="20"/>
        </w:trPr>
        <w:tc>
          <w:tcPr>
            <w:tcW w:w="5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326,362,942</w:t>
            </w: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324,159,013</w:t>
            </w:r>
          </w:p>
        </w:tc>
      </w:tr>
      <w:tr>
        <w:trPr>
          <w:trHeight w:val="210"/>
        </w:trPr>
        <w:tc>
          <w:tcPr>
            <w:tcW w:w="55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5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CLO Fund liabilities at fair value</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314,549,615</w:t>
            </w:r>
          </w:p>
        </w:tc>
        <w:tc>
          <w:tcPr>
            <w:tcW w:w="380" w:type="dxa"/>
            <w:vAlign w:val="bottom"/>
            <w:gridSpan w:val="2"/>
            <w:shd w:val="clear" w:color="auto" w:fill="CCFFCC"/>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310,470,318</w:t>
            </w: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2,090,368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2,198,994</w:t>
            </w:r>
          </w:p>
        </w:tc>
      </w:tr>
      <w:tr>
        <w:trPr>
          <w:trHeight w:val="216"/>
        </w:trPr>
        <w:tc>
          <w:tcPr>
            <w:tcW w:w="5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Payable for open trades</w:t>
            </w:r>
          </w:p>
        </w:tc>
        <w:tc>
          <w:tcPr>
            <w:tcW w:w="1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4,013,750</w:t>
            </w: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2,970,000</w:t>
            </w: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174,270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184,850</w:t>
            </w:r>
          </w:p>
        </w:tc>
      </w:tr>
      <w:tr>
        <w:trPr>
          <w:trHeight w:val="20"/>
        </w:trPr>
        <w:tc>
          <w:tcPr>
            <w:tcW w:w="5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320,828,003</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315,824,162</w:t>
            </w:r>
          </w:p>
        </w:tc>
      </w:tr>
      <w:tr>
        <w:trPr>
          <w:trHeight w:val="210"/>
        </w:trPr>
        <w:tc>
          <w:tcPr>
            <w:tcW w:w="554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NET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7"/>
        </w:trPr>
        <w:tc>
          <w:tcPr>
            <w:tcW w:w="55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Net Assets</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5,534,939</w:t>
            </w: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jc w:val="right"/>
              <w:ind w:right="36"/>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8,334,851</w:t>
            </w:r>
          </w:p>
        </w:tc>
      </w:tr>
      <w:tr>
        <w:trPr>
          <w:trHeight w:val="20"/>
        </w:trPr>
        <w:tc>
          <w:tcPr>
            <w:tcW w:w="55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-1748790</wp:posOffset>
            </wp:positionV>
            <wp:extent cx="5213985" cy="1460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-1183005</wp:posOffset>
            </wp:positionV>
            <wp:extent cx="5213985" cy="1714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46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3" w:name="page144"/>
    <w:bookmarkEnd w:id="14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9684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22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95"/>
              </w:rPr>
              <w:t>For the Years Ended December 31,</w:t>
            </w:r>
          </w:p>
        </w:tc>
        <w:tc>
          <w:tcPr>
            <w:tcW w:w="0" w:type="dxa"/>
            <w:vAlign w:val="bottom"/>
          </w:tcPr>
          <w:p>
            <w:pPr>
              <w:spacing w:after="0"/>
              <w:rPr>
                <w:sz w:val="1"/>
                <w:szCs w:val="1"/>
                <w:color w:val="auto"/>
              </w:rPr>
            </w:pPr>
          </w:p>
        </w:tc>
      </w:tr>
      <w:tr>
        <w:trPr>
          <w:trHeight w:val="196"/>
        </w:trPr>
        <w:tc>
          <w:tcPr>
            <w:tcW w:w="5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Income</w:t>
            </w: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income from investments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$12,591,277</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12,899,200</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Interest income from cash and time deposits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16"/>
        </w:trPr>
        <w:tc>
          <w:tcPr>
            <w:tcW w:w="5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income</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652,959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504,941</w:t>
            </w:r>
          </w:p>
        </w:tc>
        <w:tc>
          <w:tcPr>
            <w:tcW w:w="0" w:type="dxa"/>
            <w:vAlign w:val="bottom"/>
          </w:tcPr>
          <w:p>
            <w:pPr>
              <w:spacing w:after="0"/>
              <w:rPr>
                <w:sz w:val="1"/>
                <w:szCs w:val="1"/>
                <w:color w:val="auto"/>
              </w:rPr>
            </w:pPr>
          </w:p>
        </w:tc>
      </w:tr>
      <w:tr>
        <w:trPr>
          <w:trHeight w:val="20"/>
        </w:trPr>
        <w:tc>
          <w:tcPr>
            <w:tcW w:w="59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200"/>
              <w:spacing w:after="0"/>
              <w:rPr>
                <w:sz w:val="20"/>
                <w:szCs w:val="20"/>
                <w:color w:val="auto"/>
              </w:rPr>
            </w:pPr>
            <w:r>
              <w:rPr>
                <w:rFonts w:ascii="Arial" w:cs="Arial" w:eastAsia="Arial" w:hAnsi="Arial"/>
                <w:sz w:val="18"/>
                <w:szCs w:val="18"/>
                <w:b w:val="1"/>
                <w:bCs w:val="1"/>
                <w:color w:val="auto"/>
              </w:rPr>
              <w:t>Total income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13,246,997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13,407,337</w:t>
            </w:r>
          </w:p>
        </w:tc>
        <w:tc>
          <w:tcPr>
            <w:tcW w:w="0" w:type="dxa"/>
            <w:vAlign w:val="bottom"/>
          </w:tcPr>
          <w:p>
            <w:pPr>
              <w:spacing w:after="0"/>
              <w:rPr>
                <w:sz w:val="1"/>
                <w:szCs w:val="1"/>
                <w:color w:val="auto"/>
              </w:rPr>
            </w:pPr>
          </w:p>
        </w:tc>
      </w:tr>
      <w:tr>
        <w:trPr>
          <w:trHeight w:val="210"/>
        </w:trPr>
        <w:tc>
          <w:tcPr>
            <w:tcW w:w="59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Expenses</w:t>
            </w:r>
          </w:p>
        </w:tc>
        <w:tc>
          <w:tcPr>
            <w:tcW w:w="9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11,758,985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11,701,098</w:t>
            </w:r>
          </w:p>
        </w:tc>
        <w:tc>
          <w:tcPr>
            <w:tcW w:w="0" w:type="dxa"/>
            <w:vAlign w:val="bottom"/>
          </w:tcPr>
          <w:p>
            <w:pPr>
              <w:spacing w:after="0"/>
              <w:rPr>
                <w:sz w:val="1"/>
                <w:szCs w:val="1"/>
                <w:color w:val="auto"/>
              </w:rPr>
            </w:pPr>
          </w:p>
        </w:tc>
      </w:tr>
      <w:tr>
        <w:trPr>
          <w:trHeight w:val="216"/>
        </w:trPr>
        <w:tc>
          <w:tcPr>
            <w:tcW w:w="5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Management fees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811,758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809,547</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Trustee fees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89,309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88,963</w:t>
            </w:r>
          </w:p>
        </w:tc>
        <w:tc>
          <w:tcPr>
            <w:tcW w:w="0" w:type="dxa"/>
            <w:vAlign w:val="bottom"/>
          </w:tcPr>
          <w:p>
            <w:pPr>
              <w:spacing w:after="0"/>
              <w:rPr>
                <w:sz w:val="1"/>
                <w:szCs w:val="1"/>
                <w:color w:val="auto"/>
              </w:rPr>
            </w:pPr>
          </w:p>
        </w:tc>
      </w:tr>
      <w:tr>
        <w:trPr>
          <w:trHeight w:val="216"/>
        </w:trPr>
        <w:tc>
          <w:tcPr>
            <w:tcW w:w="594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Professional fees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143,068</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168,111</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Administrative and other</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73,964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99,110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Total expenses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12,877,084</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5"/>
              </w:rPr>
              <w:t>12,866,829</w:t>
            </w:r>
          </w:p>
        </w:tc>
        <w:tc>
          <w:tcPr>
            <w:tcW w:w="0" w:type="dxa"/>
            <w:vAlign w:val="bottom"/>
          </w:tcPr>
          <w:p>
            <w:pPr>
              <w:spacing w:after="0"/>
              <w:rPr>
                <w:sz w:val="1"/>
                <w:szCs w:val="1"/>
                <w:color w:val="auto"/>
              </w:rPr>
            </w:pPr>
          </w:p>
        </w:tc>
      </w:tr>
      <w:tr>
        <w:trPr>
          <w:trHeight w:val="20"/>
        </w:trPr>
        <w:tc>
          <w:tcPr>
            <w:tcW w:w="59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8"/>
                <w:szCs w:val="18"/>
                <w:color w:val="auto"/>
              </w:rPr>
              <w:t>Net realized and unrealized losses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(3,169,825)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(13,092,966)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7"/>
              </w:rPr>
              <w:t>$ (2,799,912)</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0"/>
              </w:rPr>
              <w:t>(12,552,458)</w:t>
            </w:r>
          </w:p>
        </w:tc>
        <w:tc>
          <w:tcPr>
            <w:tcW w:w="0" w:type="dxa"/>
            <w:vAlign w:val="bottom"/>
          </w:tcPr>
          <w:p>
            <w:pPr>
              <w:spacing w:after="0"/>
              <w:rPr>
                <w:sz w:val="1"/>
                <w:szCs w:val="1"/>
                <w:color w:val="auto"/>
              </w:rPr>
            </w:pPr>
          </w:p>
        </w:tc>
      </w:tr>
      <w:tr>
        <w:trPr>
          <w:trHeight w:val="20"/>
        </w:trPr>
        <w:tc>
          <w:tcPr>
            <w:tcW w:w="594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-1448435</wp:posOffset>
            </wp:positionV>
            <wp:extent cx="5213985"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4" w:name="page145"/>
    <w:bookmarkEnd w:id="14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STATEMENTS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Net Assets</w:t>
            </w:r>
          </w:p>
        </w:tc>
      </w:tr>
      <w:tr>
        <w:trPr>
          <w:trHeight w:val="210"/>
        </w:trPr>
        <w:tc>
          <w:tcPr>
            <w:tcW w:w="70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January 1, 2012</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20,887,309</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(12,552,458)</w:t>
            </w:r>
          </w:p>
        </w:tc>
      </w:tr>
      <w:tr>
        <w:trPr>
          <w:trHeight w:val="20"/>
        </w:trPr>
        <w:tc>
          <w:tcPr>
            <w:tcW w:w="7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0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December 31, 2012</w:t>
            </w: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8,334,851</w:t>
            </w: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(2,799,912)</w:t>
            </w:r>
          </w:p>
        </w:tc>
      </w:tr>
      <w:tr>
        <w:trPr>
          <w:trHeight w:val="20"/>
        </w:trPr>
        <w:tc>
          <w:tcPr>
            <w:tcW w:w="7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0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December 31, 2013</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5,534,939</w:t>
            </w:r>
          </w:p>
        </w:tc>
      </w:tr>
      <w:tr>
        <w:trPr>
          <w:trHeight w:val="20"/>
        </w:trPr>
        <w:tc>
          <w:tcPr>
            <w:tcW w:w="70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5" w:name="page146"/>
    <w:bookmarkEnd w:id="14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96"/>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(2,799,912)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(12,552,458)</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1"/>
              </w:rPr>
              <w:t>Adjustments to reconcile net income to net cash provided by operating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200"/>
              <w:spacing w:after="0"/>
              <w:rPr>
                <w:sz w:val="20"/>
                <w:szCs w:val="20"/>
                <w:color w:val="auto"/>
              </w:rPr>
            </w:pPr>
            <w:r>
              <w:rPr>
                <w:rFonts w:ascii="Arial" w:cs="Arial" w:eastAsia="Arial" w:hAnsi="Arial"/>
                <w:sz w:val="18"/>
                <w:szCs w:val="18"/>
                <w:b w:val="1"/>
                <w:bCs w:val="1"/>
                <w:color w:val="auto"/>
              </w:rPr>
              <w:t>activities: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realized and unrealized losses on investments</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(909,471)</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(16,364,401)</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Change in unrealized loss on debt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4,079,296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29,457,367</w:t>
            </w:r>
          </w:p>
        </w:tc>
        <w:tc>
          <w:tcPr>
            <w:tcW w:w="0" w:type="dxa"/>
            <w:vAlign w:val="bottom"/>
          </w:tcPr>
          <w:p>
            <w:pPr>
              <w:spacing w:after="0"/>
              <w:rPr>
                <w:sz w:val="1"/>
                <w:szCs w:val="1"/>
                <w:color w:val="auto"/>
              </w:rPr>
            </w:pPr>
          </w:p>
        </w:tc>
      </w:tr>
      <w:tr>
        <w:trPr>
          <w:trHeight w:val="216"/>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Changes in operating assets and liabilities:</w:t>
            </w: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Decrease in accrued interest receivable</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62,712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8,678</w:t>
            </w:r>
          </w:p>
        </w:tc>
        <w:tc>
          <w:tcPr>
            <w:tcW w:w="0" w:type="dxa"/>
            <w:vAlign w:val="bottom"/>
          </w:tcPr>
          <w:p>
            <w:pPr>
              <w:spacing w:after="0"/>
              <w:rPr>
                <w:sz w:val="1"/>
                <w:szCs w:val="1"/>
                <w:color w:val="auto"/>
              </w:rPr>
            </w:pPr>
          </w:p>
        </w:tc>
      </w:tr>
      <w:tr>
        <w:trPr>
          <w:trHeight w:val="216"/>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(10,580)</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(10,994)</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Increase (decrease) in payable for open trades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1,043,750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(1,870,440)</w:t>
            </w:r>
          </w:p>
        </w:tc>
        <w:tc>
          <w:tcPr>
            <w:tcW w:w="0" w:type="dxa"/>
            <w:vAlign w:val="bottom"/>
          </w:tcPr>
          <w:p>
            <w:pPr>
              <w:spacing w:after="0"/>
              <w:rPr>
                <w:sz w:val="1"/>
                <w:szCs w:val="1"/>
                <w:color w:val="auto"/>
              </w:rPr>
            </w:pPr>
          </w:p>
        </w:tc>
      </w:tr>
      <w:tr>
        <w:trPr>
          <w:trHeight w:val="216"/>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accrued interest expense</w:t>
            </w:r>
          </w:p>
        </w:tc>
        <w:tc>
          <w:tcPr>
            <w:tcW w:w="1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(108,626)</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340,175</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(116,281,142)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(101,848,974)</w:t>
            </w:r>
          </w:p>
        </w:tc>
        <w:tc>
          <w:tcPr>
            <w:tcW w:w="0" w:type="dxa"/>
            <w:vAlign w:val="bottom"/>
          </w:tcPr>
          <w:p>
            <w:pPr>
              <w:spacing w:after="0"/>
              <w:rPr>
                <w:sz w:val="1"/>
                <w:szCs w:val="1"/>
                <w:color w:val="auto"/>
              </w:rPr>
            </w:pPr>
          </w:p>
        </w:tc>
      </w:tr>
      <w:tr>
        <w:trPr>
          <w:trHeight w:val="216"/>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117,165,606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103,177,496</w:t>
            </w:r>
          </w:p>
        </w:tc>
        <w:tc>
          <w:tcPr>
            <w:tcW w:w="0" w:type="dxa"/>
            <w:vAlign w:val="bottom"/>
          </w:tcPr>
          <w:p>
            <w:pPr>
              <w:spacing w:after="0"/>
              <w:rPr>
                <w:sz w:val="1"/>
                <w:szCs w:val="1"/>
                <w:color w:val="auto"/>
              </w:rPr>
            </w:pPr>
          </w:p>
        </w:tc>
      </w:tr>
      <w:tr>
        <w:trPr>
          <w:trHeight w:val="20"/>
        </w:trPr>
        <w:tc>
          <w:tcPr>
            <w:tcW w:w="564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2,241,633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336,449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CHANGE IN CASH</w:t>
            </w: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2,241,633</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336,449</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CASH, BEGINNING OF YEAR</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13,018,610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12,682,161</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END OF YEAR</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15,260,243</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13,018,610</w:t>
            </w:r>
          </w:p>
        </w:tc>
        <w:tc>
          <w:tcPr>
            <w:tcW w:w="0" w:type="dxa"/>
            <w:vAlign w:val="bottom"/>
          </w:tcPr>
          <w:p>
            <w:pPr>
              <w:spacing w:after="0"/>
              <w:rPr>
                <w:sz w:val="1"/>
                <w:szCs w:val="1"/>
                <w:color w:val="auto"/>
              </w:rPr>
            </w:pPr>
          </w:p>
        </w:tc>
      </w:tr>
      <w:tr>
        <w:trPr>
          <w:trHeight w:val="210"/>
        </w:trPr>
        <w:tc>
          <w:tcPr>
            <w:tcW w:w="564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Supplemental Information:</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11,867,611</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11,360,923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-908685</wp:posOffset>
            </wp:positionV>
            <wp:extent cx="5213985"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-307975</wp:posOffset>
            </wp:positionV>
            <wp:extent cx="5213985" cy="1714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6" w:name="page147"/>
    <w:bookmarkEnd w:id="14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Fair Value</w:t>
            </w:r>
          </w:p>
        </w:tc>
      </w:tr>
      <w:tr>
        <w:trPr>
          <w:trHeight w:val="21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Acosta,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(2013)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$ 1,973,570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$ 1,988,570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1,989,852</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AdvancePierre Foods,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491,250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490,049</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Advantage Sales &amp; Marketing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8"/>
              </w:rPr>
              <w:t>2013 Term Loan (First Lien)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3,252,912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3,257,249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3,272,429</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AES Corporation,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2013 Other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1,521,064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1,521,064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1,533,111</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Alaska Communications Systems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3,078,978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3,058,621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3,078,053</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Holdings,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Allison Transmission,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204,456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193,153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205,670</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Allison Transmission,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B-3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3,077,619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3,034,747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3,095,900</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Alpha Topco Limited</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Facility B (USD)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3,439,099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3,411,637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3,480,179</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w w:val="97"/>
              </w:rPr>
              <w:t>Altegrity, Inc (f.k.a. US Investigations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384,419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384,419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376,730</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Services,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2/15</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AMC Entertainment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6,653,985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6,662,788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6,675,244</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w w:val="99"/>
              </w:rPr>
              <w:t>Aptalis Pharma Inc. (Aptalis Pharma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491,269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481,269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500,890</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Canada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LC-2 Facility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163,007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151,189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163,639</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1.8%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LC-3 Facility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21,980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21,785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22,035</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1.8%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U.S. Term B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1,360,339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1,180,638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1,365,610</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(Extending)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 C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272,850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270,420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273,532</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Armored AutoGroup Inc. (fka Viking</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486,859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487,427</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color w:val="auto"/>
              </w:rPr>
              <w:t>Acquisition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Personal and Non Durable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5"/>
        </w:trPr>
        <w:tc>
          <w:tcPr>
            <w:tcW w:w="2600" w:type="dxa"/>
            <w:vAlign w:val="bottom"/>
            <w:shd w:val="clear" w:color="auto" w:fill="CCFFCC"/>
          </w:tcPr>
          <w:p>
            <w:pPr>
              <w:ind w:left="20"/>
              <w:spacing w:after="0" w:line="235" w:lineRule="exact"/>
              <w:rPr>
                <w:sz w:val="20"/>
                <w:szCs w:val="20"/>
                <w:color w:val="auto"/>
              </w:rPr>
            </w:pPr>
            <w:r>
              <w:rPr>
                <w:rFonts w:ascii="Arial" w:cs="Arial" w:eastAsia="Arial" w:hAnsi="Arial"/>
                <w:sz w:val="16"/>
                <w:szCs w:val="16"/>
                <w:color w:val="auto"/>
              </w:rPr>
              <w:t>Armstrong World Industries, Inc.</w:t>
            </w:r>
            <w:r>
              <w:rPr>
                <w:rFonts w:ascii="Arial" w:cs="Arial" w:eastAsia="Arial" w:hAnsi="Arial"/>
                <w:sz w:val="27"/>
                <w:szCs w:val="27"/>
                <w:color w:val="auto"/>
                <w:vertAlign w:val="superscript"/>
              </w:rPr>
              <w:t>(3)</w:t>
            </w:r>
          </w:p>
        </w:tc>
        <w:tc>
          <w:tcPr>
            <w:tcW w:w="160" w:type="dxa"/>
            <w:vAlign w:val="bottom"/>
            <w:shd w:val="clear" w:color="auto" w:fill="CCFFCC"/>
          </w:tcPr>
          <w:p>
            <w:pPr>
              <w:spacing w:after="0"/>
              <w:rPr>
                <w:sz w:val="20"/>
                <w:szCs w:val="20"/>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B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992,500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993,741</w:t>
            </w:r>
          </w:p>
        </w:tc>
      </w:tr>
      <w:tr>
        <w:trPr>
          <w:trHeight w:val="254"/>
        </w:trPr>
        <w:tc>
          <w:tcPr>
            <w:tcW w:w="2600" w:type="dxa"/>
            <w:vAlign w:val="bottom"/>
            <w:shd w:val="clear" w:color="auto" w:fill="CCFFCC"/>
          </w:tcPr>
          <w:p>
            <w:pPr>
              <w:ind w:left="200"/>
              <w:spacing w:after="0" w:line="254" w:lineRule="exact"/>
              <w:rPr>
                <w:sz w:val="20"/>
                <w:szCs w:val="20"/>
                <w:color w:val="auto"/>
              </w:rPr>
            </w:pPr>
            <w:r>
              <w:rPr>
                <w:rFonts w:ascii="Arial" w:cs="Arial" w:eastAsia="Arial" w:hAnsi="Arial"/>
                <w:sz w:val="16"/>
                <w:szCs w:val="16"/>
                <w:i w:val="1"/>
                <w:iCs w:val="1"/>
                <w:color w:val="auto"/>
              </w:rPr>
              <w:t>Buildings and Real Estate</w:t>
            </w:r>
            <w:r>
              <w:rPr>
                <w:rFonts w:ascii="Arial" w:cs="Arial" w:eastAsia="Arial" w:hAnsi="Arial"/>
                <w:sz w:val="27"/>
                <w:szCs w:val="27"/>
                <w:color w:val="auto"/>
                <w:vertAlign w:val="superscript"/>
              </w:rPr>
              <w:t>(3)</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Asurion, LLC (fka Asurion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Tranche B-1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991,584</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color w:val="auto"/>
              </w:rPr>
              <w:t>Corporation)</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Insurance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Aurora Diagnostics,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455,556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455,769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425,518</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Avis Budget Car Rental,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1,576,711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1,568,193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1,577,302</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Personal Transportation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Berry Plastics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C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2,860,149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2,704,448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2,861,736</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Containers, Packaging and Glass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Biomet,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Dollar 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2,879,962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2,838,076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2,901,864</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0"/>
          <w:szCs w:val="20"/>
          <w:color w:val="auto"/>
        </w:rPr>
      </w:pPr>
    </w:p>
    <w:p>
      <w:pPr>
        <w:spacing w:after="0" w:line="3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478"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8"/>
              </w:rPr>
              <w:t>Bragg Communications Incorporated</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B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$ 5,716,515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$ 5,770,770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5,732,007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Burger King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3,653,750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3,644,500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3,675,563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(2012)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9/19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Burlington Coat Factory Warehouse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2,602,937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2,573,187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2,630,593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Corporation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BWay Holding Company</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997,272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Containers, Packaging and Glass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Calpine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(3/11)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972,500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980,917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Calpine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(6/11)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2,925,000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2,902,613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2,950,316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Capital Automotive L.P.</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B-1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1,320,439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1,301,514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1,330,342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Facility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Capsugel Holdings US,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796,029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791,042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797,526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6"/>
              </w:rPr>
              <w:t>Catalent Pharma Solutions, Inc. (f/k/a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Borrowing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249,375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254,531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Cardinal Health 409,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7"/>
              </w:rPr>
              <w:t>CBRE Services, Inc. (fka CB Richard</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1,588,000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1,568,100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1,596,933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tcPr>
          <w:p>
            <w:pPr>
              <w:ind w:left="180"/>
              <w:spacing w:after="0" w:line="242" w:lineRule="exact"/>
              <w:rPr>
                <w:sz w:val="20"/>
                <w:szCs w:val="20"/>
                <w:color w:val="auto"/>
              </w:rPr>
            </w:pPr>
            <w:r>
              <w:rPr>
                <w:rFonts w:ascii="Arial" w:cs="Arial" w:eastAsia="Arial" w:hAnsi="Arial"/>
                <w:sz w:val="16"/>
                <w:szCs w:val="16"/>
                <w:color w:val="auto"/>
              </w:rPr>
              <w:t>Ellis Services, Inc.).</w:t>
            </w:r>
            <w:r>
              <w:rPr>
                <w:rFonts w:ascii="Arial" w:cs="Arial" w:eastAsia="Arial" w:hAnsi="Arial"/>
                <w:sz w:val="27"/>
                <w:szCs w:val="27"/>
                <w:color w:val="auto"/>
                <w:vertAlign w:val="superscript"/>
              </w:rPr>
              <w:t>(3)</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2.9%</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3/21</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80" w:type="dxa"/>
            <w:vAlign w:val="bottom"/>
            <w:gridSpan w:val="2"/>
          </w:tcPr>
          <w:p>
            <w:pPr>
              <w:ind w:left="180"/>
              <w:spacing w:after="0" w:line="254" w:lineRule="exact"/>
              <w:rPr>
                <w:sz w:val="20"/>
                <w:szCs w:val="20"/>
                <w:color w:val="auto"/>
              </w:rPr>
            </w:pPr>
            <w:r>
              <w:rPr>
                <w:rFonts w:ascii="Arial" w:cs="Arial" w:eastAsia="Arial" w:hAnsi="Arial"/>
                <w:sz w:val="16"/>
                <w:szCs w:val="16"/>
                <w:i w:val="1"/>
                <w:iCs w:val="1"/>
                <w:color w:val="auto"/>
              </w:rPr>
              <w:t>Buildings and Real Estate</w:t>
            </w:r>
            <w:r>
              <w:rPr>
                <w:rFonts w:ascii="Arial" w:cs="Arial" w:eastAsia="Arial" w:hAnsi="Arial"/>
                <w:sz w:val="27"/>
                <w:szCs w:val="27"/>
                <w:color w:val="auto"/>
                <w:vertAlign w:val="superscript"/>
              </w:rPr>
              <w:t>(3)</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Cedar Fair, L.P.</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 Facility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982,302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979,802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987,827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Celanese US Holdings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Dollar Term C-2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1,277,043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1,290,595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1,293,722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Commitment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Cequel Communications,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1,965,000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1,945,000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1,971,347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9"/>
              </w:rPr>
              <w:t>Charter Communications Operating,</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F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1,514,141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1,435,270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1,505,389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LLC</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3.0% Cash, Due 12/20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Chrysler Group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B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2,929,887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2,718,094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2,954,908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4"/>
              </w:rPr>
              <w:t>CHS/Community Health Systems,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Extended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4,510,815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4,435,896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4,552,743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Cinemark USA,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2,970,000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2,980,000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2,982,994</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Consolidated Communications,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2,977,348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2,949,848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3,005,261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Covanta Energy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977,500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992,325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Ecological</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580" w:type="dxa"/>
            <w:vAlign w:val="bottom"/>
            <w:gridSpan w:val="2"/>
          </w:tcPr>
          <w:p>
            <w:pPr>
              <w:spacing w:after="0" w:line="232" w:lineRule="exact"/>
              <w:rPr>
                <w:sz w:val="20"/>
                <w:szCs w:val="20"/>
                <w:color w:val="auto"/>
              </w:rPr>
            </w:pPr>
            <w:r>
              <w:rPr>
                <w:rFonts w:ascii="Arial" w:cs="Arial" w:eastAsia="Arial" w:hAnsi="Arial"/>
                <w:sz w:val="16"/>
                <w:szCs w:val="16"/>
                <w:color w:val="auto"/>
                <w:w w:val="96"/>
              </w:rPr>
              <w:t>Crown Castle Operating Company</w:t>
            </w:r>
            <w:r>
              <w:rPr>
                <w:rFonts w:ascii="Arial" w:cs="Arial" w:eastAsia="Arial" w:hAnsi="Arial"/>
                <w:sz w:val="26"/>
                <w:szCs w:val="26"/>
                <w:color w:val="auto"/>
                <w:w w:val="96"/>
                <w:vertAlign w:val="superscript"/>
              </w:rPr>
              <w:t>(3)</w:t>
            </w:r>
          </w:p>
        </w:tc>
        <w:tc>
          <w:tcPr>
            <w:tcW w:w="16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Tranche B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2,947,700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2,932,700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2,957,987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gridSpan w:val="2"/>
          </w:tcPr>
          <w:p>
            <w:pPr>
              <w:ind w:left="180"/>
              <w:spacing w:after="0" w:line="203"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(3)</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David's Bridal,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497,787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8"/>
              </w:rPr>
              <w:t>DaVita HealthCare Partners Inc. (fka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1,940,000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1,961,196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1,956,248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DaVita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-7971155</wp:posOffset>
            </wp:positionV>
            <wp:extent cx="52139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360" w:type="dxa"/>
            <w:vAlign w:val="bottom"/>
            <w:tcBorders>
              <w:bottom w:val="single" w:sz="8" w:color="auto"/>
            </w:tcBorders>
            <w:gridSpan w:val="2"/>
          </w:tcPr>
          <w:p>
            <w:pPr>
              <w:ind w:left="42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Del Monte Foods Company</w:t>
            </w:r>
          </w:p>
        </w:tc>
        <w:tc>
          <w:tcPr>
            <w:tcW w:w="160" w:type="dxa"/>
            <w:vAlign w:val="bottom"/>
            <w:shd w:val="clear" w:color="auto" w:fill="CCFFCC"/>
          </w:tcPr>
          <w:p>
            <w:pPr>
              <w:spacing w:after="0"/>
              <w:rPr>
                <w:sz w:val="16"/>
                <w:szCs w:val="16"/>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$ 2,789,388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$ 2,793,119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2,803,321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4.0%</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Dex Media West LLC</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New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907,969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788,709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714,522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8.0%</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12/16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DineEquity, Inc.</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Term B-2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291,528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291,528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293,093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3"/>
              </w:rPr>
              <w:t>Personal, Food and Miscellaneous</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3.8%</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DJO Finance LLC (ReAble</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1,984,962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2,014,887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2,009,576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color w:val="auto"/>
              </w:rPr>
              <w:t>Therapeutics Fin LLC)</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4.8%</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9/17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Drumm Investors LLC (aka Golden</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4,320,829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4,276,059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4,249,535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Living)</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5.0%</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9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Dunkin' Brands, Inc.</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Term B-3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2,139,495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2,139,495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2,149,519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w w:val="93"/>
              </w:rPr>
              <w:t>Personal, Food and Miscellaneous</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3.8%</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2/20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Education Management LLC</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Tranche C-2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1,549,002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1,519,317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1,491,077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4.3%</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Epicor Software Corporation</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Term B-1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1,924,301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1,904,401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1,936,568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color w:val="auto"/>
              </w:rPr>
              <w:t>(fka Eagle Parent Inc.)</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4.5%</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4"/>
              </w:rPr>
              <w:t>EquiPower Resources Holdings, LLC</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Term B Advance (First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1,463,010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1,440,510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1,471,240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Lien)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4.3%</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Essential Power, LLC</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952,196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937,196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923,630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4.3%</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Federal-Mogul Corporation</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1,170,287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1,140,992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1,158,402</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2.1%</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Federal-Mogul Corporation</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417,107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408,055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412,872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2.1%</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12/15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General Nutrition Centers, Inc.</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Amended Tranche B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999,090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1,004,087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997,007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3.3%</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Genpact Limited</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495,013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492,513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497,074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Diversified/Conglomerate Service</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3.5%</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Gentiva Health Services, Inc.</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Initial 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3,424,646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3,424,646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3,394,698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6.5%</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Getty Images, Inc.</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2,970,000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2,778,287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4.8%</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FFCC"/>
          </w:tcPr>
          <w:p>
            <w:pPr>
              <w:spacing w:after="0"/>
              <w:rPr>
                <w:sz w:val="20"/>
                <w:szCs w:val="20"/>
                <w:color w:val="auto"/>
              </w:rPr>
            </w:pPr>
          </w:p>
        </w:tc>
        <w:tc>
          <w:tcPr>
            <w:tcW w:w="2500" w:type="dxa"/>
            <w:vAlign w:val="bottom"/>
            <w:gridSpan w:val="2"/>
            <w:shd w:val="clear" w:color="auto" w:fill="CCFFCC"/>
          </w:tcPr>
          <w:p>
            <w:pPr>
              <w:spacing w:after="0" w:line="236" w:lineRule="exact"/>
              <w:rPr>
                <w:sz w:val="20"/>
                <w:szCs w:val="20"/>
                <w:color w:val="auto"/>
              </w:rPr>
            </w:pPr>
            <w:r>
              <w:rPr>
                <w:rFonts w:ascii="Arial" w:cs="Arial" w:eastAsia="Arial" w:hAnsi="Arial"/>
                <w:sz w:val="16"/>
                <w:szCs w:val="16"/>
                <w:color w:val="auto"/>
                <w:w w:val="97"/>
              </w:rPr>
              <w:t>Graceway Pharmaceuticals, LLC</w:t>
            </w:r>
            <w:r>
              <w:rPr>
                <w:rFonts w:ascii="Arial" w:cs="Arial" w:eastAsia="Arial" w:hAnsi="Arial"/>
                <w:sz w:val="27"/>
                <w:szCs w:val="27"/>
                <w:color w:val="auto"/>
                <w:w w:val="97"/>
                <w:vertAlign w:val="superscript"/>
              </w:rPr>
              <w:t>(2)</w:t>
            </w:r>
          </w:p>
        </w:tc>
        <w:tc>
          <w:tcPr>
            <w:tcW w:w="160" w:type="dxa"/>
            <w:vAlign w:val="bottom"/>
            <w:shd w:val="clear" w:color="auto" w:fill="CCFFCC"/>
          </w:tcPr>
          <w:p>
            <w:pPr>
              <w:spacing w:after="0"/>
              <w:rPr>
                <w:sz w:val="20"/>
                <w:szCs w:val="20"/>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Term B Loan (First Lien) Sold</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29,332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30,751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32,412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Out 09/28/2012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7.0%</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5/12</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rPr>
              <w:t>Grifols Inc.</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New U.S. Tranche B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969,247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959,297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976,865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4.3%</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6/17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Hamilton Lane Advisors, L.L.C.</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862,907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852,907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869,379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5.3%</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w w:val="96"/>
              </w:rPr>
              <w:t>Harlan Laboratories, Inc. (fka Harlan</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3,262,842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2,902,052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2,936,558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color w:val="auto"/>
              </w:rPr>
              <w:t>Sprague Dawley, Inc.)</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5.8%</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7/14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9"/>
              </w:rPr>
              <w:t>Harland Clarke Holdings Corp. (fka</w:t>
            </w:r>
          </w:p>
        </w:tc>
        <w:tc>
          <w:tcPr>
            <w:tcW w:w="160" w:type="dxa"/>
            <w:vAlign w:val="bottom"/>
            <w:shd w:val="clear" w:color="auto" w:fill="CCFFCC"/>
          </w:tcPr>
          <w:p>
            <w:pPr>
              <w:spacing w:after="0"/>
              <w:rPr>
                <w:sz w:val="17"/>
                <w:szCs w:val="17"/>
                <w:color w:val="auto"/>
              </w:rPr>
            </w:pPr>
          </w:p>
        </w:tc>
        <w:tc>
          <w:tcPr>
            <w:tcW w:w="236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Tranche B-2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871,597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740,208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880,857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Clarke American Corp.)</w:t>
            </w:r>
          </w:p>
        </w:tc>
        <w:tc>
          <w:tcPr>
            <w:tcW w:w="60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93"/>
              </w:rPr>
              <w:t>5.5%</w:t>
            </w:r>
          </w:p>
        </w:tc>
        <w:tc>
          <w:tcPr>
            <w:tcW w:w="19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0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gridSpan w:val="2"/>
          </w:tcPr>
          <w:p>
            <w:pPr>
              <w:spacing w:after="0"/>
              <w:rPr>
                <w:sz w:val="20"/>
                <w:szCs w:val="20"/>
                <w:color w:val="auto"/>
              </w:rPr>
            </w:pPr>
            <w:r>
              <w:rPr>
                <w:rFonts w:ascii="Arial" w:cs="Arial" w:eastAsia="Arial" w:hAnsi="Arial"/>
                <w:sz w:val="16"/>
                <w:szCs w:val="16"/>
                <w:color w:val="auto"/>
                <w:w w:val="99"/>
              </w:rPr>
              <w:t>Harland Clarke Holdings Corp. (fka</w:t>
            </w:r>
          </w:p>
        </w:tc>
        <w:tc>
          <w:tcPr>
            <w:tcW w:w="160" w:type="dxa"/>
            <w:vAlign w:val="bottom"/>
          </w:tcPr>
          <w:p>
            <w:pPr>
              <w:spacing w:after="0"/>
              <w:rPr>
                <w:sz w:val="16"/>
                <w:szCs w:val="16"/>
                <w:color w:val="auto"/>
              </w:rPr>
            </w:pPr>
          </w:p>
        </w:tc>
        <w:tc>
          <w:tcPr>
            <w:tcW w:w="2360" w:type="dxa"/>
            <w:vAlign w:val="bottom"/>
            <w:gridSpan w:val="2"/>
          </w:tcPr>
          <w:p>
            <w:pPr>
              <w:ind w:left="80"/>
              <w:spacing w:after="0"/>
              <w:rPr>
                <w:sz w:val="20"/>
                <w:szCs w:val="20"/>
                <w:color w:val="auto"/>
              </w:rPr>
            </w:pPr>
            <w:r>
              <w:rPr>
                <w:rFonts w:ascii="Arial" w:cs="Arial" w:eastAsia="Arial" w:hAnsi="Arial"/>
                <w:sz w:val="16"/>
                <w:szCs w:val="16"/>
                <w:color w:val="auto"/>
              </w:rPr>
              <w:t>Tranche B-3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993,711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993,711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1,002,937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color w:val="auto"/>
              </w:rPr>
              <w:t>Clarke American Corp.)</w:t>
            </w:r>
          </w:p>
        </w:tc>
        <w:tc>
          <w:tcPr>
            <w:tcW w:w="600" w:type="dxa"/>
            <w:vAlign w:val="bottom"/>
            <w:gridSpan w:val="2"/>
          </w:tcPr>
          <w:p>
            <w:pPr>
              <w:ind w:left="240"/>
              <w:spacing w:after="0"/>
              <w:rPr>
                <w:sz w:val="20"/>
                <w:szCs w:val="20"/>
                <w:color w:val="auto"/>
              </w:rPr>
            </w:pPr>
            <w:r>
              <w:rPr>
                <w:rFonts w:ascii="Arial" w:cs="Arial" w:eastAsia="Arial" w:hAnsi="Arial"/>
                <w:sz w:val="16"/>
                <w:szCs w:val="16"/>
                <w:color w:val="auto"/>
                <w:w w:val="93"/>
              </w:rPr>
              <w:t>7.0%</w:t>
            </w:r>
          </w:p>
        </w:tc>
        <w:tc>
          <w:tcPr>
            <w:tcW w:w="192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-8176895</wp:posOffset>
            </wp:positionV>
            <wp:extent cx="521398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058"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HCA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B-4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$ 2,992,500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$ 2,970,355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2,997,797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HCR ManorCare, Inc. (fka HCR</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486,250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481,288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479,868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Healthcare, LLC)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8"/>
              </w:rPr>
              <w:t>Health Management Associates,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Replacement 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2,412,344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2,387,344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2,415,794</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Hertz Corporation,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3,974,962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3,972,462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3,990,862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Transportation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Hertz Corporation, The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B-2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972,650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967,688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973,336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Personal Transportation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Hillman Group, Inc.,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965,555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970,327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971,889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9"/>
              </w:rPr>
              <w:t>Machinery (Non-Agriculture, Non-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Construction,</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Non-Electronic)</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Huntsman International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Extended 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2,290,204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2,162,053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2,295,460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Ina Beteiligungsgesellschaft Mit</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Facility C (USD)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3,018,750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3,030,615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Beschrankter Haftung (fka</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Schaeffler AG)</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Ineos US Finance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Cash Dollar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3,974,870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3,989,870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3,995,579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7"/>
              </w:rPr>
              <w:t>Infor (US), Inc. (fka Lawson Software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2,447,816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2,464,733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2,459,798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International Architectural Products,</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81,467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74,587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04"/>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line="203" w:lineRule="exact"/>
              <w:rPr>
                <w:sz w:val="20"/>
                <w:szCs w:val="20"/>
                <w:color w:val="auto"/>
              </w:rPr>
            </w:pPr>
            <w:r>
              <w:rPr>
                <w:rFonts w:ascii="Arial" w:cs="Arial" w:eastAsia="Arial" w:hAnsi="Arial"/>
                <w:sz w:val="23"/>
                <w:szCs w:val="23"/>
                <w:color w:val="auto"/>
                <w:vertAlign w:val="subscript"/>
              </w:rPr>
              <w:t>Inc.</w:t>
            </w:r>
            <w:r>
              <w:rPr>
                <w:rFonts w:ascii="Arial" w:cs="Arial" w:eastAsia="Arial" w:hAnsi="Arial"/>
                <w:sz w:val="11"/>
                <w:szCs w:val="11"/>
                <w:color w:val="auto"/>
              </w:rPr>
              <w:t>(2),(5)</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12.0% Cash, 3.3% PIK, Due</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FFCC"/>
          </w:tcPr>
          <w:p>
            <w:pPr>
              <w:spacing w:after="0"/>
              <w:rPr>
                <w:sz w:val="21"/>
                <w:szCs w:val="21"/>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5/15</w:t>
            </w:r>
          </w:p>
        </w:tc>
        <w:tc>
          <w:tcPr>
            <w:tcW w:w="18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J. Crew Group,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3,950,000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3,960,000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3,979,605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Jarden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New 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1,945,037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1,960,897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1,947,623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JBS USA,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975,150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970,175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975,735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JMC Steel Group,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1,469,819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1,462,319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1,476,852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Jo-Ann Stores,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994,987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999,987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999,341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KAR Auction Services,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3,800,649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3,870,148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3,824,992</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KCG Holdings,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878,505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881,005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882,897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Key Safety Systems,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1,384,813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1,344,819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1,387,028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Kronos Incorporated</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Term Loan (First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989,676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984,676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1,000,196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w w:val="97"/>
              </w:rPr>
              <w:t>Lien) — 4.5% 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1"/>
              </w:rPr>
              <w:t>Landry's Inc. (fka Landry's Restaurants,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2,894,401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2,935,651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2,920,625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Las Vegas Sands,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3,266,934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3,148,705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3,269,662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Live Nation Entertainment,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482,553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483,369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485,169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-8051800</wp:posOffset>
            </wp:positionV>
            <wp:extent cx="521398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FFCC"/>
          </w:tcPr>
          <w:p>
            <w:pPr>
              <w:spacing w:after="0"/>
              <w:rPr>
                <w:sz w:val="19"/>
                <w:szCs w:val="19"/>
                <w:color w:val="auto"/>
              </w:rPr>
            </w:pPr>
          </w:p>
        </w:tc>
        <w:tc>
          <w:tcPr>
            <w:tcW w:w="2580" w:type="dxa"/>
            <w:vAlign w:val="bottom"/>
            <w:gridSpan w:val="2"/>
            <w:shd w:val="clear" w:color="auto" w:fill="CCFFCC"/>
          </w:tcPr>
          <w:p>
            <w:pPr>
              <w:spacing w:after="0" w:line="227" w:lineRule="exact"/>
              <w:rPr>
                <w:sz w:val="20"/>
                <w:szCs w:val="20"/>
                <w:color w:val="auto"/>
              </w:rPr>
            </w:pPr>
            <w:r>
              <w:rPr>
                <w:rFonts w:ascii="Arial" w:cs="Arial" w:eastAsia="Arial" w:hAnsi="Arial"/>
                <w:sz w:val="16"/>
                <w:szCs w:val="16"/>
                <w:color w:val="auto"/>
              </w:rPr>
              <w:t>Longview Power, LLC</w:t>
            </w:r>
            <w:r>
              <w:rPr>
                <w:rFonts w:ascii="Arial" w:cs="Arial" w:eastAsia="Arial" w:hAnsi="Arial"/>
                <w:sz w:val="26"/>
                <w:szCs w:val="26"/>
                <w:color w:val="auto"/>
                <w:vertAlign w:val="superscript"/>
              </w:rPr>
              <w:t>(2)</w:t>
            </w:r>
          </w:p>
        </w:tc>
        <w:tc>
          <w:tcPr>
            <w:tcW w:w="160" w:type="dxa"/>
            <w:vAlign w:val="bottom"/>
            <w:shd w:val="clear" w:color="auto" w:fill="CCFFCC"/>
          </w:tcPr>
          <w:p>
            <w:pPr>
              <w:spacing w:after="0"/>
              <w:rPr>
                <w:sz w:val="19"/>
                <w:szCs w:val="19"/>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2017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822,784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722,082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421,677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7.2%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Longview Power,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w w:val="99"/>
              </w:rPr>
              <w:t>DIP Delay Draw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2,822,000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2,822,000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2,889,018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.9% Cash, Due 11/15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LPL Holdings,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Incremental Tranche B</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1,965,150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1,955,150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1,966,791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5"/>
              </w:rPr>
              <w:t>Term</w:t>
            </w: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 3.3% Cash, Due 3/19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Mackinaw Power Holdings,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1,551,020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1,491,973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1,535,510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1.7%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MCC Iowa LLC (Mediacom</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D-1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961,240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923,594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957,636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Broadband Group)</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1.9%</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1/15</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Michael Foods Group, Inc. (f/k/a M-</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Facility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3,227,495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3,266,657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3,230,077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Foods Holdings,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MultiPlan,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876,468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889,731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883,589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Munder Capital Management</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13,213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11,563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National CineMedia,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2.9%</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NBTY,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1,342,239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1,355,912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1,353,024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Newsday,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2,250,000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2,268,750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2,258,438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Novelis,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2,948,389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3,006,983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2,963,131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Mining, Steel, Iron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Non-Precious Metals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NRG Energy,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975,131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972,644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974,195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Nuveen Investments,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First-Lien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3,803,194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3,778,940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3,793,686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4.2% Cash, Due 5/17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Ocwen Loan Servicing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2,992,462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3,033,712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3,034,731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OSI Restaurant Partners,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2013 Replacement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1,402,500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1,387,500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1,405,831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Pantry, Inc., The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2,962,500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2,932,500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3,005,678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Party City Holdings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2013 Replacement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493,763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488,763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496,656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Retail Stores</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PetCo Animal Supplies,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New Loans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3,414,596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3,414,596</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3,437,286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Petroleum GEO-Services ASA/PGS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1,568,444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1,548,839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1,584,623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Finance,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1.9%</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Oil and Gas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PQ Corporation (fka Niagara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1,980,000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1,965,000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1,997,078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Acquisition,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Progressive Waste Solutions Ltd.</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742,500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738,750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744,820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Ecological</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FFCC"/>
          </w:tcPr>
          <w:p>
            <w:pPr>
              <w:spacing w:after="0"/>
              <w:rPr>
                <w:sz w:val="20"/>
                <w:szCs w:val="20"/>
                <w:color w:val="auto"/>
              </w:rPr>
            </w:pPr>
          </w:p>
        </w:tc>
        <w:tc>
          <w:tcPr>
            <w:tcW w:w="2580" w:type="dxa"/>
            <w:vAlign w:val="bottom"/>
            <w:gridSpan w:val="2"/>
            <w:shd w:val="clear" w:color="auto" w:fill="CCFFCC"/>
          </w:tcPr>
          <w:p>
            <w:pPr>
              <w:spacing w:after="0" w:line="236" w:lineRule="exact"/>
              <w:rPr>
                <w:sz w:val="20"/>
                <w:szCs w:val="20"/>
                <w:color w:val="auto"/>
              </w:rPr>
            </w:pPr>
            <w:r>
              <w:rPr>
                <w:rFonts w:ascii="Arial" w:cs="Arial" w:eastAsia="Arial" w:hAnsi="Arial"/>
                <w:sz w:val="16"/>
                <w:szCs w:val="16"/>
                <w:color w:val="auto"/>
              </w:rPr>
              <w:t>QCE, LLC (Quiznos)</w:t>
            </w:r>
            <w:r>
              <w:rPr>
                <w:rFonts w:ascii="Arial" w:cs="Arial" w:eastAsia="Arial" w:hAnsi="Arial"/>
                <w:sz w:val="27"/>
                <w:szCs w:val="27"/>
                <w:color w:val="auto"/>
                <w:vertAlign w:val="superscript"/>
              </w:rPr>
              <w:t>(2)</w:t>
            </w:r>
          </w:p>
        </w:tc>
        <w:tc>
          <w:tcPr>
            <w:tcW w:w="160" w:type="dxa"/>
            <w:vAlign w:val="bottom"/>
            <w:shd w:val="clear" w:color="auto" w:fill="CCFFCC"/>
          </w:tcPr>
          <w:p>
            <w:pPr>
              <w:spacing w:after="0"/>
              <w:rPr>
                <w:sz w:val="20"/>
                <w:szCs w:val="20"/>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798,478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707,126</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348,935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9.0%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R.H. Donnelley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490,513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366,193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300,966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9.8%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-8074025</wp:posOffset>
            </wp:positionV>
            <wp:extent cx="521398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Regal Cinemas Corporation</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981,164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988,039</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986,506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Remy International,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2013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537,971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536,613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542,345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Revlon Consumer Products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Replacement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3,535,625</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3,527,353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Corporation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Reynolds Group Holdings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w w:val="97"/>
              </w:rPr>
              <w:t>Incremental U.S.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2,133,450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2,133,450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2,155,990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Containers, Packaging and Glass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RGIS Services,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Extended 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2,006,777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1,933,262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1,975,421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RGIS Services,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645,076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652,388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638,222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Roundy's Supermarkets,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2,296,549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2,251,549</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2,300,143</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Rovi Solutions Corporation/Rovi</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B-3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448,150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445,650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Guides,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RPI Finance Trust</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B-2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1,930,261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1,920,311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1,941,727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SBA Senior Finance II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Tranche B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91,643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91,018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92,368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3.8% Cash, Due 9/19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SBA Senior Finance II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361,058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358,570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363,316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6"/>
              </w:rPr>
              <w:t>Seaworld Parks &amp; Entertainment,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927,912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915,422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918,633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(f/k/a SW Acquisitions Co.,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Select Medical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Series C Tranche B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2,274,479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2,224,729</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2,284,441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 4.0% Cash, Due 6/18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1"/>
              </w:rPr>
              <w:t>Semiconductor Components Industries,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2,718,750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2,598,750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2,691,563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LLC (On Semiconductor)</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Seminole Tribe of Florida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2,842,500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2,842,500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2,843,836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9"/>
              </w:rPr>
              <w:t>Sensata Technologies B.V./Sensata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680,567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665,642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687,492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w w:val="93"/>
              </w:rPr>
              <w:t>Technology Finance Company, LLC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Serena Software,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7"/>
              </w:rPr>
              <w:t>2016 Term Loan (Extended)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1,992,500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1,985,000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ServiceMaster Company,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2,481,203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2,515,578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2,461,664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Sinclair Television Group,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New 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68,358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58,358</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68,016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Six Flags Theme Parks,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1,675,481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1,696,106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1,683,105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Skilled Healthcare Group,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854,686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877,211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855,045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Spectrum Brands,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A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2,943,750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2,928,750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2,954,244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9/17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-7636510</wp:posOffset>
            </wp:positionV>
            <wp:extent cx="521398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Spirit Aerosystems, Inc. (fka Mid-</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$ 2,456,250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$ 2,443,750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2,472,756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Western Aircraft Systems,Inc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Onex Wind Finance LP.)</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SRAM,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821,346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816,475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822,714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6"/>
              </w:rPr>
              <w:t>SS&amp;C Technologies Holdings Europe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Replacement Term B-2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66,335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65,398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66,553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S.A.R.L.</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 3.3% Cash, Due 6/19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SS&amp;C Technologies, Inc.,/Sunshine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2013 Replacement Term B-1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641,238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632,176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643,342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Acquisition II, Inc.</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3.3% Cash, Due 6/19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SunCoke Energy,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76,025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71,038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75,881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SunGard Data Systems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E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4,538,683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4,475,604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4,575,560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(Solar Capital Corp.)</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Telesat Canada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 B-2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985,056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980,056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988,952</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Tesoro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198,750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198,750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199,660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Oil and Gas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2.4%</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Toys 'R' Us-Delaware,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1,902,743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1,911,493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1,726,054</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9/16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TPF Generation Holdings,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192,257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183,782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193,699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TransDigm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1,945,275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1,945,275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1,953,018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7"/>
              </w:rPr>
              <w:t>Tronox Pigments (Netherlands) B. V.</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2,550,754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2,520,218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2,588,377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8"/>
              </w:rPr>
              <w:t>TW Telecom Holdings Inc. (fka Time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2,408,018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2,415,166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2,408,030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Warner Telecom Holdings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TWCC Holding Corp.</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3,322,949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3,322,949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3,340,328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Univar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3,157,608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3,164,666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3,138,094</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Universal Health Services,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B-1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343,750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358,144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345,254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2.4%</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Univision Communications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Converted Extended</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3,306,966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3,223,610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3,327,899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First-Lien Term 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UPC Financing Partnership</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Facility AH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706,125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699,825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6/21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Valleycrest Companies LLC (VCC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1,732,305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1,695,710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1,745,297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Holdco II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Vertafore,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952,048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952,048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952,810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VFH Parent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998,333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1,013,308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1,007,483</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4"/>
              </w:rPr>
              <w:t>Walter Investment Management Corp.</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w w:val="95"/>
              </w:rPr>
              <w:t>Tranche B Term Loan (2013)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2,585,592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2,570,592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2,595,935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Wendy's International,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1,360,939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1,340,939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1,364,709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-7769225</wp:posOffset>
            </wp:positionV>
            <wp:extent cx="521398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WESCO Distribution,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B-1 Loan —</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249,643</w:t>
            </w:r>
          </w:p>
        </w:tc>
        <w:tc>
          <w:tcPr>
            <w:tcW w:w="40" w:type="dxa"/>
            <w:vAlign w:val="bottom"/>
            <w:shd w:val="clear" w:color="auto" w:fill="CCFFCC"/>
          </w:tcPr>
          <w:p>
            <w:pPr>
              <w:spacing w:after="0"/>
              <w:rPr>
                <w:sz w:val="16"/>
                <w:szCs w:val="16"/>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239,643</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251,359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3"/>
              </w:rPr>
              <w:t>Machinery (Non-Agriculture, Non-</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3.8%</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12/19</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Construction, Non-Electronic)</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West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B-7 Loan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1,968,838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1,968,838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1,982,531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w w:val="94"/>
              </w:rPr>
              <w:t>Diversified/Conglomerate Service</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3.3%</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West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B-8 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2,021,769</w:t>
            </w: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2,033,211</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2,033,829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4"/>
              </w:rPr>
              <w:t>Diversified/Conglomerate Service</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3.8%</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WideOpenWest Finance,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B-1 Loan 2013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3,223,117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3,247,473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3,234,978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3.8%</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Windstream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B-4 Term</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3,465,000</w:t>
            </w: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3,483,750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3,476,920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3.5%</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1/20</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WireCo WorldGroup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1,975,000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1,955,000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1,993,516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w w:val="93"/>
              </w:rPr>
              <w:t>Machinery (Non-Agriculture, Non-</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6.0%</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Construction, Non-Electronic)</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Zuffa,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(2013)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2,970,000</w:t>
            </w: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2,955,000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2,996,908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4.5%</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2/20</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FFCC"/>
            </w:tcBorders>
            <w:shd w:val="clear" w:color="auto" w:fill="CCFFCC"/>
          </w:tcPr>
          <w:p>
            <w:pPr>
              <w:spacing w:after="0"/>
              <w:rPr>
                <w:sz w:val="18"/>
                <w:szCs w:val="18"/>
                <w:color w:val="auto"/>
              </w:rPr>
            </w:pPr>
          </w:p>
        </w:tc>
        <w:tc>
          <w:tcPr>
            <w:tcW w:w="24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Borders>
              <w:bottom w:val="single" w:sz="8" w:color="CCFFCC"/>
            </w:tcBorders>
            <w:shd w:val="clear" w:color="auto" w:fill="CCFFCC"/>
          </w:tcPr>
          <w:p>
            <w:pPr>
              <w:spacing w:after="0"/>
              <w:rPr>
                <w:sz w:val="18"/>
                <w:szCs w:val="18"/>
                <w:color w:val="auto"/>
              </w:rPr>
            </w:pPr>
          </w:p>
        </w:tc>
        <w:tc>
          <w:tcPr>
            <w:tcW w:w="460" w:type="dxa"/>
            <w:vAlign w:val="bottom"/>
            <w:tcBorders>
              <w:bottom w:val="single" w:sz="8" w:color="CCFFCC"/>
            </w:tcBorders>
            <w:shd w:val="clear" w:color="auto" w:fill="CCFFCC"/>
          </w:tcPr>
          <w:p>
            <w:pPr>
              <w:spacing w:after="0"/>
              <w:rPr>
                <w:sz w:val="18"/>
                <w:szCs w:val="18"/>
                <w:color w:val="auto"/>
              </w:rPr>
            </w:pPr>
          </w:p>
        </w:tc>
        <w:tc>
          <w:tcPr>
            <w:tcW w:w="18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b w:val="1"/>
                <w:bCs w:val="1"/>
                <w:color w:val="auto"/>
                <w:highlight w:val="white"/>
                <w:w w:val="90"/>
              </w:rPr>
              <w:t>Total Investment in Debt Securities</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293,277,383</w:t>
            </w:r>
          </w:p>
        </w:tc>
        <w:tc>
          <w:tcPr>
            <w:tcW w:w="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290,553,460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292,304,054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-145415</wp:posOffset>
            </wp:positionV>
            <wp:extent cx="36531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6531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-2769235</wp:posOffset>
            </wp:positionV>
            <wp:extent cx="52139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6255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Company</w:t>
            </w:r>
          </w:p>
        </w:tc>
        <w:tc>
          <w:tcPr>
            <w:tcW w:w="80" w:type="dxa"/>
            <w:vAlign w:val="bottom"/>
          </w:tcPr>
          <w:p>
            <w:pPr>
              <w:spacing w:after="0"/>
              <w:rPr>
                <w:sz w:val="16"/>
                <w:szCs w:val="16"/>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CLO Investment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r>
      <w:tr>
        <w:trPr>
          <w:trHeight w:val="236"/>
        </w:trPr>
        <w:tc>
          <w:tcPr>
            <w:tcW w:w="2500" w:type="dxa"/>
            <w:vAlign w:val="bottom"/>
            <w:gridSpan w:val="3"/>
            <w:shd w:val="clear" w:color="auto" w:fill="CCFFCC"/>
          </w:tcPr>
          <w:p>
            <w:pPr>
              <w:ind w:left="20"/>
              <w:spacing w:after="0" w:line="236" w:lineRule="exact"/>
              <w:rPr>
                <w:sz w:val="20"/>
                <w:szCs w:val="20"/>
                <w:color w:val="auto"/>
              </w:rPr>
            </w:pPr>
            <w:r>
              <w:rPr>
                <w:rFonts w:ascii="Arial" w:cs="Arial" w:eastAsia="Arial" w:hAnsi="Arial"/>
                <w:sz w:val="17"/>
                <w:szCs w:val="17"/>
                <w:color w:val="auto"/>
              </w:rPr>
              <w:t>APID 2007-5A</w:t>
            </w:r>
            <w:r>
              <w:rPr>
                <w:rFonts w:ascii="Arial" w:cs="Arial" w:eastAsia="Arial" w:hAnsi="Arial"/>
                <w:sz w:val="27"/>
                <w:szCs w:val="27"/>
                <w:color w:val="auto"/>
                <w:vertAlign w:val="superscript"/>
              </w:rPr>
              <w:t>(1)</w:t>
            </w:r>
          </w:p>
        </w:tc>
        <w:tc>
          <w:tcPr>
            <w:tcW w:w="80" w:type="dxa"/>
            <w:vAlign w:val="bottom"/>
            <w:shd w:val="clear" w:color="auto" w:fill="CCFFCC"/>
          </w:tcPr>
          <w:p>
            <w:pPr>
              <w:spacing w:after="0"/>
              <w:rPr>
                <w:sz w:val="20"/>
                <w:szCs w:val="20"/>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Floating – 04/2021 –</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FFCC"/>
          </w:tcPr>
          <w:p>
            <w:pPr>
              <w:spacing w:after="0"/>
              <w:rPr>
                <w:sz w:val="20"/>
                <w:szCs w:val="20"/>
                <w:color w:val="auto"/>
              </w:rPr>
            </w:pP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655,266</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913,577</w:t>
            </w:r>
          </w:p>
        </w:tc>
      </w:tr>
      <w:tr>
        <w:trPr>
          <w:trHeight w:val="230"/>
        </w:trPr>
        <w:tc>
          <w:tcPr>
            <w:tcW w:w="20" w:type="dxa"/>
            <w:vAlign w:val="bottom"/>
            <w:shd w:val="clear" w:color="auto" w:fill="CCFFCC"/>
          </w:tcPr>
          <w:p>
            <w:pPr>
              <w:spacing w:after="0"/>
              <w:rPr>
                <w:sz w:val="20"/>
                <w:szCs w:val="20"/>
                <w:color w:val="auto"/>
              </w:rPr>
            </w:pPr>
          </w:p>
        </w:tc>
        <w:tc>
          <w:tcPr>
            <w:tcW w:w="2480" w:type="dxa"/>
            <w:vAlign w:val="bottom"/>
            <w:gridSpan w:val="2"/>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shd w:val="clear" w:color="auto" w:fill="CCFFCC"/>
          </w:tcPr>
          <w:p>
            <w:pPr>
              <w:spacing w:after="0"/>
              <w:rPr>
                <w:sz w:val="20"/>
                <w:szCs w:val="20"/>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 – 03761XAG5</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500" w:type="dxa"/>
            <w:vAlign w:val="bottom"/>
            <w:gridSpan w:val="3"/>
          </w:tcPr>
          <w:p>
            <w:pPr>
              <w:ind w:left="20"/>
              <w:spacing w:after="0" w:line="242" w:lineRule="exact"/>
              <w:rPr>
                <w:sz w:val="20"/>
                <w:szCs w:val="20"/>
                <w:color w:val="auto"/>
              </w:rPr>
            </w:pPr>
            <w:r>
              <w:rPr>
                <w:rFonts w:ascii="Arial" w:cs="Arial" w:eastAsia="Arial" w:hAnsi="Arial"/>
                <w:sz w:val="17"/>
                <w:szCs w:val="17"/>
                <w:color w:val="auto"/>
              </w:rPr>
              <w:t>GALXY 2006-6X</w:t>
            </w:r>
            <w:r>
              <w:rPr>
                <w:rFonts w:ascii="Arial" w:cs="Arial" w:eastAsia="Arial" w:hAnsi="Arial"/>
                <w:sz w:val="28"/>
                <w:szCs w:val="28"/>
                <w:color w:val="auto"/>
                <w:vertAlign w:val="superscript"/>
              </w:rPr>
              <w:t>(1)</w:t>
            </w:r>
          </w:p>
        </w:tc>
        <w:tc>
          <w:tcPr>
            <w:tcW w:w="80" w:type="dxa"/>
            <w:vAlign w:val="bottom"/>
          </w:tcPr>
          <w:p>
            <w:pPr>
              <w:spacing w:after="0"/>
              <w:rPr>
                <w:sz w:val="21"/>
                <w:szCs w:val="21"/>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Floating – 06/2018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1,241,003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1,450,285</w:t>
            </w:r>
          </w:p>
        </w:tc>
      </w:tr>
      <w:tr>
        <w:trPr>
          <w:trHeight w:val="230"/>
        </w:trPr>
        <w:tc>
          <w:tcPr>
            <w:tcW w:w="20" w:type="dxa"/>
            <w:vAlign w:val="bottom"/>
          </w:tcPr>
          <w:p>
            <w:pPr>
              <w:spacing w:after="0"/>
              <w:rPr>
                <w:sz w:val="20"/>
                <w:szCs w:val="20"/>
                <w:color w:val="auto"/>
              </w:rPr>
            </w:pPr>
          </w:p>
        </w:tc>
        <w:tc>
          <w:tcPr>
            <w:tcW w:w="2480" w:type="dxa"/>
            <w:vAlign w:val="bottom"/>
            <w:gridSpan w:val="2"/>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B – USG25803AC46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50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7"/>
                <w:szCs w:val="17"/>
                <w:color w:val="auto"/>
              </w:rPr>
              <w:t>GOLDK 2007-2A</w:t>
            </w:r>
            <w:r>
              <w:rPr>
                <w:rFonts w:ascii="Arial" w:cs="Arial" w:eastAsia="Arial" w:hAnsi="Arial"/>
                <w:sz w:val="28"/>
                <w:szCs w:val="28"/>
                <w:color w:val="auto"/>
                <w:vertAlign w:val="superscript"/>
              </w:rPr>
              <w:t>(1)</w:t>
            </w:r>
          </w:p>
        </w:tc>
        <w:tc>
          <w:tcPr>
            <w:tcW w:w="80" w:type="dxa"/>
            <w:vAlign w:val="bottom"/>
            <w:shd w:val="clear" w:color="auto" w:fill="CCFFCC"/>
          </w:tcPr>
          <w:p>
            <w:pPr>
              <w:spacing w:after="0"/>
              <w:rPr>
                <w:sz w:val="21"/>
                <w:szCs w:val="21"/>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Floating – 04/2019 –</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812,174</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944,673</w:t>
            </w:r>
          </w:p>
        </w:tc>
      </w:tr>
      <w:tr>
        <w:trPr>
          <w:trHeight w:val="230"/>
        </w:trPr>
        <w:tc>
          <w:tcPr>
            <w:tcW w:w="20" w:type="dxa"/>
            <w:vAlign w:val="bottom"/>
            <w:shd w:val="clear" w:color="auto" w:fill="CCFFCC"/>
          </w:tcPr>
          <w:p>
            <w:pPr>
              <w:spacing w:after="0"/>
              <w:rPr>
                <w:sz w:val="20"/>
                <w:szCs w:val="20"/>
                <w:color w:val="auto"/>
              </w:rPr>
            </w:pPr>
          </w:p>
        </w:tc>
        <w:tc>
          <w:tcPr>
            <w:tcW w:w="2480" w:type="dxa"/>
            <w:vAlign w:val="bottom"/>
            <w:gridSpan w:val="2"/>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shd w:val="clear" w:color="auto" w:fill="CCFFCC"/>
          </w:tcPr>
          <w:p>
            <w:pPr>
              <w:spacing w:after="0"/>
              <w:rPr>
                <w:sz w:val="20"/>
                <w:szCs w:val="20"/>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B – 381096AB2</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500" w:type="dxa"/>
            <w:vAlign w:val="bottom"/>
            <w:gridSpan w:val="3"/>
          </w:tcPr>
          <w:p>
            <w:pPr>
              <w:ind w:left="20"/>
              <w:spacing w:after="0" w:line="242" w:lineRule="exact"/>
              <w:rPr>
                <w:sz w:val="20"/>
                <w:szCs w:val="20"/>
                <w:color w:val="auto"/>
              </w:rPr>
            </w:pPr>
            <w:r>
              <w:rPr>
                <w:rFonts w:ascii="Arial" w:cs="Arial" w:eastAsia="Arial" w:hAnsi="Arial"/>
                <w:sz w:val="17"/>
                <w:szCs w:val="17"/>
                <w:color w:val="auto"/>
              </w:rPr>
              <w:t>HLCNL 2007-2A</w:t>
            </w:r>
            <w:r>
              <w:rPr>
                <w:rFonts w:ascii="Arial" w:cs="Arial" w:eastAsia="Arial" w:hAnsi="Arial"/>
                <w:sz w:val="28"/>
                <w:szCs w:val="28"/>
                <w:color w:val="auto"/>
                <w:vertAlign w:val="superscript"/>
              </w:rPr>
              <w:t>(1)</w:t>
            </w:r>
          </w:p>
        </w:tc>
        <w:tc>
          <w:tcPr>
            <w:tcW w:w="80" w:type="dxa"/>
            <w:vAlign w:val="bottom"/>
          </w:tcPr>
          <w:p>
            <w:pPr>
              <w:spacing w:after="0"/>
              <w:rPr>
                <w:sz w:val="21"/>
                <w:szCs w:val="21"/>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Floating – 04/2021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1,973,011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2,746,035</w:t>
            </w:r>
          </w:p>
        </w:tc>
      </w:tr>
      <w:tr>
        <w:trPr>
          <w:trHeight w:val="230"/>
        </w:trPr>
        <w:tc>
          <w:tcPr>
            <w:tcW w:w="20" w:type="dxa"/>
            <w:vAlign w:val="bottom"/>
          </w:tcPr>
          <w:p>
            <w:pPr>
              <w:spacing w:after="0"/>
              <w:rPr>
                <w:sz w:val="20"/>
                <w:szCs w:val="20"/>
                <w:color w:val="auto"/>
              </w:rPr>
            </w:pPr>
          </w:p>
        </w:tc>
        <w:tc>
          <w:tcPr>
            <w:tcW w:w="2480" w:type="dxa"/>
            <w:vAlign w:val="bottom"/>
            <w:gridSpan w:val="2"/>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D – 40537AAA3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50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7"/>
                <w:szCs w:val="17"/>
                <w:color w:val="auto"/>
              </w:rPr>
              <w:t>MACCL 2007-1A</w:t>
            </w:r>
            <w:r>
              <w:rPr>
                <w:rFonts w:ascii="Arial" w:cs="Arial" w:eastAsia="Arial" w:hAnsi="Arial"/>
                <w:sz w:val="28"/>
                <w:szCs w:val="28"/>
                <w:color w:val="auto"/>
                <w:vertAlign w:val="superscript"/>
              </w:rPr>
              <w:t>(1)</w:t>
            </w:r>
          </w:p>
        </w:tc>
        <w:tc>
          <w:tcPr>
            <w:tcW w:w="80" w:type="dxa"/>
            <w:vAlign w:val="bottom"/>
            <w:shd w:val="clear" w:color="auto" w:fill="CCFFCC"/>
          </w:tcPr>
          <w:p>
            <w:pPr>
              <w:spacing w:after="0"/>
              <w:rPr>
                <w:sz w:val="21"/>
                <w:szCs w:val="21"/>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Floating – 07/2023 –</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1,374,001</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1,793,332</w:t>
            </w:r>
          </w:p>
        </w:tc>
      </w:tr>
      <w:tr>
        <w:trPr>
          <w:trHeight w:val="230"/>
        </w:trPr>
        <w:tc>
          <w:tcPr>
            <w:tcW w:w="20" w:type="dxa"/>
            <w:vAlign w:val="bottom"/>
            <w:shd w:val="clear" w:color="auto" w:fill="CCFFCC"/>
          </w:tcPr>
          <w:p>
            <w:pPr>
              <w:spacing w:after="0"/>
              <w:rPr>
                <w:sz w:val="20"/>
                <w:szCs w:val="20"/>
                <w:color w:val="auto"/>
              </w:rPr>
            </w:pPr>
          </w:p>
        </w:tc>
        <w:tc>
          <w:tcPr>
            <w:tcW w:w="2480" w:type="dxa"/>
            <w:vAlign w:val="bottom"/>
            <w:gridSpan w:val="2"/>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shd w:val="clear" w:color="auto" w:fill="CCFFCC"/>
          </w:tcPr>
          <w:p>
            <w:pPr>
              <w:spacing w:after="0"/>
              <w:rPr>
                <w:sz w:val="20"/>
                <w:szCs w:val="20"/>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B1L – 55265AAL5</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500" w:type="dxa"/>
            <w:vAlign w:val="bottom"/>
            <w:gridSpan w:val="3"/>
          </w:tcPr>
          <w:p>
            <w:pPr>
              <w:ind w:left="20"/>
              <w:spacing w:after="0" w:line="242" w:lineRule="exact"/>
              <w:rPr>
                <w:sz w:val="20"/>
                <w:szCs w:val="20"/>
                <w:color w:val="auto"/>
              </w:rPr>
            </w:pPr>
            <w:r>
              <w:rPr>
                <w:rFonts w:ascii="Arial" w:cs="Arial" w:eastAsia="Arial" w:hAnsi="Arial"/>
                <w:sz w:val="17"/>
                <w:szCs w:val="17"/>
                <w:color w:val="auto"/>
              </w:rPr>
              <w:t>MDPK 2007-4A</w:t>
            </w:r>
            <w:r>
              <w:rPr>
                <w:rFonts w:ascii="Arial" w:cs="Arial" w:eastAsia="Arial" w:hAnsi="Arial"/>
                <w:sz w:val="28"/>
                <w:szCs w:val="28"/>
                <w:color w:val="auto"/>
                <w:vertAlign w:val="superscript"/>
              </w:rPr>
              <w:t>(1)</w:t>
            </w:r>
          </w:p>
        </w:tc>
        <w:tc>
          <w:tcPr>
            <w:tcW w:w="80" w:type="dxa"/>
            <w:vAlign w:val="bottom"/>
          </w:tcPr>
          <w:p>
            <w:pPr>
              <w:spacing w:after="0"/>
              <w:rPr>
                <w:sz w:val="21"/>
                <w:szCs w:val="21"/>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Floating – 03/2021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1,329,842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1,870,019</w:t>
            </w:r>
          </w:p>
        </w:tc>
      </w:tr>
      <w:tr>
        <w:trPr>
          <w:trHeight w:val="230"/>
        </w:trPr>
        <w:tc>
          <w:tcPr>
            <w:tcW w:w="20" w:type="dxa"/>
            <w:vAlign w:val="bottom"/>
          </w:tcPr>
          <w:p>
            <w:pPr>
              <w:spacing w:after="0"/>
              <w:rPr>
                <w:sz w:val="20"/>
                <w:szCs w:val="20"/>
                <w:color w:val="auto"/>
              </w:rPr>
            </w:pPr>
          </w:p>
        </w:tc>
        <w:tc>
          <w:tcPr>
            <w:tcW w:w="2480" w:type="dxa"/>
            <w:vAlign w:val="bottom"/>
            <w:gridSpan w:val="2"/>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D – 55817UAF7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50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7"/>
                <w:szCs w:val="17"/>
                <w:color w:val="auto"/>
              </w:rPr>
              <w:t>NAVIG 2007-2A</w:t>
            </w:r>
            <w:r>
              <w:rPr>
                <w:rFonts w:ascii="Arial" w:cs="Arial" w:eastAsia="Arial" w:hAnsi="Arial"/>
                <w:sz w:val="28"/>
                <w:szCs w:val="28"/>
                <w:color w:val="auto"/>
                <w:vertAlign w:val="superscript"/>
              </w:rPr>
              <w:t>(1)</w:t>
            </w:r>
          </w:p>
        </w:tc>
        <w:tc>
          <w:tcPr>
            <w:tcW w:w="80" w:type="dxa"/>
            <w:vAlign w:val="bottom"/>
            <w:shd w:val="clear" w:color="auto" w:fill="CCFFCC"/>
          </w:tcPr>
          <w:p>
            <w:pPr>
              <w:spacing w:after="0"/>
              <w:rPr>
                <w:sz w:val="21"/>
                <w:szCs w:val="21"/>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Floating – 04/2021 –</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2,062,998</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2,844,054</w:t>
            </w:r>
          </w:p>
        </w:tc>
      </w:tr>
      <w:tr>
        <w:trPr>
          <w:trHeight w:val="230"/>
        </w:trPr>
        <w:tc>
          <w:tcPr>
            <w:tcW w:w="20" w:type="dxa"/>
            <w:vAlign w:val="bottom"/>
            <w:shd w:val="clear" w:color="auto" w:fill="CCFFCC"/>
          </w:tcPr>
          <w:p>
            <w:pPr>
              <w:spacing w:after="0"/>
              <w:rPr>
                <w:sz w:val="20"/>
                <w:szCs w:val="20"/>
                <w:color w:val="auto"/>
              </w:rPr>
            </w:pPr>
          </w:p>
        </w:tc>
        <w:tc>
          <w:tcPr>
            <w:tcW w:w="2480" w:type="dxa"/>
            <w:vAlign w:val="bottom"/>
            <w:gridSpan w:val="2"/>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shd w:val="clear" w:color="auto" w:fill="CCFFCC"/>
          </w:tcPr>
          <w:p>
            <w:pPr>
              <w:spacing w:after="0"/>
              <w:rPr>
                <w:sz w:val="20"/>
                <w:szCs w:val="20"/>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 – 63937HAD0</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500" w:type="dxa"/>
            <w:vAlign w:val="bottom"/>
            <w:gridSpan w:val="3"/>
          </w:tcPr>
          <w:p>
            <w:pPr>
              <w:ind w:left="20"/>
              <w:spacing w:after="0" w:line="242" w:lineRule="exact"/>
              <w:rPr>
                <w:sz w:val="20"/>
                <w:szCs w:val="20"/>
                <w:color w:val="auto"/>
              </w:rPr>
            </w:pPr>
            <w:r>
              <w:rPr>
                <w:rFonts w:ascii="Arial" w:cs="Arial" w:eastAsia="Arial" w:hAnsi="Arial"/>
                <w:sz w:val="17"/>
                <w:szCs w:val="17"/>
                <w:color w:val="auto"/>
              </w:rPr>
              <w:t>ROSED I - A</w:t>
            </w:r>
            <w:r>
              <w:rPr>
                <w:rFonts w:ascii="Arial" w:cs="Arial" w:eastAsia="Arial" w:hAnsi="Arial"/>
                <w:sz w:val="28"/>
                <w:szCs w:val="28"/>
                <w:color w:val="auto"/>
                <w:vertAlign w:val="superscript"/>
              </w:rPr>
              <w:t>(1)</w:t>
            </w:r>
          </w:p>
        </w:tc>
        <w:tc>
          <w:tcPr>
            <w:tcW w:w="80" w:type="dxa"/>
            <w:vAlign w:val="bottom"/>
          </w:tcPr>
          <w:p>
            <w:pPr>
              <w:spacing w:after="0"/>
              <w:rPr>
                <w:sz w:val="21"/>
                <w:szCs w:val="21"/>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Floating – 07/2021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1,553,529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1,890,582</w:t>
            </w:r>
          </w:p>
        </w:tc>
      </w:tr>
      <w:tr>
        <w:trPr>
          <w:trHeight w:val="230"/>
        </w:trPr>
        <w:tc>
          <w:tcPr>
            <w:tcW w:w="20" w:type="dxa"/>
            <w:vAlign w:val="bottom"/>
          </w:tcPr>
          <w:p>
            <w:pPr>
              <w:spacing w:after="0"/>
              <w:rPr>
                <w:sz w:val="20"/>
                <w:szCs w:val="20"/>
                <w:color w:val="auto"/>
              </w:rPr>
            </w:pPr>
          </w:p>
        </w:tc>
        <w:tc>
          <w:tcPr>
            <w:tcW w:w="2480" w:type="dxa"/>
            <w:vAlign w:val="bottom"/>
            <w:gridSpan w:val="2"/>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B – 77732WAE2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50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7"/>
                <w:szCs w:val="17"/>
                <w:color w:val="auto"/>
              </w:rPr>
              <w:t>TRAL 2007-1A</w:t>
            </w:r>
            <w:r>
              <w:rPr>
                <w:rFonts w:ascii="Arial" w:cs="Arial" w:eastAsia="Arial" w:hAnsi="Arial"/>
                <w:sz w:val="28"/>
                <w:szCs w:val="28"/>
                <w:color w:val="auto"/>
                <w:vertAlign w:val="superscript"/>
              </w:rPr>
              <w:t>(1)</w:t>
            </w:r>
          </w:p>
        </w:tc>
        <w:tc>
          <w:tcPr>
            <w:tcW w:w="80" w:type="dxa"/>
            <w:vAlign w:val="bottom"/>
            <w:shd w:val="clear" w:color="auto" w:fill="CCFFCC"/>
          </w:tcPr>
          <w:p>
            <w:pPr>
              <w:spacing w:after="0"/>
              <w:rPr>
                <w:sz w:val="21"/>
                <w:szCs w:val="21"/>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Floating – 04/2022 –</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2,023,956</w:t>
            </w:r>
          </w:p>
        </w:tc>
        <w:tc>
          <w:tcPr>
            <w:tcW w:w="1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2,751,257</w:t>
            </w:r>
          </w:p>
        </w:tc>
      </w:tr>
      <w:tr>
        <w:trPr>
          <w:trHeight w:val="230"/>
        </w:trPr>
        <w:tc>
          <w:tcPr>
            <w:tcW w:w="20" w:type="dxa"/>
            <w:vAlign w:val="bottom"/>
            <w:shd w:val="clear" w:color="auto" w:fill="CCFFCC"/>
          </w:tcPr>
          <w:p>
            <w:pPr>
              <w:spacing w:after="0"/>
              <w:rPr>
                <w:sz w:val="20"/>
                <w:szCs w:val="20"/>
                <w:color w:val="auto"/>
              </w:rPr>
            </w:pPr>
          </w:p>
        </w:tc>
        <w:tc>
          <w:tcPr>
            <w:tcW w:w="2480" w:type="dxa"/>
            <w:vAlign w:val="bottom"/>
            <w:gridSpan w:val="2"/>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shd w:val="clear" w:color="auto" w:fill="CCFFCC"/>
          </w:tcPr>
          <w:p>
            <w:pPr>
              <w:spacing w:after="0"/>
              <w:rPr>
                <w:sz w:val="20"/>
                <w:szCs w:val="20"/>
                <w:color w:val="auto"/>
              </w:rPr>
            </w:pPr>
          </w:p>
        </w:tc>
        <w:tc>
          <w:tcPr>
            <w:tcW w:w="216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 – 89288BAG6</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500" w:type="dxa"/>
            <w:vAlign w:val="bottom"/>
            <w:gridSpan w:val="3"/>
          </w:tcPr>
          <w:p>
            <w:pPr>
              <w:ind w:left="20"/>
              <w:spacing w:after="0" w:line="242" w:lineRule="exact"/>
              <w:rPr>
                <w:sz w:val="20"/>
                <w:szCs w:val="20"/>
                <w:color w:val="auto"/>
              </w:rPr>
            </w:pPr>
            <w:r>
              <w:rPr>
                <w:rFonts w:ascii="Arial" w:cs="Arial" w:eastAsia="Arial" w:hAnsi="Arial"/>
                <w:sz w:val="17"/>
                <w:szCs w:val="17"/>
                <w:color w:val="auto"/>
              </w:rPr>
              <w:t>TRAL 2007-1A</w:t>
            </w:r>
            <w:r>
              <w:rPr>
                <w:rFonts w:ascii="Arial" w:cs="Arial" w:eastAsia="Arial" w:hAnsi="Arial"/>
                <w:sz w:val="28"/>
                <w:szCs w:val="28"/>
                <w:color w:val="auto"/>
                <w:vertAlign w:val="superscript"/>
              </w:rPr>
              <w:t>(1)</w:t>
            </w:r>
          </w:p>
        </w:tc>
        <w:tc>
          <w:tcPr>
            <w:tcW w:w="80" w:type="dxa"/>
            <w:vAlign w:val="bottom"/>
          </w:tcPr>
          <w:p>
            <w:pPr>
              <w:spacing w:after="0"/>
              <w:rPr>
                <w:sz w:val="21"/>
                <w:szCs w:val="21"/>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Floating – 04/2022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666,854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919,920</w:t>
            </w:r>
          </w:p>
        </w:tc>
      </w:tr>
      <w:tr>
        <w:trPr>
          <w:trHeight w:val="230"/>
        </w:trPr>
        <w:tc>
          <w:tcPr>
            <w:tcW w:w="20" w:type="dxa"/>
            <w:vAlign w:val="bottom"/>
          </w:tcPr>
          <w:p>
            <w:pPr>
              <w:spacing w:after="0"/>
              <w:rPr>
                <w:sz w:val="20"/>
                <w:szCs w:val="20"/>
                <w:color w:val="auto"/>
              </w:rPr>
            </w:pPr>
          </w:p>
        </w:tc>
        <w:tc>
          <w:tcPr>
            <w:tcW w:w="2480" w:type="dxa"/>
            <w:vAlign w:val="bottom"/>
            <w:gridSpan w:val="2"/>
          </w:tcPr>
          <w:p>
            <w:pPr>
              <w:ind w:left="180"/>
              <w:spacing w:after="0"/>
              <w:rPr>
                <w:sz w:val="20"/>
                <w:szCs w:val="20"/>
                <w:color w:val="auto"/>
              </w:rPr>
            </w:pPr>
            <w:r>
              <w:rPr>
                <w:rFonts w:ascii="Arial" w:cs="Arial" w:eastAsia="Arial" w:hAnsi="Arial"/>
                <w:sz w:val="18"/>
                <w:szCs w:val="18"/>
                <w:i w:val="1"/>
                <w:iCs w:val="1"/>
                <w:color w:val="auto"/>
              </w:rPr>
              <w:t>CLO Equity</w:t>
            </w:r>
          </w:p>
        </w:tc>
        <w:tc>
          <w:tcPr>
            <w:tcW w:w="8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D – 89288AAA1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500" w:type="dxa"/>
            <w:vAlign w:val="bottom"/>
            <w:gridSpan w:val="3"/>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Total Investment in CLO</w:t>
            </w:r>
          </w:p>
        </w:tc>
        <w:tc>
          <w:tcPr>
            <w:tcW w:w="80" w:type="dxa"/>
            <w:vAlign w:val="bottom"/>
            <w:shd w:val="clear" w:color="auto" w:fill="CCFFCC"/>
          </w:tcPr>
          <w:p>
            <w:pPr>
              <w:spacing w:after="0"/>
              <w:rPr>
                <w:sz w:val="17"/>
                <w:szCs w:val="17"/>
                <w:color w:val="auto"/>
              </w:rPr>
            </w:pPr>
          </w:p>
        </w:tc>
        <w:tc>
          <w:tcPr>
            <w:tcW w:w="2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w w:val="97"/>
              </w:rPr>
              <w:t>19,500,000</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w w:val="97"/>
              </w:rPr>
              <w:t>13,692,634</w:t>
            </w: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40"/>
              <w:spacing w:after="0" w:line="198" w:lineRule="exact"/>
              <w:rPr>
                <w:sz w:val="20"/>
                <w:szCs w:val="20"/>
                <w:color w:val="auto"/>
              </w:rPr>
            </w:pPr>
            <w:r>
              <w:rPr>
                <w:rFonts w:ascii="Arial" w:cs="Arial" w:eastAsia="Arial" w:hAnsi="Arial"/>
                <w:sz w:val="18"/>
                <w:szCs w:val="18"/>
                <w:color w:val="auto"/>
                <w:w w:val="99"/>
              </w:rPr>
              <w:t>18,123,734</w:t>
            </w:r>
          </w:p>
        </w:tc>
      </w:tr>
      <w:tr>
        <w:trPr>
          <w:trHeight w:val="234"/>
        </w:trPr>
        <w:tc>
          <w:tcPr>
            <w:tcW w:w="20" w:type="dxa"/>
            <w:vAlign w:val="bottom"/>
            <w:tcBorders>
              <w:bottom w:val="single" w:sz="8" w:color="CCFFCC"/>
            </w:tcBorders>
            <w:shd w:val="clear" w:color="auto" w:fill="CCFFCC"/>
          </w:tcPr>
          <w:p>
            <w:pPr>
              <w:spacing w:after="0"/>
              <w:rPr>
                <w:sz w:val="20"/>
                <w:szCs w:val="20"/>
                <w:color w:val="auto"/>
              </w:rPr>
            </w:pPr>
          </w:p>
        </w:tc>
        <w:tc>
          <w:tcPr>
            <w:tcW w:w="248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Equity Securities</w:t>
            </w:r>
          </w:p>
        </w:tc>
        <w:tc>
          <w:tcPr>
            <w:tcW w:w="80" w:type="dxa"/>
            <w:vAlign w:val="bottom"/>
            <w:tcBorders>
              <w:bottom w:val="single" w:sz="8" w:color="CCFFCC"/>
            </w:tcBorders>
            <w:shd w:val="clear" w:color="auto" w:fill="CCFFCC"/>
          </w:tcPr>
          <w:p>
            <w:pPr>
              <w:spacing w:after="0"/>
              <w:rPr>
                <w:sz w:val="20"/>
                <w:szCs w:val="20"/>
                <w:color w:val="auto"/>
              </w:rPr>
            </w:pPr>
          </w:p>
        </w:tc>
        <w:tc>
          <w:tcPr>
            <w:tcW w:w="21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r>
      <w:tr>
        <w:trPr>
          <w:trHeight w:val="210"/>
        </w:trPr>
        <w:tc>
          <w:tcPr>
            <w:tcW w:w="25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Investments</w:t>
            </w: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312,777,383</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304,246,094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310,427,788</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117" w:lineRule="exact"/>
        <w:rPr>
          <w:rFonts w:ascii="Arial" w:cs="Arial" w:eastAsia="Arial" w:hAnsi="Arial"/>
          <w:sz w:val="18"/>
          <w:szCs w:val="18"/>
          <w:color w:val="auto"/>
        </w:rPr>
      </w:pPr>
    </w:p>
    <w:p>
      <w:pPr>
        <w:ind w:left="300" w:right="1199" w:hanging="272"/>
        <w:spacing w:after="0" w:line="277"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Buildings and real estate relate to real estate ownership, builders, managers and developers and excludes mortgage debt investments and mortgage lenders or originators.</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4" w:name="page155"/>
    <w:bookmarkEnd w:id="15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2012</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r>
      <w:tr>
        <w:trPr>
          <w:trHeight w:val="21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8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Acosta,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D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978,516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978,516</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989,373</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AdvancePierre Foods,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496,250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506,250</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Advantage Sales &amp; Marketing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984,336</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988,943</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AES Corporation,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1,536,429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1,536,429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1,555,634</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Alaska Communications Systems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1,960,000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1,969,900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1,855,463</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Holdings,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Allison Transmission,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984,122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950,572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991,911</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Allison Transmission,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B-3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2,488,763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2,468,138</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2,513,252</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Alpha Topco Limited (Formula One)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Facility B2 (USD)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3,473,794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3,446,331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3,529,461</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w w:val="97"/>
              </w:rPr>
              <w:t>Altegrity, Inc (f.k.a. US Investigations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718,343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718,343</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668,957</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Services,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2/15</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Aptalis Pharma, Inc. (fka Axcan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496,250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486,250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499,560</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color w:val="auto"/>
              </w:rPr>
              <w:t>Intermediate Holdings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LC-2 Facility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163,007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151,189</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163,545</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U.S. Term B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2,478,633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2,298,932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2,486,812</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(Extending)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260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 C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272,850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270,420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273,750</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LC-3 Facility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21,980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21,785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22,052</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Armored AutoGroup Inc. (fka Viking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New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491,859</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475,604</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Acquisition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Personal and Non Durable</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Ascena Retail Group,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930,833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920,833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940,142</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Ashland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736,964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734,472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746,036</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Asurion, LLC (fka Asurion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1,011,565</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color w:val="auto"/>
              </w:rPr>
              <w:t>Corporation)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Insurance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w w:val="94"/>
              </w:rPr>
              <w:t>Audatex North America, Inc. (CSG US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Extended Domestic</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1,458,054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1,439,642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1,460,795</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Buyco and ABZ Buyco)</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C Term 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Aurora Diagnostics,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455,556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455,769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440,750</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AVG Technologies N.V.</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429,205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409,205</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430,278</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7.5%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Avis Budget Car Rental,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1,588,626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1,580,108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1,604,909</w:t>
            </w:r>
          </w:p>
        </w:tc>
      </w:tr>
      <w:tr>
        <w:trPr>
          <w:trHeight w:val="206"/>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Personal Transportation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3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761"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B&amp;G Foods,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5"/>
              </w:rPr>
              <w:t>Tranche B Term Loan (2012)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$ 2,970,000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$ 2,970,000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2,989,498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Berry Plastics Holding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C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2,890,820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2,735,119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2,880,442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Containers, Packaging and Glass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Biomet,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Dollar Term B-1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2,909,015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2,867,130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2,930,833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Bresnan Broadband Holdings,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493,319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493,369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Brickman Group Holdings,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957,571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971,431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973,131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Burger King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w w:val="95"/>
              </w:rPr>
              <w:t>Tranche B Term Loan (2012)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3,690,750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3,681,500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3,716,364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9/19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Burlington Coat Factory Warehouse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2,826,250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2,796,500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2,854,513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Corporation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BWay Holding Company</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1,009,625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Containers, Packaging and Glass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Calpine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982,500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993,838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Calpine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(6/2011)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2,955,000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2,932,613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2,989,101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Capital Automotive L.P.</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1,770,021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1,751,096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1,791,411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Capsugel Holdings US,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(New)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901,300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896,312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912,850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Caribe Media Inc. (fka Caribe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342,089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342,089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337,847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Information Investments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10.0% Cash, Due 11/14</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Incorporated)</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580" w:type="dxa"/>
            <w:vAlign w:val="bottom"/>
            <w:gridSpan w:val="2"/>
          </w:tcPr>
          <w:p>
            <w:pPr>
              <w:spacing w:after="0" w:line="232" w:lineRule="exact"/>
              <w:rPr>
                <w:sz w:val="20"/>
                <w:szCs w:val="20"/>
                <w:color w:val="auto"/>
              </w:rPr>
            </w:pPr>
            <w:r>
              <w:rPr>
                <w:rFonts w:ascii="Arial" w:cs="Arial" w:eastAsia="Arial" w:hAnsi="Arial"/>
                <w:sz w:val="16"/>
                <w:szCs w:val="16"/>
                <w:color w:val="auto"/>
              </w:rPr>
              <w:t>CB Richard Ellis Services, Inc.</w:t>
            </w:r>
            <w:r>
              <w:rPr>
                <w:rFonts w:ascii="Arial" w:cs="Arial" w:eastAsia="Arial" w:hAnsi="Arial"/>
                <w:sz w:val="26"/>
                <w:szCs w:val="26"/>
                <w:color w:val="auto"/>
                <w:vertAlign w:val="superscript"/>
              </w:rPr>
              <w:t>(4)</w:t>
            </w:r>
          </w:p>
        </w:tc>
        <w:tc>
          <w:tcPr>
            <w:tcW w:w="16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Tranche D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3,940,000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3,920,100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3,950,264</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80" w:type="dxa"/>
            <w:vAlign w:val="bottom"/>
            <w:gridSpan w:val="2"/>
          </w:tcPr>
          <w:p>
            <w:pPr>
              <w:ind w:left="180"/>
              <w:spacing w:after="0" w:line="254" w:lineRule="exact"/>
              <w:rPr>
                <w:sz w:val="20"/>
                <w:szCs w:val="20"/>
                <w:color w:val="auto"/>
              </w:rPr>
            </w:pPr>
            <w:r>
              <w:rPr>
                <w:rFonts w:ascii="Arial" w:cs="Arial" w:eastAsia="Arial" w:hAnsi="Arial"/>
                <w:sz w:val="16"/>
                <w:szCs w:val="16"/>
                <w:i w:val="1"/>
                <w:iCs w:val="1"/>
                <w:color w:val="auto"/>
              </w:rPr>
              <w:t>Buildings and Real Estate</w:t>
            </w:r>
            <w:r>
              <w:rPr>
                <w:rFonts w:ascii="Arial" w:cs="Arial" w:eastAsia="Arial" w:hAnsi="Arial"/>
                <w:sz w:val="27"/>
                <w:szCs w:val="27"/>
                <w:color w:val="auto"/>
                <w:vertAlign w:val="superscript"/>
              </w:rPr>
              <w:t>(4)</w:t>
            </w:r>
          </w:p>
        </w:tc>
        <w:tc>
          <w:tcPr>
            <w:tcW w:w="160" w:type="dxa"/>
            <w:vAlign w:val="bottom"/>
          </w:tcPr>
          <w:p>
            <w:pPr>
              <w:spacing w:after="0"/>
              <w:rPr>
                <w:sz w:val="22"/>
                <w:szCs w:val="22"/>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3.7% Cash, Due 9/19</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Cedar Fair, L.P.</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943,926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955,185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954,644</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Celanese US Holdings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Dollar Term C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1,290,143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1,303,694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1,304,818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(Extended)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3.1%</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Cequel Communications,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1,985,000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1,965,000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1,998,190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9"/>
              </w:rPr>
              <w:t>Charter Communications Operating,</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C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1,520,246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1,446,375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1,530,028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LLC</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3.5% Cash, Due 9/16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9"/>
              </w:rPr>
              <w:t>Charter Communications Operating,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D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987,500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1,002,797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4.0% Cash, Due 5/19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Chrysler Group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2,959,937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2,748,144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3,026,950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4"/>
              </w:rPr>
              <w:t>CHS/Community Health Systems,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Extended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4,510,815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4,435,896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4,543,225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Cinemark USA,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1,002,295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Consolidated Communications,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Incremental Term 3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1,001,250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Covanta Energy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992,500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987,500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1,006,152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Ecological</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-8074025</wp:posOffset>
            </wp:positionV>
            <wp:extent cx="521398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FFCC"/>
          </w:tcPr>
          <w:p>
            <w:pPr>
              <w:spacing w:after="0"/>
              <w:rPr>
                <w:sz w:val="19"/>
                <w:szCs w:val="19"/>
                <w:color w:val="auto"/>
              </w:rPr>
            </w:pPr>
          </w:p>
        </w:tc>
        <w:tc>
          <w:tcPr>
            <w:tcW w:w="2580" w:type="dxa"/>
            <w:vAlign w:val="bottom"/>
            <w:gridSpan w:val="2"/>
            <w:shd w:val="clear" w:color="auto" w:fill="CCFFCC"/>
          </w:tcPr>
          <w:p>
            <w:pPr>
              <w:spacing w:after="0" w:line="226" w:lineRule="exact"/>
              <w:rPr>
                <w:sz w:val="20"/>
                <w:szCs w:val="20"/>
                <w:color w:val="auto"/>
              </w:rPr>
            </w:pPr>
            <w:r>
              <w:rPr>
                <w:rFonts w:ascii="Arial" w:cs="Arial" w:eastAsia="Arial" w:hAnsi="Arial"/>
                <w:sz w:val="16"/>
                <w:szCs w:val="16"/>
                <w:color w:val="auto"/>
                <w:w w:val="96"/>
              </w:rPr>
              <w:t>Crown Castle Operating Company</w:t>
            </w:r>
            <w:r>
              <w:rPr>
                <w:rFonts w:ascii="Arial" w:cs="Arial" w:eastAsia="Arial" w:hAnsi="Arial"/>
                <w:sz w:val="26"/>
                <w:szCs w:val="26"/>
                <w:color w:val="auto"/>
                <w:w w:val="96"/>
                <w:vertAlign w:val="superscript"/>
              </w:rPr>
              <w:t>(4)</w:t>
            </w:r>
          </w:p>
        </w:tc>
        <w:tc>
          <w:tcPr>
            <w:tcW w:w="160" w:type="dxa"/>
            <w:vAlign w:val="bottom"/>
            <w:shd w:val="clear" w:color="auto" w:fill="CCFFCC"/>
          </w:tcPr>
          <w:p>
            <w:pPr>
              <w:spacing w:after="0"/>
              <w:rPr>
                <w:sz w:val="19"/>
                <w:szCs w:val="19"/>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$ 2,977,481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$ 2,962,481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2,998,934</w:t>
            </w:r>
          </w:p>
        </w:tc>
        <w:tc>
          <w:tcPr>
            <w:tcW w:w="0" w:type="dxa"/>
            <w:vAlign w:val="bottom"/>
          </w:tcPr>
          <w:p>
            <w:pPr>
              <w:spacing w:after="0"/>
              <w:rPr>
                <w:sz w:val="1"/>
                <w:szCs w:val="1"/>
                <w:color w:val="auto"/>
              </w:rPr>
            </w:pPr>
          </w:p>
        </w:tc>
      </w:tr>
      <w:tr>
        <w:trPr>
          <w:trHeight w:val="254"/>
        </w:trPr>
        <w:tc>
          <w:tcPr>
            <w:tcW w:w="20" w:type="dxa"/>
            <w:vAlign w:val="bottom"/>
            <w:shd w:val="clear" w:color="auto" w:fill="CCFFCC"/>
          </w:tcPr>
          <w:p>
            <w:pPr>
              <w:spacing w:after="0"/>
              <w:rPr>
                <w:sz w:val="22"/>
                <w:szCs w:val="22"/>
                <w:color w:val="auto"/>
              </w:rPr>
            </w:pPr>
          </w:p>
        </w:tc>
        <w:tc>
          <w:tcPr>
            <w:tcW w:w="2580" w:type="dxa"/>
            <w:vAlign w:val="bottom"/>
            <w:gridSpan w:val="2"/>
            <w:shd w:val="clear" w:color="auto" w:fill="CCFFCC"/>
          </w:tcPr>
          <w:p>
            <w:pPr>
              <w:ind w:left="180"/>
              <w:spacing w:after="0" w:line="254" w:lineRule="exact"/>
              <w:rPr>
                <w:sz w:val="20"/>
                <w:szCs w:val="20"/>
                <w:color w:val="auto"/>
              </w:rPr>
            </w:pPr>
            <w:r>
              <w:rPr>
                <w:rFonts w:ascii="Arial" w:cs="Arial" w:eastAsia="Arial" w:hAnsi="Arial"/>
                <w:sz w:val="16"/>
                <w:szCs w:val="16"/>
                <w:i w:val="1"/>
                <w:iCs w:val="1"/>
                <w:color w:val="auto"/>
              </w:rPr>
              <w:t>Buildings and Real Estate</w:t>
            </w:r>
            <w:r>
              <w:rPr>
                <w:rFonts w:ascii="Arial" w:cs="Arial" w:eastAsia="Arial" w:hAnsi="Arial"/>
                <w:sz w:val="27"/>
                <w:szCs w:val="27"/>
                <w:color w:val="auto"/>
                <w:vertAlign w:val="superscript"/>
              </w:rPr>
              <w:t>(4)</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1/19</w:t>
            </w: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CSC Holdings, LLC (fka CSC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B-3 Extended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2,884,948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2,892,235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2,902,979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Holdings Inc. (Cablevision))</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3.4%</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David's Bridal,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495,000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501,980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DaVita HealthCare Partners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1,981,196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1,976,631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(fka DaVita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Dean Foods Company</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2017 Tranche B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4,767,365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4,669,546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4,768,866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(extending)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Del Monte Foods Company</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2,876,278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2,880,009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2,885,712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Dex Media West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New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1,132,334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1,013,073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848,118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7.0%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DineEquity,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294,523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294,523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297,446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Dole Food Company,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B-2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344,750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342,138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345,719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Farming and Agriculture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Dollar General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3,987,935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3,998,722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4,019,479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Drumm Investors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4,430,807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4,386,038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4,168,636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(aka Golden Living)</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Dunkin' Brands,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2,188,486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2,188,486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2,209,124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Education Management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C-2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1,566,101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1,536,416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1,282,245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Epicor Software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1,970,000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1,950,100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1,983,130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(fka Eagle Parent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7"/>
              </w:rPr>
              <w:t>Equipower Resources Holdings,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7"/>
              </w:rPr>
              <w:t>Term B Advance (First Lien)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1,468,729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1,446,229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1,491,979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Essential Power,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962,102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947,102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978,939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Federal-Mogul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1,364,223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1,334,928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1,260,201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2.1%</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Federal-Mogul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421,545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412,493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389,402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2.1%</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5"/>
              </w:rPr>
              <w:t>Fidelity National Information Services,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A-2 (Extended)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860,980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877,018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863,675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7/14</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5"/>
              </w:rPr>
              <w:t>Fidelity National Information Services,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A-3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2,887,500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2,812,500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2,890,792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First Data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Non Extending B-1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38,807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25,536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38,866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 3.0% Cash, Due 9/14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First Data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Non Extending B-2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77,808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51,147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77,927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3.0% Cash, Due 9/14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Freescale Semiconductor,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2,990,221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2,982,745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2,933,616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-7820660</wp:posOffset>
            </wp:positionV>
            <wp:extent cx="521398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2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Fresenius SE</w:t>
            </w:r>
          </w:p>
        </w:tc>
        <w:tc>
          <w:tcPr>
            <w:tcW w:w="160" w:type="dxa"/>
            <w:vAlign w:val="bottom"/>
            <w:shd w:val="clear" w:color="auto" w:fill="CCFFCC"/>
          </w:tcPr>
          <w:p>
            <w:pPr>
              <w:spacing w:after="0"/>
              <w:rPr>
                <w:sz w:val="16"/>
                <w:szCs w:val="16"/>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w w:val="99"/>
              </w:rPr>
              <w:t>Tranche D1 Dollar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613,232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619,209</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615,277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58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87"/>
              </w:rPr>
              <w:t>3.5%</w:t>
            </w:r>
          </w:p>
        </w:tc>
        <w:tc>
          <w:tcPr>
            <w:tcW w:w="1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Cash, Due 9/14</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Fresenius SE</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Tranche D2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350,294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353,708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3.5%</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9/14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Genpact Limited</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498,750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496,250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503,428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5"/>
              </w:rPr>
              <w:t>Diversified/Conglomerate Service</w:t>
            </w:r>
          </w:p>
        </w:tc>
        <w:tc>
          <w:tcPr>
            <w:tcW w:w="58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87"/>
              </w:rPr>
              <w:t>4.3%</w:t>
            </w:r>
          </w:p>
        </w:tc>
        <w:tc>
          <w:tcPr>
            <w:tcW w:w="1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Cash, Due 8/19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Gentiva Health Services, Inc.</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Term B1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3,424,646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3,424,646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3,383,550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6.5%</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8/16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Getty Images, Inc.</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Initial Term Loan (New)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2,970,000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3,007,875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58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87"/>
              </w:rPr>
              <w:t>4.8%</w:t>
            </w:r>
          </w:p>
        </w:tc>
        <w:tc>
          <w:tcPr>
            <w:tcW w:w="1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Cash, Due 10/19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60" w:type="dxa"/>
            <w:vAlign w:val="bottom"/>
            <w:gridSpan w:val="2"/>
          </w:tcPr>
          <w:p>
            <w:pPr>
              <w:spacing w:after="0" w:line="233" w:lineRule="exact"/>
              <w:rPr>
                <w:sz w:val="20"/>
                <w:szCs w:val="20"/>
                <w:color w:val="auto"/>
              </w:rPr>
            </w:pPr>
            <w:r>
              <w:rPr>
                <w:rFonts w:ascii="Arial" w:cs="Arial" w:eastAsia="Arial" w:hAnsi="Arial"/>
                <w:sz w:val="16"/>
                <w:szCs w:val="16"/>
                <w:color w:val="auto"/>
                <w:w w:val="95"/>
              </w:rPr>
              <w:t>Graceway Pharmaceuticals, LLC</w:t>
            </w:r>
            <w:r>
              <w:rPr>
                <w:rFonts w:ascii="Arial" w:cs="Arial" w:eastAsia="Arial" w:hAnsi="Arial"/>
                <w:sz w:val="27"/>
                <w:szCs w:val="27"/>
                <w:color w:val="auto"/>
                <w:w w:val="95"/>
                <w:vertAlign w:val="superscript"/>
              </w:rPr>
              <w:t>(3)</w:t>
            </w:r>
          </w:p>
        </w:tc>
        <w:tc>
          <w:tcPr>
            <w:tcW w:w="16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Term B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85,266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25,183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7.0%</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5/12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Grifols Inc.</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New U.S. Tranche B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982,124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972,174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992,829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Loan — 4.5% Cash, Due 6/17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Hamilton Lane Advisors, L.L.C.</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962,500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952,500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969,719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6.5%</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2/18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4"/>
              </w:rPr>
              <w:t>Harlan Laboratories, Inc. (fka Harlan</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3,308,171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2,947,381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3,000,098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Sprague Dawley, Inc.)</w:t>
            </w:r>
          </w:p>
        </w:tc>
        <w:tc>
          <w:tcPr>
            <w:tcW w:w="58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87"/>
              </w:rPr>
              <w:t>3.8%</w:t>
            </w:r>
          </w:p>
        </w:tc>
        <w:tc>
          <w:tcPr>
            <w:tcW w:w="1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Cash, Due 7/14</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w w:val="98"/>
              </w:rPr>
              <w:t>Harland Clarke Holdings Corp. (fka</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Tranche B-2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970,880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839,491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902,918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Clarke American Corp.)</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5.5%</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6/17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HCA Inc.</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Tranche B-3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2,977,855</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3,011,655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58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87"/>
              </w:rPr>
              <w:t>3.5%</w:t>
            </w:r>
          </w:p>
        </w:tc>
        <w:tc>
          <w:tcPr>
            <w:tcW w:w="1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HCR ManorCare, Inc. (fka HCR</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491,250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486,288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Healthcare, LLC)</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5.0%</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4/18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3"/>
              </w:rPr>
              <w:t>Health Management Associates, Inc.</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2,475,000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2,450,000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2,498,376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58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87"/>
              </w:rPr>
              <w:t>4.5%</w:t>
            </w:r>
          </w:p>
        </w:tc>
        <w:tc>
          <w:tcPr>
            <w:tcW w:w="1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Cash, Due 11/18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Hertz Corporation, The</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982,500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977,538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987,005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Transportation</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3.8%</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Hertz Corporation, The</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1,990,000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2,009,580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Personal Transportation</w:t>
            </w:r>
          </w:p>
        </w:tc>
        <w:tc>
          <w:tcPr>
            <w:tcW w:w="58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87"/>
              </w:rPr>
              <w:t>3.8%</w:t>
            </w:r>
          </w:p>
        </w:tc>
        <w:tc>
          <w:tcPr>
            <w:tcW w:w="1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Hillman Group, Inc., The</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975,015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979,787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981,923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w w:val="94"/>
              </w:rPr>
              <w:t>Machinery (Non-Agriculture, Non-</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5.0%</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5/17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Construction, Non-Electronic)</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9"/>
              </w:rPr>
              <w:t>HMSC Corporation (aka Swett and</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942,500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809,150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914,225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Crawford)</w:t>
            </w:r>
          </w:p>
        </w:tc>
        <w:tc>
          <w:tcPr>
            <w:tcW w:w="580" w:type="dxa"/>
            <w:vAlign w:val="bottom"/>
            <w:gridSpan w:val="2"/>
            <w:shd w:val="clear" w:color="auto" w:fill="CCFFCC"/>
          </w:tcPr>
          <w:p>
            <w:pPr>
              <w:ind w:left="240"/>
              <w:spacing w:after="0"/>
              <w:rPr>
                <w:sz w:val="20"/>
                <w:szCs w:val="20"/>
                <w:color w:val="auto"/>
              </w:rPr>
            </w:pPr>
            <w:r>
              <w:rPr>
                <w:rFonts w:ascii="Arial" w:cs="Arial" w:eastAsia="Arial" w:hAnsi="Arial"/>
                <w:sz w:val="16"/>
                <w:szCs w:val="16"/>
                <w:color w:val="auto"/>
                <w:w w:val="87"/>
              </w:rPr>
              <w:t>2.5%</w:t>
            </w:r>
          </w:p>
        </w:tc>
        <w:tc>
          <w:tcPr>
            <w:tcW w:w="1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Cash, Due 4/14</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Insurance</w:t>
            </w:r>
          </w:p>
        </w:tc>
        <w:tc>
          <w:tcPr>
            <w:tcW w:w="1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Huntsman International LLC</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Extended 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2,290,204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2,162,053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2,297,006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w w:val="99"/>
              </w:rPr>
              <w:t>Chemicals, Plastics and Rubber</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2.8%</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4/17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6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Huntsman International LLC</w:t>
            </w:r>
          </w:p>
        </w:tc>
        <w:tc>
          <w:tcPr>
            <w:tcW w:w="160" w:type="dxa"/>
            <w:vAlign w:val="bottom"/>
            <w:shd w:val="clear" w:color="auto" w:fill="CCFFCC"/>
          </w:tcPr>
          <w:p>
            <w:pPr>
              <w:spacing w:after="0"/>
              <w:rPr>
                <w:sz w:val="17"/>
                <w:szCs w:val="17"/>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w w:val="98"/>
              </w:rPr>
              <w:t>Series 2 Extended Term B Dollar</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848,536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836,108</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851,056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9"/>
              </w:rPr>
              <w:t>Chemicals, Plastics and Rubber</w:t>
            </w:r>
          </w:p>
        </w:tc>
        <w:tc>
          <w:tcPr>
            <w:tcW w:w="160" w:type="dxa"/>
            <w:vAlign w:val="bottom"/>
            <w:shd w:val="clear" w:color="auto" w:fill="CCFFCC"/>
          </w:tcPr>
          <w:p>
            <w:pPr>
              <w:spacing w:after="0"/>
              <w:rPr>
                <w:sz w:val="18"/>
                <w:szCs w:val="18"/>
                <w:color w:val="auto"/>
              </w:rPr>
            </w:pPr>
          </w:p>
        </w:tc>
        <w:tc>
          <w:tcPr>
            <w:tcW w:w="240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Loan — 3.0% Cash, Due 4/17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rPr>
              <w:t>Infor (US), Inc. ((fka Lawson</w:t>
            </w:r>
          </w:p>
        </w:tc>
        <w:tc>
          <w:tcPr>
            <w:tcW w:w="160" w:type="dxa"/>
            <w:vAlign w:val="bottom"/>
          </w:tcPr>
          <w:p>
            <w:pPr>
              <w:spacing w:after="0"/>
              <w:rPr>
                <w:sz w:val="16"/>
                <w:szCs w:val="16"/>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Tranche B-2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2,742,502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2,761,880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2,772,614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color w:val="auto"/>
              </w:rPr>
              <w:t>Software Inc.)</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5.3%</w:t>
            </w:r>
          </w:p>
        </w:tc>
        <w:tc>
          <w:tcPr>
            <w:tcW w:w="1980" w:type="dxa"/>
            <w:vAlign w:val="bottom"/>
          </w:tcPr>
          <w:p>
            <w:pPr>
              <w:ind w:left="40"/>
              <w:spacing w:after="0"/>
              <w:rPr>
                <w:sz w:val="20"/>
                <w:szCs w:val="20"/>
                <w:color w:val="auto"/>
              </w:rPr>
            </w:pPr>
            <w:r>
              <w:rPr>
                <w:rFonts w:ascii="Arial" w:cs="Arial" w:eastAsia="Arial" w:hAnsi="Arial"/>
                <w:sz w:val="16"/>
                <w:szCs w:val="16"/>
                <w:color w:val="auto"/>
              </w:rPr>
              <w:t>Cash, Due 4/18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6"/>
                <w:szCs w:val="16"/>
                <w:color w:val="auto"/>
                <w:w w:val="96"/>
              </w:rPr>
              <w:t>International Architectural Products,</w:t>
            </w:r>
          </w:p>
        </w:tc>
        <w:tc>
          <w:tcPr>
            <w:tcW w:w="160" w:type="dxa"/>
            <w:vAlign w:val="bottom"/>
          </w:tcPr>
          <w:p>
            <w:pPr>
              <w:spacing w:after="0"/>
              <w:rPr>
                <w:sz w:val="17"/>
                <w:szCs w:val="17"/>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166,935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160,054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86,806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60" w:type="dxa"/>
            <w:vAlign w:val="bottom"/>
            <w:gridSpan w:val="2"/>
          </w:tcPr>
          <w:p>
            <w:pPr>
              <w:ind w:left="180"/>
              <w:spacing w:after="0" w:line="203" w:lineRule="exact"/>
              <w:rPr>
                <w:sz w:val="20"/>
                <w:szCs w:val="20"/>
                <w:color w:val="auto"/>
              </w:rPr>
            </w:pPr>
            <w:r>
              <w:rPr>
                <w:rFonts w:ascii="Arial" w:cs="Arial" w:eastAsia="Arial" w:hAnsi="Arial"/>
                <w:sz w:val="14"/>
                <w:szCs w:val="14"/>
                <w:color w:val="auto"/>
              </w:rPr>
              <w:t>Inc.</w:t>
            </w:r>
            <w:r>
              <w:rPr>
                <w:rFonts w:ascii="Arial" w:cs="Arial" w:eastAsia="Arial" w:hAnsi="Arial"/>
                <w:sz w:val="23"/>
                <w:szCs w:val="23"/>
                <w:color w:val="auto"/>
                <w:vertAlign w:val="superscript"/>
              </w:rPr>
              <w:t>(3)</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w w:val="87"/>
              </w:rPr>
              <w:t>8.8%</w:t>
            </w:r>
          </w:p>
        </w:tc>
        <w:tc>
          <w:tcPr>
            <w:tcW w:w="1980" w:type="dxa"/>
            <w:vAlign w:val="bottom"/>
          </w:tcPr>
          <w:p>
            <w:pPr>
              <w:ind w:left="40"/>
              <w:spacing w:after="0"/>
              <w:rPr>
                <w:sz w:val="20"/>
                <w:szCs w:val="20"/>
                <w:color w:val="auto"/>
              </w:rPr>
            </w:pPr>
            <w:r>
              <w:rPr>
                <w:rFonts w:ascii="Arial" w:cs="Arial" w:eastAsia="Arial" w:hAnsi="Arial"/>
                <w:sz w:val="16"/>
                <w:szCs w:val="16"/>
                <w:color w:val="auto"/>
              </w:rPr>
              <w:t>Cash, 3.3% PIK,</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60" w:type="dxa"/>
            <w:vAlign w:val="bottom"/>
            <w:gridSpan w:val="2"/>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160" w:type="dxa"/>
            <w:vAlign w:val="bottom"/>
          </w:tcPr>
          <w:p>
            <w:pPr>
              <w:spacing w:after="0"/>
              <w:rPr>
                <w:sz w:val="21"/>
                <w:szCs w:val="21"/>
                <w:color w:val="auto"/>
              </w:rPr>
            </w:pP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Due 5/15</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-407035</wp:posOffset>
            </wp:positionV>
            <wp:extent cx="5213985" cy="5403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13985" cy="5403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-7816850</wp:posOffset>
            </wp:positionV>
            <wp:extent cx="521398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i w:val="1"/>
          <w:iCs w:val="1"/>
          <w:color w:val="auto"/>
        </w:rPr>
        <w:t>Precious Metals</w:t>
      </w:r>
    </w:p>
    <w:p>
      <w:pPr>
        <w:spacing w:after="0" w:line="200" w:lineRule="exact"/>
        <w:rPr>
          <w:sz w:val="20"/>
          <w:szCs w:val="20"/>
          <w:color w:val="auto"/>
        </w:rPr>
      </w:pPr>
    </w:p>
    <w:p>
      <w:pPr>
        <w:spacing w:after="0" w:line="35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J. Crew Group,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$ 1,970,000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$ 1,970,000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1,980,599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Jarden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1,965,037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1,980,897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1,979,008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JBS USA,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980,025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985,000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JMC Steel Group,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1,484,909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1,477,409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1,500,226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Key Safety Systems,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1,821,124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1,781,130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1,806,555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KIK Custom Products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Canadian Term Loan (First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138,659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118,807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130,339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Lien)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2.6%</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KIK Custom Products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 Loan (First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808,841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693,044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760,311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Lien)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2.6%</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Kronos Incorporated</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(First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1,013,285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Lien)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Kronos Worldwide,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1,462,500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1,440,000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1,480,781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4"/>
              </w:rPr>
              <w:t>La Paloma Generating Company,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(First-Lien)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1,970,000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1,870,500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1,967,538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7.0%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Las Vegas Sands,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2,685,932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2,590,015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2,695,253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(Extending)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Las Vegas Sands,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Delayed Draw I Term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605,877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583,565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607,979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(Extending)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Live Nation Entertainment,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486,256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487,072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492,335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Longview Power,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2017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864,582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763,880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627,539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7.3%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Lord &amp; Taylor Holdings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330,619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320,619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334,494</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(LT Propco LLC)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LPL Holdings,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Tranche B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1,975,000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2,007,331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Mackinaw Power Holdings,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1,619,048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1,560,000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1,612,976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1.8%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6/15</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MCC Iowa LLC (Mediacom</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D-1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971,576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933,930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968,341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Broadband Group)</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McJunkin Red Man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997,500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987,500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1,004,981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9"/>
              </w:rPr>
              <w:t>Machinery (Non-Agriculture, Non-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Construction, Non-Electronic)</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MetroPCS Wireless,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B-3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1,960,058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1,950,158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1,968,114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Michael Foods Group, Inc. (f/k/a M-</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Facility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351,453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357,170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354,015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Foods Holdings,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Michaels Stores,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B-2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979,129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981,273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989,601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Michaels Stores,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B-3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1,653,327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1,611,787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1,671,009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-7897495</wp:posOffset>
            </wp:positionV>
            <wp:extent cx="521398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9"/>
              </w:rPr>
              <w:t>MMH Media Holdings Inc. (fka MMH</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233,540</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474</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0" w:type="dxa"/>
            <w:vAlign w:val="bottom"/>
            <w:shd w:val="clear" w:color="auto" w:fill="CCFFCC"/>
          </w:tcPr>
          <w:p>
            <w:pPr>
              <w:spacing w:after="0"/>
              <w:rPr>
                <w:sz w:val="21"/>
                <w:szCs w:val="21"/>
                <w:color w:val="auto"/>
              </w:rPr>
            </w:pPr>
          </w:p>
        </w:tc>
        <w:tc>
          <w:tcPr>
            <w:tcW w:w="2580" w:type="dxa"/>
            <w:vAlign w:val="bottom"/>
            <w:gridSpan w:val="2"/>
            <w:shd w:val="clear" w:color="auto" w:fill="CCFFCC"/>
          </w:tcPr>
          <w:p>
            <w:pPr>
              <w:ind w:left="180"/>
              <w:spacing w:after="0" w:line="244" w:lineRule="exact"/>
              <w:rPr>
                <w:sz w:val="20"/>
                <w:szCs w:val="20"/>
                <w:color w:val="auto"/>
              </w:rPr>
            </w:pPr>
            <w:r>
              <w:rPr>
                <w:rFonts w:ascii="Arial" w:cs="Arial" w:eastAsia="Arial" w:hAnsi="Arial"/>
                <w:sz w:val="16"/>
                <w:szCs w:val="16"/>
                <w:color w:val="auto"/>
              </w:rPr>
              <w:t>Partners, L.P.)</w:t>
            </w:r>
            <w:r>
              <w:rPr>
                <w:rFonts w:ascii="Arial" w:cs="Arial" w:eastAsia="Arial" w:hAnsi="Arial"/>
                <w:sz w:val="27"/>
                <w:szCs w:val="27"/>
                <w:color w:val="auto"/>
                <w:vertAlign w:val="superscript"/>
              </w:rPr>
              <w:t>(3)</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PIK, Due 7/14</w:t>
            </w: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Munder Capital Management</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160,784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159,134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160,784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National CineMedia,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1,000,000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1,002,500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NBTY,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430,714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430,714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Neiman Marcus Group Inc., The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5"/>
              </w:rPr>
              <w:t>2,992,500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3,008,700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Novelis,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1,478,731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1,491,712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1,495,182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NRG Energy,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985,000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982,513</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997,253</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Nuveen Investments,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Extended First-Lien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971,633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972,546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977,555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Nuveen Investments,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Additional Extended</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831,561</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796,394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836,654</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First-Lien Term 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OSI Restaurant Partners,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1,500,000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1,485,000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1,517,280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6"/>
              </w:rPr>
              <w:t>Oxbow Carbon LLC/Oxbow Calcining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522,173</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525,545</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523,282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3.7% Cash, Due 5/16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Pantry, Inc.,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2,992,500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2,962,500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3,037,388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Party City Holdings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498,750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493,750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505,216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Penn National Gaming,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Facility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1,196,978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1,196,978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1,202,496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PetCo Animal Supplies,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New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3,449,798</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5"/>
              </w:rPr>
              <w:t>3,449,798</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3,481,226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Petroleum GEO-Services ASA/PGS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1,568,444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1,548,839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1,578,443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Finance,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Oil and Gas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3"/>
              </w:rPr>
              <w:t>Pharmaceutical Product Development,</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1,485,000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5"/>
              </w:rPr>
              <w:t>1,462,500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1,511,255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Inc. (Jaguar Holdings, LLC)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Pinnacle Foods Finance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Extended Initial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4,808,417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4,721,906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4,841,427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Plains Exploration &amp; Production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7-Year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750,000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746,250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754,223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Company</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4.0% Cash, Due 11/19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Oil and Gas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PQ Corporation (fka Niagara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B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2,000,000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1,985,000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2,014,030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Acquisition,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Progressive Waste Solutions Ltd.</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750,000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746,250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756,563</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Ecological</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QCE, LLC (Quiznos)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804,573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713,221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634,004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9.0%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-8047990</wp:posOffset>
            </wp:positionV>
            <wp:extent cx="521398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R.H. Donnelley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551,081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426,761</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379,695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9.0%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Regal Cinemas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490,000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493,151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Reynolds Group Holdings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2,149,613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2,149,613</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2,177,568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Containers, Packaging and Glass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9/18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RGIS Services,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Extended Initial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2,027,202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1,953,687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2,042,406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4.6%</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Roundy's Supermarkets,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2,977,500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2,932,500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2,808,631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Rovi Solutions Corporation/Rovi</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496,250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493,750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495,940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Guides,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RPI Finance Trust</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6.75 Year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1,963,212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1,953,262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1,982,432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(2012)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Sabre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Non-Extended Initial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558,504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364,432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559,238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9/14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SBA Senior Finance II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982,513</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991,260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SBA Senior Finance II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Tranche B</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249,375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9/19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6"/>
              </w:rPr>
              <w:t>Seaworld Parks &amp; Entertainment,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962,599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950,109</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971,349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(f/k/a SW Acquisitions Co.,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Select Medical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4,925,000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4,875,250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4,958,244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Seminole Tribe of Florida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B-1 Delay Draw</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445,020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435,640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446,967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1.8%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Seminole Tribe of Florida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Delay Draw</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1,607,287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1,573,435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1,614,319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1.8%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Seminole Tribe of Florida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B-3 Delay Draw</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582,996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566,126</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585,547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1.8%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Sensata Technology BV/Sensata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1,970,000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1,955,075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1,983,544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w w:val="93"/>
              </w:rPr>
              <w:t>Technology Finance Company, LLC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Serena Software,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2016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1,992,500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2,010,000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(Extended)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Sinclair Television Group,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989,594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979,594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997,011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Six Flags Theme Parks,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1,692,406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1,713,031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1,702,526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Solvest, Ltd. (Dole)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C-2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616,922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612,071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618,656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Farming and Agriculture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Sorenson Communications,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4,246,700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4,051,840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4,179,687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8/13</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-7640320</wp:posOffset>
            </wp:positionV>
            <wp:extent cx="521398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Spirit Aerosystems, Inc. (fka Mid-</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$ 2,481,250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$ 2,468,750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2,501,410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Western Aircraft Systems,Inc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Onex Wind Finance LP.)</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SRAM,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885,868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880,996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888,082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SS&amp;C Technologies, Inc.,/Sunshine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Funded Term B-1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827,276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818,214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840,202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Acquisition II,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SS&amp;C Technologies, Inc.,/Sunshine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Funded 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85,580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84,643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86,917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Acquisition II,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9"/>
              </w:rPr>
              <w:t>Sun Products Corporation., The (fka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2,390,202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2,291,311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2,345,385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Huish Detergents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(First Lien)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4/14</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SunCoke Energy,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246,868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241,880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247,485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SunGard Data Systems Inc (Solar</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2,720,982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2,662,533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2,740,519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Capital Corp.)</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Telesat Canada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U.S. 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1,004,701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TPF Generation Holdings,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Synthetic LC Deposit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193,223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184,748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193,706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(First Lien)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12/13</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TransDigm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1,964,925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1,964,925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1,979,219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Trinseo Materials Operating S.C.A.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1,756,662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1,589,631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1,717,418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(fka Styron S.A.R.L)</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8.0%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7"/>
              </w:rPr>
              <w:t>Tronox Pigments (Netherlands) B. V.</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Closing Date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1,563,571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1,538,036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1,582,147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7"/>
              </w:rPr>
              <w:t>Tronox Pigments (Netherlands) B. V.</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Delayed Draw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426,429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419,464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431,495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Tube City IMS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3,970,000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3,930,000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4,018,394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8"/>
              </w:rPr>
              <w:t>TW Telecom Holdings Inc. (fka Time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B-2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2,426,572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2,433,721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2,444,262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Warner Telecom Holdings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TWCC Holding Corp.</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3,325,061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3,325,061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3,366,624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United Air Lines,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2,445,033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2,435,726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2,447,588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Personal Transportation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Univar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3,190,103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3,197,161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3,185,573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Universal Health Services,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466,188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480,581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469,880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2011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Univision Communications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Extended First-Lien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3,331,956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3,248,600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3,283,543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Valleycrest Companies LLC (VCC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A Extended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1,797,220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1,760,625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1,792,727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Holdco II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8.0%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-8026400</wp:posOffset>
            </wp:positionV>
            <wp:extent cx="521398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Vantiv, LLC (fka Fifth Third</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992,500</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987,500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994,361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Processing Solutions, LLC)</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3.8%</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Vertafore,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980,009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980,009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990,221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5.3%</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Walter Energy, Inc. (f/k/a Walter</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B Term 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2,499,441</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2,480,121</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2,519,749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Industries, Inc.)</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5.8%</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1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Warner Chilcott Company,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Loan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191,353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191,353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4.3%</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Warner Chilcott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B-1 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382,706</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382,706</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386,734</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4.3%</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Warner Chilcott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Additional Term B-1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145,341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145,341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4.3%</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WC Luxco S.A.R.L. (Warner</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B-3 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263,110</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263,110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265,879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Chilcott)</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4.3%</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w w:val="97"/>
              </w:rPr>
              <w:t>Weight Watchers International,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F Loan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992,500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982,500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1,001,517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4.0%</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Wendy's International,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1,995,000</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1,975,000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2,019,938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1"/>
              </w:rPr>
              <w:t>Personal, Food and Miscellaneous</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4.8%</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5/19</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WESCO Distribution,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B-1 Loan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1,007,085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w w:val="93"/>
              </w:rPr>
              <w:t>Machinery (Non-Agriculture, Non-</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4.5%</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12/19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Construction, Non-Electronic)</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West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B-4 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1,529,677</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1,537,167</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1,554,855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4"/>
              </w:rPr>
              <w:t>Diversified/Conglomerate Service</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5.5%</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West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B-5 Loan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537,653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541,605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546,503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w w:val="94"/>
              </w:rPr>
              <w:t>Diversified/Conglomerate Service</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5.5%</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WireCo WorldGroup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1,995,000</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1,975,000</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2,039,888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3"/>
              </w:rPr>
              <w:t>Machinery (Non-Agriculture, Non-</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6.0%</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Construction, Non-Electronic)</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WMG Acquisitions Corp.</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507,033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5.3%</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11/18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Wolverine World Wide,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694,687</w:t>
            </w: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687,187</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701,200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Textiles and Leather</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4.0%</w:t>
            </w:r>
          </w:p>
        </w:tc>
        <w:tc>
          <w:tcPr>
            <w:tcW w:w="182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7/19</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w w:val="95"/>
              </w:rPr>
              <w:t>Yankee Candle Company, Inc.,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3,610,345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3,570,345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3,653,795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Retail Stores</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5.3%</w:t>
            </w:r>
          </w:p>
        </w:tc>
        <w:tc>
          <w:tcPr>
            <w:tcW w:w="1820" w:type="dxa"/>
            <w:vAlign w:val="bottom"/>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w w:val="90"/>
              </w:rPr>
              <w:t>Total Investment in Debt Securities</w:t>
            </w:r>
          </w:p>
        </w:tc>
        <w:tc>
          <w:tcPr>
            <w:tcW w:w="1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292,826,736</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287,730,117</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2"/>
              </w:rPr>
              <w:t>291,720,614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154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60" w:type="dxa"/>
            <w:vAlign w:val="bottom"/>
            <w:shd w:val="clear" w:color="auto" w:fill="CCFFCC"/>
          </w:tcPr>
          <w:p>
            <w:pPr>
              <w:spacing w:after="0" w:line="20" w:lineRule="exact"/>
              <w:rPr>
                <w:sz w:val="1"/>
                <w:szCs w:val="1"/>
                <w:color w:val="auto"/>
              </w:rPr>
            </w:pPr>
          </w:p>
        </w:tc>
        <w:tc>
          <w:tcPr>
            <w:tcW w:w="18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-6113780</wp:posOffset>
            </wp:positionV>
            <wp:extent cx="521398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63" w:name="page164"/>
    <w:bookmarkEnd w:id="16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4"/>
          </w:tcPr>
          <w:p>
            <w:pPr>
              <w:ind w:left="20"/>
              <w:spacing w:after="0"/>
              <w:rPr>
                <w:sz w:val="20"/>
                <w:szCs w:val="20"/>
                <w:color w:val="auto"/>
              </w:rPr>
            </w:pPr>
            <w:r>
              <w:rPr>
                <w:rFonts w:ascii="Arial" w:cs="Arial" w:eastAsia="Arial" w:hAnsi="Arial"/>
                <w:sz w:val="14"/>
                <w:szCs w:val="14"/>
                <w:b w:val="1"/>
                <w:bCs w:val="1"/>
                <w:color w:val="auto"/>
              </w:rPr>
              <w:t>Portfolio Company/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ind w:left="300"/>
              <w:spacing w:after="0"/>
              <w:rPr>
                <w:sz w:val="20"/>
                <w:szCs w:val="20"/>
                <w:color w:val="auto"/>
              </w:rPr>
            </w:pPr>
            <w:r>
              <w:rPr>
                <w:rFonts w:ascii="Arial" w:cs="Arial" w:eastAsia="Arial" w:hAnsi="Arial"/>
                <w:sz w:val="14"/>
                <w:szCs w:val="14"/>
                <w:b w:val="1"/>
                <w:bCs w:val="1"/>
                <w:color w:val="auto"/>
              </w:rPr>
              <w:t>Equity Investment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w:t>
            </w:r>
          </w:p>
        </w:tc>
      </w:tr>
      <w:tr>
        <w:trPr>
          <w:trHeight w:val="171"/>
        </w:trPr>
        <w:tc>
          <w:tcPr>
            <w:tcW w:w="24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Principal Business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199"/>
        </w:trPr>
        <w:tc>
          <w:tcPr>
            <w:tcW w:w="2460" w:type="dxa"/>
            <w:vAlign w:val="bottom"/>
            <w:gridSpan w:val="4"/>
            <w:shd w:val="clear" w:color="auto" w:fill="CCFFCC"/>
          </w:tcPr>
          <w:p>
            <w:pPr>
              <w:ind w:left="20"/>
              <w:spacing w:after="0" w:line="199" w:lineRule="exact"/>
              <w:rPr>
                <w:sz w:val="20"/>
                <w:szCs w:val="20"/>
                <w:color w:val="auto"/>
              </w:rPr>
            </w:pPr>
            <w:r>
              <w:rPr>
                <w:rFonts w:ascii="Arial" w:cs="Arial" w:eastAsia="Arial" w:hAnsi="Arial"/>
                <w:sz w:val="18"/>
                <w:szCs w:val="18"/>
                <w:color w:val="auto"/>
              </w:rPr>
              <w:t>MMH Media Holdings Inc. (fka</w:t>
            </w: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740" w:type="dxa"/>
            <w:vAlign w:val="bottom"/>
            <w:gridSpan w:val="2"/>
            <w:shd w:val="clear" w:color="auto" w:fill="CCFFCC"/>
          </w:tcPr>
          <w:p>
            <w:pPr>
              <w:ind w:left="100"/>
              <w:spacing w:after="0" w:line="199" w:lineRule="exact"/>
              <w:rPr>
                <w:sz w:val="20"/>
                <w:szCs w:val="20"/>
                <w:color w:val="auto"/>
              </w:rPr>
            </w:pPr>
            <w:r>
              <w:rPr>
                <w:rFonts w:ascii="Arial" w:cs="Arial" w:eastAsia="Arial" w:hAnsi="Arial"/>
                <w:sz w:val="18"/>
                <w:szCs w:val="18"/>
                <w:color w:val="auto"/>
              </w:rPr>
              <w:t>Common Stock</w:t>
            </w: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line="199" w:lineRule="exact"/>
              <w:rPr>
                <w:sz w:val="20"/>
                <w:szCs w:val="20"/>
                <w:color w:val="auto"/>
              </w:rPr>
            </w:pPr>
            <w:r>
              <w:rPr>
                <w:rFonts w:ascii="Arial" w:cs="Arial" w:eastAsia="Arial" w:hAnsi="Arial"/>
                <w:sz w:val="18"/>
                <w:szCs w:val="18"/>
                <w:color w:val="auto"/>
              </w:rPr>
              <w:t>5,120</w:t>
            </w:r>
          </w:p>
        </w:tc>
        <w:tc>
          <w:tcPr>
            <w:tcW w:w="60" w:type="dxa"/>
            <w:vAlign w:val="bottom"/>
            <w:shd w:val="clear" w:color="auto" w:fill="CCFFCC"/>
          </w:tcPr>
          <w:p>
            <w:pPr>
              <w:spacing w:after="0"/>
              <w:rPr>
                <w:sz w:val="17"/>
                <w:szCs w:val="17"/>
                <w:color w:val="auto"/>
              </w:rPr>
            </w:pPr>
          </w:p>
        </w:tc>
        <w:tc>
          <w:tcPr>
            <w:tcW w:w="300" w:type="dxa"/>
            <w:vAlign w:val="bottom"/>
            <w:gridSpan w:val="2"/>
            <w:shd w:val="clear" w:color="auto" w:fill="CCFFCC"/>
          </w:tcPr>
          <w:p>
            <w:pPr>
              <w:jc w:val="right"/>
              <w:ind w:right="40"/>
              <w:spacing w:after="0" w:line="199"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FFCC"/>
          </w:tcPr>
          <w:p>
            <w:pPr>
              <w:jc w:val="right"/>
              <w:ind w:right="240"/>
              <w:spacing w:after="0" w:line="199"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80"/>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3"/>
            <w:shd w:val="clear" w:color="auto" w:fill="CCFFCC"/>
          </w:tcPr>
          <w:p>
            <w:pPr>
              <w:jc w:val="right"/>
              <w:ind w:right="80"/>
              <w:spacing w:after="0" w:line="199" w:lineRule="exact"/>
              <w:rPr>
                <w:sz w:val="20"/>
                <w:szCs w:val="20"/>
                <w:color w:val="auto"/>
              </w:rPr>
            </w:pPr>
            <w:r>
              <w:rPr>
                <w:rFonts w:ascii="Arial" w:cs="Arial" w:eastAsia="Arial" w:hAnsi="Arial"/>
                <w:sz w:val="18"/>
                <w:szCs w:val="18"/>
                <w:color w:val="auto"/>
              </w:rPr>
              <w:t>—</w:t>
            </w:r>
          </w:p>
        </w:tc>
      </w:tr>
      <w:tr>
        <w:trPr>
          <w:trHeight w:val="253"/>
        </w:trPr>
        <w:tc>
          <w:tcPr>
            <w:tcW w:w="20" w:type="dxa"/>
            <w:vAlign w:val="bottom"/>
            <w:shd w:val="clear" w:color="auto" w:fill="CCFFCC"/>
          </w:tcPr>
          <w:p>
            <w:pPr>
              <w:spacing w:after="0"/>
              <w:rPr>
                <w:sz w:val="21"/>
                <w:szCs w:val="21"/>
                <w:color w:val="auto"/>
              </w:rPr>
            </w:pPr>
          </w:p>
        </w:tc>
        <w:tc>
          <w:tcPr>
            <w:tcW w:w="2440" w:type="dxa"/>
            <w:vAlign w:val="bottom"/>
            <w:gridSpan w:val="3"/>
            <w:shd w:val="clear" w:color="auto" w:fill="CCFFCC"/>
          </w:tcPr>
          <w:p>
            <w:pPr>
              <w:ind w:left="180"/>
              <w:spacing w:after="0" w:line="253" w:lineRule="exact"/>
              <w:rPr>
                <w:sz w:val="20"/>
                <w:szCs w:val="20"/>
                <w:color w:val="auto"/>
              </w:rPr>
            </w:pPr>
            <w:r>
              <w:rPr>
                <w:rFonts w:ascii="Arial" w:cs="Arial" w:eastAsia="Arial" w:hAnsi="Arial"/>
                <w:sz w:val="18"/>
                <w:szCs w:val="18"/>
                <w:color w:val="auto"/>
              </w:rPr>
              <w:t>MMH Partners, L.P.)</w:t>
            </w:r>
            <w:r>
              <w:rPr>
                <w:rFonts w:ascii="Arial" w:cs="Arial" w:eastAsia="Arial" w:hAnsi="Arial"/>
                <w:sz w:val="29"/>
                <w:szCs w:val="29"/>
                <w:color w:val="auto"/>
                <w:vertAlign w:val="superscript"/>
              </w:rPr>
              <w:t>(2)</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6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r>
      <w:tr>
        <w:trPr>
          <w:trHeight w:val="216"/>
        </w:trPr>
        <w:tc>
          <w:tcPr>
            <w:tcW w:w="2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rPr>
              <w:t>Healthcare, Education and</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rPr>
              <w:t>Childcare</w:t>
            </w: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05"/>
        </w:trPr>
        <w:tc>
          <w:tcPr>
            <w:tcW w:w="2460" w:type="dxa"/>
            <w:vAlign w:val="bottom"/>
            <w:gridSpan w:val="4"/>
          </w:tcPr>
          <w:p>
            <w:pPr>
              <w:ind w:left="20"/>
              <w:spacing w:after="0" w:line="206" w:lineRule="exact"/>
              <w:rPr>
                <w:sz w:val="20"/>
                <w:szCs w:val="20"/>
                <w:color w:val="auto"/>
              </w:rPr>
            </w:pPr>
            <w:r>
              <w:rPr>
                <w:rFonts w:ascii="Arial" w:cs="Arial" w:eastAsia="Arial" w:hAnsi="Arial"/>
                <w:sz w:val="18"/>
                <w:szCs w:val="18"/>
                <w:color w:val="auto"/>
              </w:rPr>
              <w:t>International Architectural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100"/>
              <w:spacing w:after="0" w:line="206" w:lineRule="exact"/>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line="206" w:lineRule="exact"/>
              <w:rPr>
                <w:sz w:val="20"/>
                <w:szCs w:val="20"/>
                <w:color w:val="auto"/>
              </w:rPr>
            </w:pPr>
            <w:r>
              <w:rPr>
                <w:rFonts w:ascii="Arial" w:cs="Arial" w:eastAsia="Arial" w:hAnsi="Arial"/>
                <w:sz w:val="18"/>
                <w:szCs w:val="18"/>
                <w:color w:val="auto"/>
              </w:rPr>
              <w:t>823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40"/>
              <w:spacing w:after="0" w:line="20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0"/>
              <w:spacing w:after="0" w:line="206" w:lineRule="exact"/>
              <w:rPr>
                <w:sz w:val="20"/>
                <w:szCs w:val="20"/>
                <w:color w:val="auto"/>
              </w:rPr>
            </w:pPr>
            <w:r>
              <w:rPr>
                <w:rFonts w:ascii="Arial" w:cs="Arial" w:eastAsia="Arial" w:hAnsi="Arial"/>
                <w:sz w:val="18"/>
                <w:szCs w:val="18"/>
                <w:color w:val="auto"/>
              </w:rPr>
              <w:t>329</w:t>
            </w:r>
          </w:p>
        </w:tc>
        <w:tc>
          <w:tcPr>
            <w:tcW w:w="60" w:type="dxa"/>
            <w:vAlign w:val="bottom"/>
          </w:tcPr>
          <w:p>
            <w:pPr>
              <w:spacing w:after="0"/>
              <w:rPr>
                <w:sz w:val="17"/>
                <w:szCs w:val="17"/>
                <w:color w:val="auto"/>
              </w:rPr>
            </w:pPr>
          </w:p>
        </w:tc>
      </w:tr>
      <w:tr>
        <w:trPr>
          <w:trHeight w:val="253"/>
        </w:trPr>
        <w:tc>
          <w:tcPr>
            <w:tcW w:w="20" w:type="dxa"/>
            <w:vAlign w:val="bottom"/>
          </w:tcPr>
          <w:p>
            <w:pPr>
              <w:spacing w:after="0"/>
              <w:rPr>
                <w:sz w:val="21"/>
                <w:szCs w:val="21"/>
                <w:color w:val="auto"/>
              </w:rPr>
            </w:pPr>
          </w:p>
        </w:tc>
        <w:tc>
          <w:tcPr>
            <w:tcW w:w="2440" w:type="dxa"/>
            <w:vAlign w:val="bottom"/>
            <w:gridSpan w:val="3"/>
          </w:tcPr>
          <w:p>
            <w:pPr>
              <w:ind w:left="180"/>
              <w:spacing w:after="0" w:line="253" w:lineRule="exact"/>
              <w:rPr>
                <w:sz w:val="20"/>
                <w:szCs w:val="20"/>
                <w:color w:val="auto"/>
              </w:rPr>
            </w:pPr>
            <w:r>
              <w:rPr>
                <w:rFonts w:ascii="Arial" w:cs="Arial" w:eastAsia="Arial" w:hAnsi="Arial"/>
                <w:sz w:val="18"/>
                <w:szCs w:val="18"/>
                <w:color w:val="auto"/>
              </w:rPr>
              <w:t>Products, Inc.</w:t>
            </w:r>
            <w:r>
              <w:rPr>
                <w:rFonts w:ascii="Arial" w:cs="Arial" w:eastAsia="Arial" w:hAnsi="Arial"/>
                <w:sz w:val="29"/>
                <w:szCs w:val="29"/>
                <w:color w:val="auto"/>
                <w:vertAlign w:val="superscript"/>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i w:val="1"/>
                <w:iCs w:val="1"/>
                <w:color w:val="auto"/>
                <w:w w:val="99"/>
              </w:rPr>
              <w:t>Mining, Steel, Iron and Non-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i w:val="1"/>
                <w:iCs w:val="1"/>
                <w:color w:val="auto"/>
              </w:rPr>
              <w:t>Precious Metals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460" w:type="dxa"/>
            <w:vAlign w:val="bottom"/>
            <w:gridSpan w:val="4"/>
            <w:shd w:val="clear" w:color="auto" w:fill="CCFFCC"/>
          </w:tcPr>
          <w:p>
            <w:pPr>
              <w:ind w:left="20"/>
              <w:spacing w:after="0" w:line="242" w:lineRule="exact"/>
              <w:rPr>
                <w:sz w:val="20"/>
                <w:szCs w:val="20"/>
                <w:color w:val="auto"/>
              </w:rPr>
            </w:pPr>
            <w:r>
              <w:rPr>
                <w:rFonts w:ascii="Arial" w:cs="Arial" w:eastAsia="Arial" w:hAnsi="Arial"/>
                <w:sz w:val="17"/>
                <w:szCs w:val="17"/>
                <w:color w:val="auto"/>
              </w:rPr>
              <w:t>Metro-Goldwyn-Mayer Inc.</w:t>
            </w:r>
            <w:r>
              <w:rPr>
                <w:rFonts w:ascii="Arial" w:cs="Arial" w:eastAsia="Arial" w:hAnsi="Arial"/>
                <w:sz w:val="28"/>
                <w:szCs w:val="28"/>
                <w:color w:val="auto"/>
                <w:vertAlign w:val="superscript"/>
              </w:rPr>
              <w:t>(2)</w:t>
            </w: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740" w:type="dxa"/>
            <w:vAlign w:val="bottom"/>
            <w:gridSpan w:val="2"/>
            <w:shd w:val="clear" w:color="auto" w:fill="CCFFCC"/>
          </w:tcPr>
          <w:p>
            <w:pPr>
              <w:jc w:val="center"/>
              <w:ind w:right="260"/>
              <w:spacing w:after="0"/>
              <w:rPr>
                <w:sz w:val="20"/>
                <w:szCs w:val="20"/>
                <w:color w:val="auto"/>
              </w:rPr>
            </w:pPr>
            <w:r>
              <w:rPr>
                <w:rFonts w:ascii="Arial" w:cs="Arial" w:eastAsia="Arial" w:hAnsi="Arial"/>
                <w:sz w:val="18"/>
                <w:szCs w:val="18"/>
                <w:color w:val="auto"/>
                <w:w w:val="91"/>
              </w:rPr>
              <w:t>Class A Common</w:t>
            </w: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53,069</w:t>
            </w: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2,023,256</w:t>
            </w:r>
          </w:p>
        </w:tc>
        <w:tc>
          <w:tcPr>
            <w:tcW w:w="60" w:type="dxa"/>
            <w:vAlign w:val="bottom"/>
            <w:shd w:val="clear" w:color="auto" w:fill="CCFFCC"/>
          </w:tcPr>
          <w:p>
            <w:pPr>
              <w:spacing w:after="0"/>
              <w:rPr>
                <w:sz w:val="21"/>
                <w:szCs w:val="21"/>
                <w:color w:val="auto"/>
              </w:rPr>
            </w:pPr>
          </w:p>
        </w:tc>
      </w:tr>
      <w:tr>
        <w:trPr>
          <w:trHeight w:val="216"/>
        </w:trPr>
        <w:tc>
          <w:tcPr>
            <w:tcW w:w="2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w w:val="97"/>
              </w:rPr>
              <w:t>Leisure, Amusement, Motion</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Stock</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rPr>
              <w:t>Pictures, Entertainment</w:t>
            </w: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02"/>
        </w:trPr>
        <w:tc>
          <w:tcPr>
            <w:tcW w:w="246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Caribe Media Inc. (fka Caribe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877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337,551</w:t>
            </w:r>
          </w:p>
        </w:tc>
        <w:tc>
          <w:tcPr>
            <w:tcW w:w="6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color w:val="auto"/>
              </w:rPr>
              <w:t>Information Investments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3"/>
        </w:trPr>
        <w:tc>
          <w:tcPr>
            <w:tcW w:w="20" w:type="dxa"/>
            <w:vAlign w:val="bottom"/>
          </w:tcPr>
          <w:p>
            <w:pPr>
              <w:spacing w:after="0"/>
              <w:rPr>
                <w:sz w:val="21"/>
                <w:szCs w:val="21"/>
                <w:color w:val="auto"/>
              </w:rPr>
            </w:pPr>
          </w:p>
        </w:tc>
        <w:tc>
          <w:tcPr>
            <w:tcW w:w="2440" w:type="dxa"/>
            <w:vAlign w:val="bottom"/>
            <w:gridSpan w:val="3"/>
          </w:tcPr>
          <w:p>
            <w:pPr>
              <w:ind w:left="180"/>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i w:val="1"/>
                <w:iCs w:val="1"/>
                <w:color w:val="auto"/>
              </w:rPr>
              <w:t>Printing and Publishing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460" w:type="dxa"/>
            <w:vAlign w:val="bottom"/>
            <w:gridSpan w:val="4"/>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rPr>
              <w:t>Total Investment in Equity</w:t>
            </w: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6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300" w:type="dxa"/>
            <w:vAlign w:val="bottom"/>
            <w:gridSpan w:val="2"/>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FFCC"/>
          </w:tcPr>
          <w:p>
            <w:pPr>
              <w:jc w:val="right"/>
              <w:ind w:right="240"/>
              <w:spacing w:after="0" w:line="191"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FFCC"/>
          </w:tcPr>
          <w:p>
            <w:pPr>
              <w:jc w:val="right"/>
              <w:ind w:right="80"/>
              <w:spacing w:after="0" w:line="19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20"/>
              <w:spacing w:after="0" w:line="191" w:lineRule="exact"/>
              <w:rPr>
                <w:sz w:val="20"/>
                <w:szCs w:val="20"/>
                <w:color w:val="auto"/>
              </w:rPr>
            </w:pPr>
            <w:r>
              <w:rPr>
                <w:rFonts w:ascii="Arial" w:cs="Arial" w:eastAsia="Arial" w:hAnsi="Arial"/>
                <w:sz w:val="18"/>
                <w:szCs w:val="18"/>
                <w:color w:val="auto"/>
              </w:rPr>
              <w:t>2,361,136</w:t>
            </w:r>
          </w:p>
        </w:tc>
        <w:tc>
          <w:tcPr>
            <w:tcW w:w="60" w:type="dxa"/>
            <w:vAlign w:val="bottom"/>
            <w:shd w:val="clear" w:color="auto" w:fill="CCFFCC"/>
          </w:tcPr>
          <w:p>
            <w:pPr>
              <w:spacing w:after="0"/>
              <w:rPr>
                <w:sz w:val="16"/>
                <w:szCs w:val="16"/>
                <w:color w:val="auto"/>
              </w:rPr>
            </w:pPr>
          </w:p>
        </w:tc>
      </w:tr>
      <w:tr>
        <w:trPr>
          <w:trHeight w:val="234"/>
        </w:trPr>
        <w:tc>
          <w:tcPr>
            <w:tcW w:w="20" w:type="dxa"/>
            <w:vAlign w:val="bottom"/>
            <w:tcBorders>
              <w:bottom w:val="single" w:sz="8" w:color="CCFFCC"/>
            </w:tcBorders>
            <w:shd w:val="clear" w:color="auto" w:fill="CCFFCC"/>
          </w:tcPr>
          <w:p>
            <w:pPr>
              <w:spacing w:after="0"/>
              <w:rPr>
                <w:sz w:val="20"/>
                <w:szCs w:val="20"/>
                <w:color w:val="auto"/>
              </w:rPr>
            </w:pPr>
          </w:p>
        </w:tc>
        <w:tc>
          <w:tcPr>
            <w:tcW w:w="244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b w:val="1"/>
                <w:bCs w:val="1"/>
                <w:color w:val="auto"/>
              </w:rPr>
              <w:t>Securities</w:t>
            </w:r>
          </w:p>
        </w:tc>
        <w:tc>
          <w:tcPr>
            <w:tcW w:w="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6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spacing w:after="0"/>
              <w:rPr>
                <w:sz w:val="20"/>
                <w:szCs w:val="20"/>
                <w:color w:val="auto"/>
              </w:rPr>
            </w:pPr>
          </w:p>
        </w:tc>
        <w:tc>
          <w:tcPr>
            <w:tcW w:w="980" w:type="dxa"/>
            <w:vAlign w:val="bottom"/>
            <w:tcBorders>
              <w:bottom w:val="single" w:sz="8" w:color="auto"/>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r>
      <w:tr>
        <w:trPr>
          <w:trHeight w:val="358"/>
        </w:trPr>
        <w:tc>
          <w:tcPr>
            <w:tcW w:w="20" w:type="dxa"/>
            <w:vAlign w:val="bottom"/>
          </w:tcPr>
          <w:p>
            <w:pPr>
              <w:spacing w:after="0"/>
              <w:rPr>
                <w:sz w:val="24"/>
                <w:szCs w:val="24"/>
                <w:color w:val="auto"/>
              </w:rPr>
            </w:pPr>
          </w:p>
        </w:tc>
        <w:tc>
          <w:tcPr>
            <w:tcW w:w="2440" w:type="dxa"/>
            <w:vAlign w:val="bottom"/>
            <w:gridSpan w:val="3"/>
          </w:tcPr>
          <w:p>
            <w:pPr>
              <w:ind w:left="40"/>
              <w:spacing w:after="0"/>
              <w:rPr>
                <w:sz w:val="20"/>
                <w:szCs w:val="20"/>
                <w:color w:val="auto"/>
              </w:rPr>
            </w:pPr>
            <w:r>
              <w:rPr>
                <w:rFonts w:ascii="Arial" w:cs="Arial" w:eastAsia="Arial" w:hAnsi="Arial"/>
                <w:sz w:val="18"/>
                <w:szCs w:val="18"/>
                <w:b w:val="1"/>
                <w:bCs w:val="1"/>
                <w:color w:val="auto"/>
              </w:rPr>
              <w:t>CLO Securities Portfolio</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Company</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CLO Investment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2460" w:type="dxa"/>
            <w:vAlign w:val="bottom"/>
            <w:gridSpan w:val="4"/>
            <w:shd w:val="clear" w:color="auto" w:fill="CCFFCC"/>
          </w:tcPr>
          <w:p>
            <w:pPr>
              <w:ind w:left="20"/>
              <w:spacing w:after="0" w:line="236" w:lineRule="exact"/>
              <w:rPr>
                <w:sz w:val="20"/>
                <w:szCs w:val="20"/>
                <w:color w:val="auto"/>
              </w:rPr>
            </w:pPr>
            <w:r>
              <w:rPr>
                <w:rFonts w:ascii="Arial" w:cs="Arial" w:eastAsia="Arial" w:hAnsi="Arial"/>
                <w:sz w:val="17"/>
                <w:szCs w:val="17"/>
                <w:color w:val="auto"/>
              </w:rPr>
              <w:t>APID 2007-5A</w:t>
            </w:r>
            <w:r>
              <w:rPr>
                <w:rFonts w:ascii="Arial" w:cs="Arial" w:eastAsia="Arial" w:hAnsi="Arial"/>
                <w:sz w:val="27"/>
                <w:szCs w:val="27"/>
                <w:color w:val="auto"/>
                <w:vertAlign w:val="superscript"/>
              </w:rPr>
              <w:t>(1)</w:t>
            </w:r>
          </w:p>
        </w:tc>
        <w:tc>
          <w:tcPr>
            <w:tcW w:w="60" w:type="dxa"/>
            <w:vAlign w:val="bottom"/>
            <w:shd w:val="clear" w:color="auto" w:fill="CCFFCC"/>
          </w:tcPr>
          <w:p>
            <w:pPr>
              <w:spacing w:after="0"/>
              <w:rPr>
                <w:sz w:val="20"/>
                <w:szCs w:val="20"/>
                <w:color w:val="auto"/>
              </w:rPr>
            </w:pPr>
          </w:p>
        </w:tc>
        <w:tc>
          <w:tcPr>
            <w:tcW w:w="1840" w:type="dxa"/>
            <w:vAlign w:val="bottom"/>
            <w:gridSpan w:val="3"/>
            <w:shd w:val="clear" w:color="auto" w:fill="CCFFCC"/>
          </w:tcPr>
          <w:p>
            <w:pPr>
              <w:jc w:val="center"/>
              <w:ind w:right="160"/>
              <w:spacing w:after="0"/>
              <w:rPr>
                <w:sz w:val="20"/>
                <w:szCs w:val="20"/>
                <w:color w:val="auto"/>
              </w:rPr>
            </w:pPr>
            <w:r>
              <w:rPr>
                <w:rFonts w:ascii="Arial" w:cs="Arial" w:eastAsia="Arial" w:hAnsi="Arial"/>
                <w:sz w:val="18"/>
                <w:szCs w:val="18"/>
                <w:color w:val="auto"/>
                <w:w w:val="92"/>
              </w:rPr>
              <w:t>Floating – 04/2021 –</w:t>
            </w:r>
          </w:p>
        </w:tc>
        <w:tc>
          <w:tcPr>
            <w:tcW w:w="1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FFCC"/>
          </w:tcPr>
          <w:p>
            <w:pPr>
              <w:spacing w:after="0"/>
              <w:rPr>
                <w:sz w:val="20"/>
                <w:szCs w:val="20"/>
                <w:color w:val="auto"/>
              </w:rPr>
            </w:pP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655,266</w:t>
            </w: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805,881</w:t>
            </w:r>
          </w:p>
        </w:tc>
      </w:tr>
      <w:tr>
        <w:trPr>
          <w:trHeight w:val="216"/>
        </w:trPr>
        <w:tc>
          <w:tcPr>
            <w:tcW w:w="2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D –</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840" w:type="dxa"/>
            <w:vAlign w:val="bottom"/>
            <w:gridSpan w:val="3"/>
            <w:shd w:val="clear" w:color="auto" w:fill="CCFFCC"/>
          </w:tcPr>
          <w:p>
            <w:pPr>
              <w:ind w:left="80"/>
              <w:spacing w:after="0"/>
              <w:rPr>
                <w:sz w:val="20"/>
                <w:szCs w:val="20"/>
                <w:color w:val="auto"/>
              </w:rPr>
            </w:pPr>
            <w:r>
              <w:rPr>
                <w:rFonts w:ascii="Arial" w:cs="Arial" w:eastAsia="Arial" w:hAnsi="Arial"/>
                <w:sz w:val="18"/>
                <w:szCs w:val="18"/>
                <w:color w:val="auto"/>
              </w:rPr>
              <w:t>03761XAG5</w:t>
            </w: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460" w:type="dxa"/>
            <w:vAlign w:val="bottom"/>
            <w:gridSpan w:val="4"/>
          </w:tcPr>
          <w:p>
            <w:pPr>
              <w:ind w:left="20"/>
              <w:spacing w:after="0" w:line="242" w:lineRule="exact"/>
              <w:rPr>
                <w:sz w:val="20"/>
                <w:szCs w:val="20"/>
                <w:color w:val="auto"/>
              </w:rPr>
            </w:pPr>
            <w:r>
              <w:rPr>
                <w:rFonts w:ascii="Arial" w:cs="Arial" w:eastAsia="Arial" w:hAnsi="Arial"/>
                <w:sz w:val="17"/>
                <w:szCs w:val="17"/>
                <w:color w:val="auto"/>
              </w:rPr>
              <w:t>HLCNL 2007-2A</w:t>
            </w:r>
            <w:r>
              <w:rPr>
                <w:rFonts w:ascii="Arial" w:cs="Arial" w:eastAsia="Arial" w:hAnsi="Arial"/>
                <w:sz w:val="28"/>
                <w:szCs w:val="28"/>
                <w:color w:val="auto"/>
                <w:vertAlign w:val="superscript"/>
              </w:rPr>
              <w:t>(1)</w:t>
            </w:r>
          </w:p>
        </w:tc>
        <w:tc>
          <w:tcPr>
            <w:tcW w:w="60" w:type="dxa"/>
            <w:vAlign w:val="bottom"/>
          </w:tcPr>
          <w:p>
            <w:pPr>
              <w:spacing w:after="0"/>
              <w:rPr>
                <w:sz w:val="21"/>
                <w:szCs w:val="21"/>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Floating – 04/2021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1,973,011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2,443,465</w:t>
            </w:r>
          </w:p>
        </w:tc>
      </w:tr>
      <w:tr>
        <w:trPr>
          <w:trHeight w:val="216"/>
        </w:trPr>
        <w:tc>
          <w:tcPr>
            <w:tcW w:w="20" w:type="dxa"/>
            <w:vAlign w:val="bottom"/>
          </w:tcPr>
          <w:p>
            <w:pPr>
              <w:spacing w:after="0"/>
              <w:rPr>
                <w:sz w:val="18"/>
                <w:szCs w:val="18"/>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D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color w:val="auto"/>
              </w:rPr>
              <w:t>40537AAA3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460" w:type="dxa"/>
            <w:vAlign w:val="bottom"/>
            <w:gridSpan w:val="4"/>
            <w:shd w:val="clear" w:color="auto" w:fill="CCFFCC"/>
          </w:tcPr>
          <w:p>
            <w:pPr>
              <w:ind w:left="20"/>
              <w:spacing w:after="0" w:line="242" w:lineRule="exact"/>
              <w:rPr>
                <w:sz w:val="20"/>
                <w:szCs w:val="20"/>
                <w:color w:val="auto"/>
              </w:rPr>
            </w:pPr>
            <w:r>
              <w:rPr>
                <w:rFonts w:ascii="Arial" w:cs="Arial" w:eastAsia="Arial" w:hAnsi="Arial"/>
                <w:sz w:val="17"/>
                <w:szCs w:val="17"/>
                <w:color w:val="auto"/>
              </w:rPr>
              <w:t>MACCL 2007-1A</w:t>
            </w:r>
            <w:r>
              <w:rPr>
                <w:rFonts w:ascii="Arial" w:cs="Arial" w:eastAsia="Arial" w:hAnsi="Arial"/>
                <w:sz w:val="28"/>
                <w:szCs w:val="28"/>
                <w:color w:val="auto"/>
                <w:vertAlign w:val="superscript"/>
              </w:rPr>
              <w:t>(1)</w:t>
            </w:r>
          </w:p>
        </w:tc>
        <w:tc>
          <w:tcPr>
            <w:tcW w:w="60" w:type="dxa"/>
            <w:vAlign w:val="bottom"/>
            <w:shd w:val="clear" w:color="auto" w:fill="CCFFCC"/>
          </w:tcPr>
          <w:p>
            <w:pPr>
              <w:spacing w:after="0"/>
              <w:rPr>
                <w:sz w:val="21"/>
                <w:szCs w:val="21"/>
                <w:color w:val="auto"/>
              </w:rPr>
            </w:pPr>
          </w:p>
        </w:tc>
        <w:tc>
          <w:tcPr>
            <w:tcW w:w="1840" w:type="dxa"/>
            <w:vAlign w:val="bottom"/>
            <w:gridSpan w:val="3"/>
            <w:shd w:val="clear" w:color="auto" w:fill="CCFFCC"/>
          </w:tcPr>
          <w:p>
            <w:pPr>
              <w:jc w:val="center"/>
              <w:ind w:right="160"/>
              <w:spacing w:after="0"/>
              <w:rPr>
                <w:sz w:val="20"/>
                <w:szCs w:val="20"/>
                <w:color w:val="auto"/>
              </w:rPr>
            </w:pPr>
            <w:r>
              <w:rPr>
                <w:rFonts w:ascii="Arial" w:cs="Arial" w:eastAsia="Arial" w:hAnsi="Arial"/>
                <w:sz w:val="18"/>
                <w:szCs w:val="18"/>
                <w:color w:val="auto"/>
                <w:w w:val="92"/>
              </w:rPr>
              <w:t>Floating – 07/2023 –</w:t>
            </w: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1,374,001</w:t>
            </w:r>
          </w:p>
        </w:tc>
        <w:tc>
          <w:tcPr>
            <w:tcW w:w="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1,590,684</w:t>
            </w:r>
          </w:p>
        </w:tc>
      </w:tr>
      <w:tr>
        <w:trPr>
          <w:trHeight w:val="216"/>
        </w:trPr>
        <w:tc>
          <w:tcPr>
            <w:tcW w:w="2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B1L –</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840" w:type="dxa"/>
            <w:vAlign w:val="bottom"/>
            <w:gridSpan w:val="3"/>
            <w:shd w:val="clear" w:color="auto" w:fill="CCFFCC"/>
          </w:tcPr>
          <w:p>
            <w:pPr>
              <w:ind w:left="80"/>
              <w:spacing w:after="0"/>
              <w:rPr>
                <w:sz w:val="20"/>
                <w:szCs w:val="20"/>
                <w:color w:val="auto"/>
              </w:rPr>
            </w:pPr>
            <w:r>
              <w:rPr>
                <w:rFonts w:ascii="Arial" w:cs="Arial" w:eastAsia="Arial" w:hAnsi="Arial"/>
                <w:sz w:val="18"/>
                <w:szCs w:val="18"/>
                <w:color w:val="auto"/>
              </w:rPr>
              <w:t>55265AAL5</w:t>
            </w: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460" w:type="dxa"/>
            <w:vAlign w:val="bottom"/>
            <w:gridSpan w:val="4"/>
          </w:tcPr>
          <w:p>
            <w:pPr>
              <w:ind w:left="20"/>
              <w:spacing w:after="0" w:line="242" w:lineRule="exact"/>
              <w:rPr>
                <w:sz w:val="20"/>
                <w:szCs w:val="20"/>
                <w:color w:val="auto"/>
              </w:rPr>
            </w:pPr>
            <w:r>
              <w:rPr>
                <w:rFonts w:ascii="Arial" w:cs="Arial" w:eastAsia="Arial" w:hAnsi="Arial"/>
                <w:sz w:val="17"/>
                <w:szCs w:val="17"/>
                <w:color w:val="auto"/>
              </w:rPr>
              <w:t>MDPK 2007-4A</w:t>
            </w:r>
            <w:r>
              <w:rPr>
                <w:rFonts w:ascii="Arial" w:cs="Arial" w:eastAsia="Arial" w:hAnsi="Arial"/>
                <w:sz w:val="28"/>
                <w:szCs w:val="28"/>
                <w:color w:val="auto"/>
                <w:vertAlign w:val="superscript"/>
              </w:rPr>
              <w:t>(1)</w:t>
            </w:r>
          </w:p>
        </w:tc>
        <w:tc>
          <w:tcPr>
            <w:tcW w:w="60" w:type="dxa"/>
            <w:vAlign w:val="bottom"/>
          </w:tcPr>
          <w:p>
            <w:pPr>
              <w:spacing w:after="0"/>
              <w:rPr>
                <w:sz w:val="21"/>
                <w:szCs w:val="21"/>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Floating – 03/2021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1,329,842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1,666,354</w:t>
            </w:r>
          </w:p>
        </w:tc>
      </w:tr>
      <w:tr>
        <w:trPr>
          <w:trHeight w:val="216"/>
        </w:trPr>
        <w:tc>
          <w:tcPr>
            <w:tcW w:w="20" w:type="dxa"/>
            <w:vAlign w:val="bottom"/>
          </w:tcPr>
          <w:p>
            <w:pPr>
              <w:spacing w:after="0"/>
              <w:rPr>
                <w:sz w:val="18"/>
                <w:szCs w:val="18"/>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D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color w:val="auto"/>
              </w:rPr>
              <w:t>55817UAF7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460" w:type="dxa"/>
            <w:vAlign w:val="bottom"/>
            <w:gridSpan w:val="4"/>
            <w:shd w:val="clear" w:color="auto" w:fill="CCFFCC"/>
          </w:tcPr>
          <w:p>
            <w:pPr>
              <w:ind w:left="20"/>
              <w:spacing w:after="0" w:line="242" w:lineRule="exact"/>
              <w:rPr>
                <w:sz w:val="20"/>
                <w:szCs w:val="20"/>
                <w:color w:val="auto"/>
              </w:rPr>
            </w:pPr>
            <w:r>
              <w:rPr>
                <w:rFonts w:ascii="Arial" w:cs="Arial" w:eastAsia="Arial" w:hAnsi="Arial"/>
                <w:sz w:val="17"/>
                <w:szCs w:val="17"/>
                <w:color w:val="auto"/>
              </w:rPr>
              <w:t>NAVIG 2007-2A</w:t>
            </w:r>
            <w:r>
              <w:rPr>
                <w:rFonts w:ascii="Arial" w:cs="Arial" w:eastAsia="Arial" w:hAnsi="Arial"/>
                <w:sz w:val="28"/>
                <w:szCs w:val="28"/>
                <w:color w:val="auto"/>
                <w:vertAlign w:val="superscript"/>
              </w:rPr>
              <w:t>(1)</w:t>
            </w:r>
          </w:p>
        </w:tc>
        <w:tc>
          <w:tcPr>
            <w:tcW w:w="60" w:type="dxa"/>
            <w:vAlign w:val="bottom"/>
            <w:shd w:val="clear" w:color="auto" w:fill="CCFFCC"/>
          </w:tcPr>
          <w:p>
            <w:pPr>
              <w:spacing w:after="0"/>
              <w:rPr>
                <w:sz w:val="21"/>
                <w:szCs w:val="21"/>
                <w:color w:val="auto"/>
              </w:rPr>
            </w:pPr>
          </w:p>
        </w:tc>
        <w:tc>
          <w:tcPr>
            <w:tcW w:w="1840" w:type="dxa"/>
            <w:vAlign w:val="bottom"/>
            <w:gridSpan w:val="3"/>
            <w:shd w:val="clear" w:color="auto" w:fill="CCFFCC"/>
          </w:tcPr>
          <w:p>
            <w:pPr>
              <w:jc w:val="center"/>
              <w:ind w:right="160"/>
              <w:spacing w:after="0"/>
              <w:rPr>
                <w:sz w:val="20"/>
                <w:szCs w:val="20"/>
                <w:color w:val="auto"/>
              </w:rPr>
            </w:pPr>
            <w:r>
              <w:rPr>
                <w:rFonts w:ascii="Arial" w:cs="Arial" w:eastAsia="Arial" w:hAnsi="Arial"/>
                <w:sz w:val="18"/>
                <w:szCs w:val="18"/>
                <w:color w:val="auto"/>
                <w:w w:val="92"/>
              </w:rPr>
              <w:t>Floating – 04/2021 –</w:t>
            </w: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2,062,998</w:t>
            </w:r>
          </w:p>
        </w:tc>
        <w:tc>
          <w:tcPr>
            <w:tcW w:w="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2,464,196</w:t>
            </w:r>
          </w:p>
        </w:tc>
      </w:tr>
      <w:tr>
        <w:trPr>
          <w:trHeight w:val="216"/>
        </w:trPr>
        <w:tc>
          <w:tcPr>
            <w:tcW w:w="2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D –</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840" w:type="dxa"/>
            <w:vAlign w:val="bottom"/>
            <w:gridSpan w:val="3"/>
            <w:shd w:val="clear" w:color="auto" w:fill="CCFFCC"/>
          </w:tcPr>
          <w:p>
            <w:pPr>
              <w:ind w:left="80"/>
              <w:spacing w:after="0"/>
              <w:rPr>
                <w:sz w:val="20"/>
                <w:szCs w:val="20"/>
                <w:color w:val="auto"/>
              </w:rPr>
            </w:pPr>
            <w:r>
              <w:rPr>
                <w:rFonts w:ascii="Arial" w:cs="Arial" w:eastAsia="Arial" w:hAnsi="Arial"/>
                <w:sz w:val="18"/>
                <w:szCs w:val="18"/>
                <w:color w:val="auto"/>
              </w:rPr>
              <w:t>63937HAD0</w:t>
            </w: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460" w:type="dxa"/>
            <w:vAlign w:val="bottom"/>
            <w:gridSpan w:val="4"/>
          </w:tcPr>
          <w:p>
            <w:pPr>
              <w:ind w:left="20"/>
              <w:spacing w:after="0" w:line="242" w:lineRule="exact"/>
              <w:rPr>
                <w:sz w:val="20"/>
                <w:szCs w:val="20"/>
                <w:color w:val="auto"/>
              </w:rPr>
            </w:pPr>
            <w:r>
              <w:rPr>
                <w:rFonts w:ascii="Arial" w:cs="Arial" w:eastAsia="Arial" w:hAnsi="Arial"/>
                <w:sz w:val="17"/>
                <w:szCs w:val="17"/>
                <w:color w:val="auto"/>
              </w:rPr>
              <w:t>TRAL 2007-1A</w:t>
            </w:r>
            <w:r>
              <w:rPr>
                <w:rFonts w:ascii="Arial" w:cs="Arial" w:eastAsia="Arial" w:hAnsi="Arial"/>
                <w:sz w:val="28"/>
                <w:szCs w:val="28"/>
                <w:color w:val="auto"/>
                <w:vertAlign w:val="superscript"/>
              </w:rPr>
              <w:t>(1)</w:t>
            </w:r>
          </w:p>
        </w:tc>
        <w:tc>
          <w:tcPr>
            <w:tcW w:w="60" w:type="dxa"/>
            <w:vAlign w:val="bottom"/>
          </w:tcPr>
          <w:p>
            <w:pPr>
              <w:spacing w:after="0"/>
              <w:rPr>
                <w:sz w:val="21"/>
                <w:szCs w:val="21"/>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Floating – 04/2022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2,023,956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2,396,299</w:t>
            </w:r>
          </w:p>
        </w:tc>
      </w:tr>
      <w:tr>
        <w:trPr>
          <w:trHeight w:val="216"/>
        </w:trPr>
        <w:tc>
          <w:tcPr>
            <w:tcW w:w="20" w:type="dxa"/>
            <w:vAlign w:val="bottom"/>
          </w:tcPr>
          <w:p>
            <w:pPr>
              <w:spacing w:after="0"/>
              <w:rPr>
                <w:sz w:val="18"/>
                <w:szCs w:val="18"/>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C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color w:val="auto"/>
              </w:rPr>
              <w:t>89288BAG6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460" w:type="dxa"/>
            <w:vAlign w:val="bottom"/>
            <w:gridSpan w:val="4"/>
            <w:shd w:val="clear" w:color="auto" w:fill="CCFFCC"/>
          </w:tcPr>
          <w:p>
            <w:pPr>
              <w:ind w:left="20"/>
              <w:spacing w:after="0" w:line="242" w:lineRule="exact"/>
              <w:rPr>
                <w:sz w:val="20"/>
                <w:szCs w:val="20"/>
                <w:color w:val="auto"/>
              </w:rPr>
            </w:pPr>
            <w:r>
              <w:rPr>
                <w:rFonts w:ascii="Arial" w:cs="Arial" w:eastAsia="Arial" w:hAnsi="Arial"/>
                <w:sz w:val="17"/>
                <w:szCs w:val="17"/>
                <w:color w:val="auto"/>
              </w:rPr>
              <w:t>TRAL 2007-1A</w:t>
            </w:r>
            <w:r>
              <w:rPr>
                <w:rFonts w:ascii="Arial" w:cs="Arial" w:eastAsia="Arial" w:hAnsi="Arial"/>
                <w:sz w:val="28"/>
                <w:szCs w:val="28"/>
                <w:color w:val="auto"/>
                <w:vertAlign w:val="superscript"/>
              </w:rPr>
              <w:t>(1)</w:t>
            </w:r>
          </w:p>
        </w:tc>
        <w:tc>
          <w:tcPr>
            <w:tcW w:w="60" w:type="dxa"/>
            <w:vAlign w:val="bottom"/>
            <w:shd w:val="clear" w:color="auto" w:fill="CCFFCC"/>
          </w:tcPr>
          <w:p>
            <w:pPr>
              <w:spacing w:after="0"/>
              <w:rPr>
                <w:sz w:val="21"/>
                <w:szCs w:val="21"/>
                <w:color w:val="auto"/>
              </w:rPr>
            </w:pPr>
          </w:p>
        </w:tc>
        <w:tc>
          <w:tcPr>
            <w:tcW w:w="1840" w:type="dxa"/>
            <w:vAlign w:val="bottom"/>
            <w:gridSpan w:val="3"/>
            <w:shd w:val="clear" w:color="auto" w:fill="CCFFCC"/>
          </w:tcPr>
          <w:p>
            <w:pPr>
              <w:jc w:val="center"/>
              <w:ind w:right="160"/>
              <w:spacing w:after="0"/>
              <w:rPr>
                <w:sz w:val="20"/>
                <w:szCs w:val="20"/>
                <w:color w:val="auto"/>
              </w:rPr>
            </w:pPr>
            <w:r>
              <w:rPr>
                <w:rFonts w:ascii="Arial" w:cs="Arial" w:eastAsia="Arial" w:hAnsi="Arial"/>
                <w:sz w:val="18"/>
                <w:szCs w:val="18"/>
                <w:color w:val="auto"/>
                <w:w w:val="92"/>
              </w:rPr>
              <w:t>Floating – 04/2022 –</w:t>
            </w: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666,854</w:t>
            </w:r>
          </w:p>
        </w:tc>
        <w:tc>
          <w:tcPr>
            <w:tcW w:w="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830,523</w:t>
            </w:r>
          </w:p>
        </w:tc>
      </w:tr>
      <w:tr>
        <w:trPr>
          <w:trHeight w:val="216"/>
        </w:trPr>
        <w:tc>
          <w:tcPr>
            <w:tcW w:w="2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D –</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840" w:type="dxa"/>
            <w:vAlign w:val="bottom"/>
            <w:gridSpan w:val="3"/>
            <w:shd w:val="clear" w:color="auto" w:fill="CCFFCC"/>
          </w:tcPr>
          <w:p>
            <w:pPr>
              <w:ind w:left="80"/>
              <w:spacing w:after="0"/>
              <w:rPr>
                <w:sz w:val="20"/>
                <w:szCs w:val="20"/>
                <w:color w:val="auto"/>
              </w:rPr>
            </w:pPr>
            <w:r>
              <w:rPr>
                <w:rFonts w:ascii="Arial" w:cs="Arial" w:eastAsia="Arial" w:hAnsi="Arial"/>
                <w:sz w:val="18"/>
                <w:szCs w:val="18"/>
                <w:color w:val="auto"/>
              </w:rPr>
              <w:t>89288AAA1</w:t>
            </w: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460" w:type="dxa"/>
            <w:vAlign w:val="bottom"/>
            <w:gridSpan w:val="4"/>
          </w:tcPr>
          <w:p>
            <w:pPr>
              <w:ind w:left="20"/>
              <w:spacing w:after="0" w:line="242" w:lineRule="exact"/>
              <w:rPr>
                <w:sz w:val="20"/>
                <w:szCs w:val="20"/>
                <w:color w:val="auto"/>
              </w:rPr>
            </w:pPr>
            <w:r>
              <w:rPr>
                <w:rFonts w:ascii="Arial" w:cs="Arial" w:eastAsia="Arial" w:hAnsi="Arial"/>
                <w:sz w:val="17"/>
                <w:szCs w:val="17"/>
                <w:color w:val="auto"/>
              </w:rPr>
              <w:t>ROSED I-A</w:t>
            </w:r>
            <w:r>
              <w:rPr>
                <w:rFonts w:ascii="Arial" w:cs="Arial" w:eastAsia="Arial" w:hAnsi="Arial"/>
                <w:sz w:val="28"/>
                <w:szCs w:val="28"/>
                <w:color w:val="auto"/>
                <w:vertAlign w:val="superscript"/>
              </w:rPr>
              <w:t>(1)</w:t>
            </w:r>
          </w:p>
        </w:tc>
        <w:tc>
          <w:tcPr>
            <w:tcW w:w="60" w:type="dxa"/>
            <w:vAlign w:val="bottom"/>
          </w:tcPr>
          <w:p>
            <w:pPr>
              <w:spacing w:after="0"/>
              <w:rPr>
                <w:sz w:val="21"/>
                <w:szCs w:val="21"/>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Floating – 07/2021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1,553,529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1,807,738</w:t>
            </w:r>
          </w:p>
        </w:tc>
      </w:tr>
      <w:tr>
        <w:trPr>
          <w:trHeight w:val="216"/>
        </w:trPr>
        <w:tc>
          <w:tcPr>
            <w:tcW w:w="20" w:type="dxa"/>
            <w:vAlign w:val="bottom"/>
          </w:tcPr>
          <w:p>
            <w:pPr>
              <w:spacing w:after="0"/>
              <w:rPr>
                <w:sz w:val="18"/>
                <w:szCs w:val="18"/>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color w:val="auto"/>
              </w:rPr>
              <w:t>77732WAE2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2460" w:type="dxa"/>
            <w:vAlign w:val="bottom"/>
            <w:gridSpan w:val="4"/>
            <w:shd w:val="clear" w:color="auto" w:fill="CCFFCC"/>
          </w:tcPr>
          <w:p>
            <w:pPr>
              <w:ind w:left="20"/>
              <w:spacing w:after="0" w:line="242" w:lineRule="exact"/>
              <w:rPr>
                <w:sz w:val="20"/>
                <w:szCs w:val="20"/>
                <w:color w:val="auto"/>
              </w:rPr>
            </w:pPr>
            <w:r>
              <w:rPr>
                <w:rFonts w:ascii="Arial" w:cs="Arial" w:eastAsia="Arial" w:hAnsi="Arial"/>
                <w:sz w:val="17"/>
                <w:szCs w:val="17"/>
                <w:color w:val="auto"/>
              </w:rPr>
              <w:t>GALXY 2006-6X</w:t>
            </w:r>
            <w:r>
              <w:rPr>
                <w:rFonts w:ascii="Arial" w:cs="Arial" w:eastAsia="Arial" w:hAnsi="Arial"/>
                <w:sz w:val="28"/>
                <w:szCs w:val="28"/>
                <w:color w:val="auto"/>
                <w:vertAlign w:val="superscript"/>
              </w:rPr>
              <w:t>(1)</w:t>
            </w:r>
          </w:p>
        </w:tc>
        <w:tc>
          <w:tcPr>
            <w:tcW w:w="60" w:type="dxa"/>
            <w:vAlign w:val="bottom"/>
            <w:shd w:val="clear" w:color="auto" w:fill="CCFFCC"/>
          </w:tcPr>
          <w:p>
            <w:pPr>
              <w:spacing w:after="0"/>
              <w:rPr>
                <w:sz w:val="21"/>
                <w:szCs w:val="21"/>
                <w:color w:val="auto"/>
              </w:rPr>
            </w:pPr>
          </w:p>
        </w:tc>
        <w:tc>
          <w:tcPr>
            <w:tcW w:w="1840" w:type="dxa"/>
            <w:vAlign w:val="bottom"/>
            <w:gridSpan w:val="3"/>
            <w:shd w:val="clear" w:color="auto" w:fill="CCFFCC"/>
          </w:tcPr>
          <w:p>
            <w:pPr>
              <w:jc w:val="center"/>
              <w:ind w:right="160"/>
              <w:spacing w:after="0"/>
              <w:rPr>
                <w:sz w:val="20"/>
                <w:szCs w:val="20"/>
                <w:color w:val="auto"/>
              </w:rPr>
            </w:pPr>
            <w:r>
              <w:rPr>
                <w:rFonts w:ascii="Arial" w:cs="Arial" w:eastAsia="Arial" w:hAnsi="Arial"/>
                <w:sz w:val="18"/>
                <w:szCs w:val="18"/>
                <w:color w:val="auto"/>
                <w:w w:val="92"/>
              </w:rPr>
              <w:t>Floating – 06/2018 –</w:t>
            </w:r>
          </w:p>
        </w:tc>
        <w:tc>
          <w:tcPr>
            <w:tcW w:w="8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1,241,003</w:t>
            </w:r>
          </w:p>
        </w:tc>
        <w:tc>
          <w:tcPr>
            <w:tcW w:w="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0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1,398,266</w:t>
            </w:r>
          </w:p>
        </w:tc>
      </w:tr>
      <w:tr>
        <w:trPr>
          <w:trHeight w:val="216"/>
        </w:trPr>
        <w:tc>
          <w:tcPr>
            <w:tcW w:w="20" w:type="dxa"/>
            <w:vAlign w:val="bottom"/>
            <w:shd w:val="clear" w:color="auto" w:fill="CCFFCC"/>
          </w:tcPr>
          <w:p>
            <w:pPr>
              <w:spacing w:after="0"/>
              <w:rPr>
                <w:sz w:val="18"/>
                <w:szCs w:val="18"/>
                <w:color w:val="auto"/>
              </w:rPr>
            </w:pPr>
          </w:p>
        </w:tc>
        <w:tc>
          <w:tcPr>
            <w:tcW w:w="2440" w:type="dxa"/>
            <w:vAlign w:val="bottom"/>
            <w:gridSpan w:val="3"/>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B –</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840" w:type="dxa"/>
            <w:vAlign w:val="bottom"/>
            <w:gridSpan w:val="3"/>
            <w:shd w:val="clear" w:color="auto" w:fill="CCFFCC"/>
          </w:tcPr>
          <w:p>
            <w:pPr>
              <w:ind w:left="80"/>
              <w:spacing w:after="0"/>
              <w:rPr>
                <w:sz w:val="20"/>
                <w:szCs w:val="20"/>
                <w:color w:val="auto"/>
              </w:rPr>
            </w:pPr>
            <w:r>
              <w:rPr>
                <w:rFonts w:ascii="Arial" w:cs="Arial" w:eastAsia="Arial" w:hAnsi="Arial"/>
                <w:sz w:val="18"/>
                <w:szCs w:val="18"/>
                <w:color w:val="auto"/>
              </w:rPr>
              <w:t>USG25803AC46</w:t>
            </w: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42"/>
        </w:trPr>
        <w:tc>
          <w:tcPr>
            <w:tcW w:w="2460" w:type="dxa"/>
            <w:vAlign w:val="bottom"/>
            <w:gridSpan w:val="4"/>
          </w:tcPr>
          <w:p>
            <w:pPr>
              <w:ind w:left="20"/>
              <w:spacing w:after="0" w:line="242" w:lineRule="exact"/>
              <w:rPr>
                <w:sz w:val="20"/>
                <w:szCs w:val="20"/>
                <w:color w:val="auto"/>
              </w:rPr>
            </w:pPr>
            <w:r>
              <w:rPr>
                <w:rFonts w:ascii="Arial" w:cs="Arial" w:eastAsia="Arial" w:hAnsi="Arial"/>
                <w:sz w:val="17"/>
                <w:szCs w:val="17"/>
                <w:color w:val="auto"/>
              </w:rPr>
              <w:t>GOLDK 2007-2A</w:t>
            </w:r>
            <w:r>
              <w:rPr>
                <w:rFonts w:ascii="Arial" w:cs="Arial" w:eastAsia="Arial" w:hAnsi="Arial"/>
                <w:sz w:val="28"/>
                <w:szCs w:val="28"/>
                <w:color w:val="auto"/>
                <w:vertAlign w:val="superscript"/>
              </w:rPr>
              <w:t>(1)</w:t>
            </w:r>
          </w:p>
        </w:tc>
        <w:tc>
          <w:tcPr>
            <w:tcW w:w="60" w:type="dxa"/>
            <w:vAlign w:val="bottom"/>
          </w:tcPr>
          <w:p>
            <w:pPr>
              <w:spacing w:after="0"/>
              <w:rPr>
                <w:sz w:val="21"/>
                <w:szCs w:val="21"/>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Floating – 04/2019 –</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812,174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917,623</w:t>
            </w:r>
          </w:p>
        </w:tc>
      </w:tr>
      <w:tr>
        <w:trPr>
          <w:trHeight w:val="216"/>
        </w:trPr>
        <w:tc>
          <w:tcPr>
            <w:tcW w:w="20" w:type="dxa"/>
            <w:vAlign w:val="bottom"/>
          </w:tcPr>
          <w:p>
            <w:pPr>
              <w:spacing w:after="0"/>
              <w:rPr>
                <w:sz w:val="18"/>
                <w:szCs w:val="18"/>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i w:val="1"/>
                <w:iCs w:val="1"/>
                <w:color w:val="auto"/>
              </w:rPr>
              <w:t>CLO 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B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color w:val="auto"/>
              </w:rPr>
              <w:t>381096AB2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460" w:type="dxa"/>
            <w:vAlign w:val="bottom"/>
            <w:gridSpan w:val="4"/>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Total Investment in CLO</w:t>
            </w: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w w:val="99"/>
              </w:rPr>
              <w:t>19,500,000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gridSpan w:val="3"/>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rPr>
              <w:t>13,692,634</w:t>
            </w:r>
          </w:p>
        </w:tc>
        <w:tc>
          <w:tcPr>
            <w:tcW w:w="1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gridSpan w:val="3"/>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rPr>
              <w:t>16,321,029</w:t>
            </w:r>
          </w:p>
        </w:tc>
      </w:tr>
      <w:tr>
        <w:trPr>
          <w:trHeight w:val="234"/>
        </w:trPr>
        <w:tc>
          <w:tcPr>
            <w:tcW w:w="20" w:type="dxa"/>
            <w:vAlign w:val="bottom"/>
            <w:tcBorders>
              <w:bottom w:val="single" w:sz="8" w:color="CCFFCC"/>
            </w:tcBorders>
            <w:shd w:val="clear" w:color="auto" w:fill="CCFFCC"/>
          </w:tcPr>
          <w:p>
            <w:pPr>
              <w:spacing w:after="0"/>
              <w:rPr>
                <w:sz w:val="20"/>
                <w:szCs w:val="20"/>
                <w:color w:val="auto"/>
              </w:rPr>
            </w:pPr>
          </w:p>
        </w:tc>
        <w:tc>
          <w:tcPr>
            <w:tcW w:w="244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b w:val="1"/>
                <w:bCs w:val="1"/>
                <w:color w:val="auto"/>
              </w:rPr>
              <w:t>Equity Securities</w:t>
            </w:r>
          </w:p>
        </w:tc>
        <w:tc>
          <w:tcPr>
            <w:tcW w:w="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6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auto"/>
            </w:tcBorders>
            <w:shd w:val="clear" w:color="auto" w:fill="CCFFCC"/>
          </w:tcPr>
          <w:p>
            <w:pPr>
              <w:spacing w:after="0"/>
              <w:rPr>
                <w:sz w:val="20"/>
                <w:szCs w:val="20"/>
                <w:color w:val="auto"/>
              </w:rPr>
            </w:pPr>
          </w:p>
        </w:tc>
        <w:tc>
          <w:tcPr>
            <w:tcW w:w="2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76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spacing w:after="0"/>
              <w:rPr>
                <w:sz w:val="20"/>
                <w:szCs w:val="20"/>
                <w:color w:val="auto"/>
              </w:rPr>
            </w:pPr>
          </w:p>
        </w:tc>
        <w:tc>
          <w:tcPr>
            <w:tcW w:w="980" w:type="dxa"/>
            <w:vAlign w:val="bottom"/>
            <w:tcBorders>
              <w:bottom w:val="single" w:sz="8" w:color="auto"/>
            </w:tcBorders>
            <w:shd w:val="clear" w:color="auto" w:fill="CCFFCC"/>
          </w:tcPr>
          <w:p>
            <w:pPr>
              <w:spacing w:after="0"/>
              <w:rPr>
                <w:sz w:val="20"/>
                <w:szCs w:val="20"/>
                <w:color w:val="auto"/>
              </w:rPr>
            </w:pPr>
          </w:p>
        </w:tc>
        <w:tc>
          <w:tcPr>
            <w:tcW w:w="2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r>
      <w:tr>
        <w:trPr>
          <w:trHeight w:val="210"/>
        </w:trPr>
        <w:tc>
          <w:tcPr>
            <w:tcW w:w="246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Investments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312,326,736</w:t>
            </w:r>
          </w:p>
        </w:tc>
        <w:tc>
          <w:tcPr>
            <w:tcW w:w="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301,422,751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310,402,779</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-5384800</wp:posOffset>
            </wp:positionV>
            <wp:extent cx="521398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-5222240</wp:posOffset>
            </wp:positionV>
            <wp:extent cx="521398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Equity investment in common stock</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117" w:lineRule="exact"/>
        <w:rPr>
          <w:rFonts w:ascii="Arial" w:cs="Arial" w:eastAsia="Arial" w:hAnsi="Arial"/>
          <w:sz w:val="18"/>
          <w:szCs w:val="18"/>
          <w:color w:val="auto"/>
        </w:rPr>
      </w:pPr>
    </w:p>
    <w:p>
      <w:pPr>
        <w:ind w:left="300" w:right="1199" w:hanging="272"/>
        <w:spacing w:after="0" w:line="277"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Buildings and real estate relate to real estate ownership, builders, managers and developers and excludes mortgage debt investments and mortgage lenders or originators.</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ectPr>
          <w:pgSz w:w="11900" w:h="16838" w:orient="portrait"/>
          <w:cols w:equalWidth="0" w:num="1">
            <w:col w:w="10099"/>
          </w:cols>
          <w:pgMar w:left="360" w:top="792" w:right="1440" w:bottom="0" w:gutter="0" w:footer="0" w:header="0"/>
        </w:sectPr>
      </w:pPr>
    </w:p>
    <w:bookmarkStart w:id="164" w:name="page165"/>
    <w:bookmarkEnd w:id="164"/>
    <w:p>
      <w:pPr>
        <w:ind w:left="3420"/>
        <w:spacing w:after="0"/>
        <w:rPr>
          <w:sz w:val="20"/>
          <w:szCs w:val="20"/>
          <w:color w:val="auto"/>
        </w:rPr>
      </w:pPr>
      <w:r>
        <w:rPr>
          <w:rFonts w:ascii="Arial" w:cs="Arial" w:eastAsia="Arial" w:hAnsi="Arial"/>
          <w:sz w:val="16"/>
          <w:szCs w:val="16"/>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119380</wp:posOffset>
            </wp:positionV>
            <wp:extent cx="6114415" cy="596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left="40" w:right="859" w:firstLine="270"/>
        <w:spacing w:after="0" w:line="312" w:lineRule="auto"/>
        <w:rPr>
          <w:sz w:val="20"/>
          <w:szCs w:val="20"/>
          <w:color w:val="auto"/>
        </w:rPr>
      </w:pPr>
      <w:r>
        <w:rPr>
          <w:rFonts w:ascii="Arial" w:cs="Arial" w:eastAsia="Arial" w:hAnsi="Arial"/>
          <w:sz w:val="16"/>
          <w:szCs w:val="16"/>
          <w:color w:val="auto"/>
        </w:rPr>
        <w:t>Katonah 2007-I CLO LTD. (the “Fund”) is an exempted company incorporated in November 15, 2006 with limited liability under the laws of the Cayman Islands for the sole purpose of investing in broadly syndicated loans, high-yield bonds and other credit instruments. The Fund is what is commonly known as a collateralized loan obligation fund (“CLO Fund”).</w:t>
      </w:r>
    </w:p>
    <w:p>
      <w:pPr>
        <w:spacing w:after="0" w:line="39"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 CLO Fund generally refers to a special purpose vehicle that owns a portfolio of investments and issues various tranches of debt and subordinated note securities to finance the purchase of those investments. Investments purchased by a CLO Fund are governed by extensive investment guidelines, including limits on exposure to any single industry or issuer and limits on the ratings of the CLO Fund’s assets. A CLO Fund has a defined investment period during which it is allowed to make investments or reinvest capital as it becomes available.</w:t>
      </w:r>
    </w:p>
    <w:p>
      <w:pPr>
        <w:spacing w:after="0" w:line="80"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A CLO Fund typically issues multiple tranches of debt and subordinated note securities with varying ratings and levels of subordination to finance the purchase of their underlying investments. Interest and principal payments (net of designated CLO Fund expenses) from the CLO Fund are paid to each issued security in accordance with an agreed upon priority of payments, commonly referred to as the “waterfall.” The most senior notes, generally rated AAA/Aaa, commonly represent the majority of the total liabilities of the CLO Fund. AAA/Aaa notes are issued at a specified spread over LIBOR and normally have the first claim on the earnings on the CLO Fund’s investments after payment of certain fees and expenses. Lower subordinated “mezzanine” tranches of rated notes generally have ratings ranging from AA/Aa to BB/Ba and are usually issued at a specified spread over LIBOR with higher spreads paid on the tranches with lower ratings. Each tranche is typically only entitled to a share of the earnings on the CLO Fund’s investments if the required interest and principal payments have been made on the more senior tranches in the waterfall. The most junior tranche can take the form of either subordinated notes or preferred shares. The subordinated notes or preferred shares generally do not have a stated coupon but are entitled to residual cash flows from the CLO Fund’s investments after all of the other tranches of notes and certain other fees and expenses are paid.</w:t>
      </w:r>
    </w:p>
    <w:p>
      <w:pPr>
        <w:spacing w:after="0" w:line="72" w:lineRule="exact"/>
        <w:rPr>
          <w:sz w:val="20"/>
          <w:szCs w:val="20"/>
          <w:color w:val="auto"/>
        </w:rPr>
      </w:pPr>
    </w:p>
    <w:p>
      <w:pPr>
        <w:ind w:left="40" w:right="619" w:firstLine="270"/>
        <w:spacing w:after="0" w:line="291" w:lineRule="auto"/>
        <w:rPr>
          <w:sz w:val="20"/>
          <w:szCs w:val="20"/>
          <w:color w:val="auto"/>
        </w:rPr>
      </w:pPr>
      <w:r>
        <w:rPr>
          <w:rFonts w:ascii="Arial" w:cs="Arial" w:eastAsia="Arial" w:hAnsi="Arial"/>
          <w:sz w:val="16"/>
          <w:szCs w:val="16"/>
          <w:color w:val="auto"/>
        </w:rPr>
        <w:t>On January 23, 2008, the Fund sold $323.9 million of notes or debt securities, consisting of the Class A-1L Floating Rate Notes, the Class A-2L Floating Rate Notes, the Class A-3L Floating Rate Notes, the Class B-1L Floating Rate Notes, the Class B-2L Floating Rate Notes (the “Class B-2L Notes”) and the preferred shares. The notes were issued pursuant to an indenture, dated January 23, 2008 (the “Indenture”), with U.S. Bank National Association servicing as the trustee thereunder. KCAP Financial, Inc. (“KCAP Financial”) owns all of the preferred shares and Class B-2L Notes of Katonah 2007-I CLO LTD. The Fund’s defined investment period ends on April 22, 2014. Following the defined investment period, proceeds from principal payments in the investment portfolio of the Fund will be used to pay down its outstanding notes, starting with Class A notes.</w:t>
      </w:r>
    </w:p>
    <w:p>
      <w:pPr>
        <w:spacing w:after="0" w:line="59"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Pursuant to a collateral management agreement (the “Collateral Management Agreement”), Katonah Debt Advisors, L.L.C. (the “Manager”), which is a wholly-owned portfolio company of KCAP Financial, provides investment management services to the Fund, and makes day-to-day investment decisions concerning the assets of the Fund. The Manager also performs certain administrative services on behalf of the Fund under the Collateral Management Agreement. The Manager is a registered investment adviser under the Investment Advisers Act of 1940.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Combination</w:t>
      </w:r>
    </w:p>
    <w:p>
      <w:pPr>
        <w:spacing w:after="0" w:line="121" w:lineRule="exact"/>
        <w:rPr>
          <w:sz w:val="20"/>
          <w:szCs w:val="20"/>
          <w:color w:val="auto"/>
        </w:rPr>
      </w:pPr>
    </w:p>
    <w:p>
      <w:pPr>
        <w:ind w:left="40" w:right="939" w:firstLine="270"/>
        <w:spacing w:after="0" w:line="257" w:lineRule="auto"/>
        <w:rPr>
          <w:sz w:val="20"/>
          <w:szCs w:val="20"/>
          <w:color w:val="auto"/>
        </w:rPr>
      </w:pPr>
      <w:r>
        <w:rPr>
          <w:rFonts w:ascii="Arial" w:cs="Arial" w:eastAsia="Arial" w:hAnsi="Arial"/>
          <w:sz w:val="18"/>
          <w:szCs w:val="18"/>
          <w:color w:val="auto"/>
        </w:rPr>
        <w:t>The financial statements of the Fund have been prepared in accordance with U.S. generally accepted accounting principles (“U.S. GAAP”). In the opinion of the Manager’s management, the financial statements of the Fund reflect all adjustments, consisting of normal recurring accruals, which are necessary for the fair presentation of the financial condition and results of operations for the periods presented. Furthermore, the preparation of the financial statements requires management to make significant estimates and assumptions</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including the fair value of investments that do not have a readily available market value. Actual results could differ from those estimates, and the differences could be material.</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of the investments held and notes issued by the Fund are presented at fair value in the Fund’s Statement of Net Assets.</w:t>
      </w:r>
    </w:p>
    <w:p>
      <w:pPr>
        <w:spacing w:after="0" w:line="14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 xml:space="preserve">Investments of the Fund at Fair Value. </w:t>
      </w:r>
      <w:r>
        <w:rPr>
          <w:rFonts w:ascii="Arial" w:cs="Arial" w:eastAsia="Arial" w:hAnsi="Arial"/>
          <w:sz w:val="18"/>
          <w:szCs w:val="18"/>
          <w:color w:val="auto"/>
        </w:rPr>
        <w:t>Investment transactions are recorded on the applicable trade date. Realized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are determined using the specific identification method. Investments held by the Fund are stated at fair value. ASC 820-10, Fair Value Measurements and Disclosures (“ASC 820-10”), requires among other things, disclosures about assets and liabilities that are measured and reported at fair value.</w:t>
      </w:r>
    </w:p>
    <w:p>
      <w:pPr>
        <w:spacing w:after="0" w:line="79"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i w:val="1"/>
          <w:iCs w:val="1"/>
          <w:color w:val="auto"/>
        </w:rPr>
        <w:t>Hierarchy of Fair Value Inputs</w:t>
      </w:r>
      <w:r>
        <w:rPr>
          <w:rFonts w:ascii="Arial" w:cs="Arial" w:eastAsia="Arial" w:hAnsi="Arial"/>
          <w:sz w:val="17"/>
          <w:szCs w:val="17"/>
          <w:color w:val="auto"/>
        </w:rPr>
        <w:t>. The provisions of ASC 820-10 establish a hierarchy that prioritizes inputs to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used to measure fair value and require companies to disclose the fair value of their financial instruments according to the fair value hierarchy (i.e., Level 1, 2 and 3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3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1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ind w:left="600" w:right="539" w:hanging="322"/>
        <w:spacing w:after="0" w:line="312" w:lineRule="auto"/>
        <w:tabs>
          <w:tab w:leader="none" w:pos="6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Level 1 assets may include listed mutual funds (including those accounted for under the equity method of accounting as these mutual funds are investment companies, that have publicly available net asset values which in accordance with GAAP are calculated under fair value measures and are equal to the earnings of such funds), ETFs, equities and certain derivatives.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2 Inputs:</w:t>
      </w:r>
    </w:p>
    <w:p>
      <w:pPr>
        <w:spacing w:after="0" w:line="117" w:lineRule="exact"/>
        <w:rPr>
          <w:sz w:val="20"/>
          <w:szCs w:val="20"/>
          <w:color w:val="auto"/>
        </w:rPr>
      </w:pPr>
    </w:p>
    <w:p>
      <w:pPr>
        <w:ind w:left="320" w:right="599"/>
        <w:spacing w:after="0" w:line="259" w:lineRule="auto"/>
        <w:rPr>
          <w:sz w:val="20"/>
          <w:szCs w:val="20"/>
          <w:color w:val="auto"/>
        </w:rPr>
      </w:pPr>
      <w:r>
        <w:rPr>
          <w:rFonts w:ascii="Arial" w:cs="Arial" w:eastAsia="Arial" w:hAnsi="Arial"/>
          <w:sz w:val="18"/>
          <w:szCs w:val="18"/>
          <w:color w:val="auto"/>
        </w:rPr>
        <w:t>Quoted prices for similar assets or liabilities in active markets; quoted prices for identical or similar assets or liabilities that are not active; quotes from pricing services or brokers, for which the Manager can determine that orderly transactions took place at the quoted price or that the inputs used to arrive at the price were observable; and inputs other than quoted prices that are observable, such as models or other valuation methodologies.</w:t>
      </w:r>
    </w:p>
    <w:p>
      <w:pPr>
        <w:spacing w:after="0" w:line="79" w:lineRule="exact"/>
        <w:rPr>
          <w:sz w:val="20"/>
          <w:szCs w:val="20"/>
          <w:color w:val="auto"/>
        </w:rPr>
      </w:pPr>
    </w:p>
    <w:p>
      <w:pPr>
        <w:ind w:left="600" w:right="859" w:hanging="322"/>
        <w:spacing w:after="0" w:line="259"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2 assets in this category may include debt securities, bank loans, short-term floating rate notes and asset-backed securities, restricted public securities valued at a discount, as well as over the counter derivatives, including interest and inflation rate swaps and foreign currency exchange contracts that have inputs to the valuations that generally can be corroborated by observable market data.</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320" w:right="5339" w:hanging="272"/>
        <w:spacing w:after="0" w:line="378" w:lineRule="auto"/>
        <w:tabs>
          <w:tab w:leader="none" w:pos="23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 (continued) </w:t>
      </w:r>
      <w:r>
        <w:rPr>
          <w:rFonts w:ascii="Arial" w:cs="Arial" w:eastAsia="Arial" w:hAnsi="Arial"/>
          <w:sz w:val="18"/>
          <w:szCs w:val="18"/>
          <w:u w:val="single" w:color="auto"/>
          <w:color w:val="auto"/>
        </w:rPr>
        <w:t>Level 3 Inputs:</w:t>
      </w:r>
    </w:p>
    <w:p>
      <w:pPr>
        <w:ind w:left="320" w:right="739"/>
        <w:spacing w:after="0" w:line="264" w:lineRule="auto"/>
        <w:rPr>
          <w:sz w:val="20"/>
          <w:szCs w:val="20"/>
          <w:color w:val="auto"/>
        </w:rPr>
      </w:pPr>
      <w:r>
        <w:rPr>
          <w:rFonts w:ascii="Arial" w:cs="Arial" w:eastAsia="Arial" w:hAnsi="Arial"/>
          <w:sz w:val="18"/>
          <w:szCs w:val="18"/>
          <w:color w:val="auto"/>
        </w:rPr>
        <w:t>Unobservable inputs for the valuation of the asset or liability, which may include non-binding broker quotes. Level 3 assets include investments for which there is little, if any, market activity. These inputs require significant management judgment or estimation.</w:t>
      </w:r>
    </w:p>
    <w:p>
      <w:pPr>
        <w:spacing w:after="0" w:line="73" w:lineRule="exact"/>
        <w:rPr>
          <w:sz w:val="20"/>
          <w:szCs w:val="20"/>
          <w:color w:val="auto"/>
        </w:rPr>
      </w:pPr>
    </w:p>
    <w:p>
      <w:pPr>
        <w:ind w:left="600" w:right="559" w:hanging="322"/>
        <w:spacing w:after="0" w:line="312" w:lineRule="auto"/>
        <w:tabs>
          <w:tab w:leader="none" w:pos="6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Level 3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146" w:lineRule="exact"/>
        <w:rPr>
          <w:rFonts w:ascii="Arial" w:cs="Arial" w:eastAsia="Arial" w:hAnsi="Arial"/>
          <w:sz w:val="16"/>
          <w:szCs w:val="16"/>
          <w:color w:val="auto"/>
        </w:rPr>
      </w:pPr>
    </w:p>
    <w:p>
      <w:pPr>
        <w:ind w:left="600" w:right="619" w:hanging="322"/>
        <w:spacing w:after="0" w:line="308" w:lineRule="auto"/>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Level 3 liabilities included in this category include borrowings of consolidated collateralized loan obligations valued based upon non-binding broker quotes or discounted cash flow model based on a discount margin calculation.</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Significance of Inputs:</w:t>
      </w:r>
    </w:p>
    <w:p>
      <w:pPr>
        <w:spacing w:after="0" w:line="117" w:lineRule="exact"/>
        <w:rPr>
          <w:sz w:val="20"/>
          <w:szCs w:val="20"/>
          <w:color w:val="auto"/>
        </w:rPr>
      </w:pPr>
    </w:p>
    <w:p>
      <w:pPr>
        <w:ind w:left="320" w:right="1179"/>
        <w:spacing w:after="0" w:line="277" w:lineRule="auto"/>
        <w:rPr>
          <w:sz w:val="20"/>
          <w:szCs w:val="20"/>
          <w:color w:val="auto"/>
        </w:rPr>
      </w:pPr>
      <w:r>
        <w:rPr>
          <w:rFonts w:ascii="Arial" w:cs="Arial" w:eastAsia="Arial" w:hAnsi="Arial"/>
          <w:sz w:val="18"/>
          <w:szCs w:val="18"/>
          <w:color w:val="auto"/>
        </w:rPr>
        <w:t>The Manager’s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Debt and equity securities for which market quotations are readily available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Manager follows the provisions of ASC 820-10 with respect to preparing the Fund’s financial statements. This standard defines fair value, establishes a framework for measuring fair value, and expands disclosures about assets and liabilities measured at fair value. ASC 820-10 defines “fair value” as the price that would be received to sell an asset or paid to transfer a liability in an orderly transaction between market participants at the measurement date. Subsequent to the adoption of ASC 820-10, the FASB has issued various staff positions clarifying the initial standard as noted below.</w:t>
      </w:r>
    </w:p>
    <w:p>
      <w:pPr>
        <w:spacing w:after="0" w:line="58"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7"/>
          <w:szCs w:val="17"/>
          <w:color w:val="auto"/>
        </w:rPr>
        <w:t>In January 2010, the FASB issued guidance that clarifies and requires new disclosures about fair value measurements. The clarifications and requirement to disclose the amounts and reasons for significant transfers between Level 1 and Level 2, as well as significant transfers in and out of Level 3 of the fair value hierarchy, were adopted by the Fund in 2010.</w:t>
      </w:r>
    </w:p>
    <w:p>
      <w:pPr>
        <w:spacing w:after="0" w:line="57"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of the inputs and valuation techniques used to measure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a discussion of changes in valuation techniques and related inputs, if any, during the period.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Manager’s valuation methodology and procedures for investments held by the Fund are generally as follows:</w:t>
      </w:r>
    </w:p>
    <w:p>
      <w:pPr>
        <w:spacing w:after="0" w:line="117" w:lineRule="exact"/>
        <w:rPr>
          <w:sz w:val="20"/>
          <w:szCs w:val="20"/>
          <w:color w:val="auto"/>
        </w:rPr>
      </w:pPr>
    </w:p>
    <w:p>
      <w:pPr>
        <w:ind w:left="540" w:right="699" w:hanging="262"/>
        <w:spacing w:after="0" w:line="277"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right="599" w:hanging="262"/>
        <w:spacing w:after="0" w:line="297" w:lineRule="auto"/>
        <w:tabs>
          <w:tab w:leader="none" w:pos="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the Manager’s management within the framework of ASC 820-10.</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220" w:hanging="172"/>
        <w:spacing w:after="0"/>
        <w:tabs>
          <w:tab w:leader="none" w:pos="2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121" w:lineRule="exact"/>
        <w:rPr>
          <w:rFonts w:ascii="Arial" w:cs="Arial" w:eastAsia="Arial" w:hAnsi="Arial"/>
          <w:sz w:val="18"/>
          <w:szCs w:val="18"/>
          <w:b w:val="1"/>
          <w:bCs w:val="1"/>
          <w:color w:val="auto"/>
        </w:rPr>
      </w:pPr>
    </w:p>
    <w:p>
      <w:pPr>
        <w:ind w:left="540" w:right="519" w:hanging="262"/>
        <w:spacing w:after="0" w:line="287" w:lineRule="auto"/>
        <w:tabs>
          <w:tab w:leader="none" w:pos="5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If an investment does not have a market quotation on either a broad market exchange or from an independent pricing service, the investment is initially valued by the Manager’s investment professionals responsible for the portfolio investment in conjunction with the portfolio management team. Generally, such fair values are determined by reference to public market or private transactions or valuations for comparable companies or assets in the relevant asset class and 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60" w:lineRule="exact"/>
        <w:rPr>
          <w:rFonts w:ascii="Arial" w:cs="Arial" w:eastAsia="Arial" w:hAnsi="Arial"/>
          <w:sz w:val="16"/>
          <w:szCs w:val="16"/>
          <w:color w:val="auto"/>
        </w:rPr>
      </w:pPr>
    </w:p>
    <w:p>
      <w:pPr>
        <w:ind w:left="540" w:hanging="262"/>
        <w:spacing w:after="0"/>
        <w:tabs>
          <w:tab w:leader="none" w:pos="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Preliminary valuation conclusions are discussed and documented by the Manager’s management.</w:t>
      </w:r>
    </w:p>
    <w:p>
      <w:pPr>
        <w:spacing w:after="0" w:line="117" w:lineRule="exact"/>
        <w:rPr>
          <w:rFonts w:ascii="Arial" w:cs="Arial" w:eastAsia="Arial" w:hAnsi="Arial"/>
          <w:sz w:val="18"/>
          <w:szCs w:val="18"/>
          <w:color w:val="auto"/>
        </w:rPr>
      </w:pPr>
    </w:p>
    <w:p>
      <w:pPr>
        <w:ind w:left="540" w:right="659" w:hanging="262"/>
        <w:spacing w:after="0" w:line="277" w:lineRule="auto"/>
        <w:tabs>
          <w:tab w:leader="none" w:pos="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Illiquid loans, junior and mezzanine securities and investments in other CLO bonds are fair valued using models developed by the Manager’s management with applicable market assumptions.</w:t>
      </w:r>
    </w:p>
    <w:p>
      <w:pPr>
        <w:spacing w:after="0" w:line="62" w:lineRule="exact"/>
        <w:rPr>
          <w:rFonts w:ascii="Arial" w:cs="Arial" w:eastAsia="Arial" w:hAnsi="Arial"/>
          <w:sz w:val="18"/>
          <w:szCs w:val="18"/>
          <w:color w:val="auto"/>
        </w:rPr>
      </w:pPr>
    </w:p>
    <w:p>
      <w:pPr>
        <w:jc w:val="both"/>
        <w:ind w:left="540" w:right="599" w:hanging="262"/>
        <w:spacing w:after="0" w:line="264" w:lineRule="auto"/>
        <w:tabs>
          <w:tab w:leader="none" w:pos="5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Manager’s management discusses the valuations and determines in good faith that the fair values of each investment in the portfolio is reasonable based upon any applicable independent pricing service, input of management, and estimates from independent valuation firms (if any).</w:t>
      </w:r>
    </w:p>
    <w:p>
      <w:pPr>
        <w:spacing w:after="0" w:line="73"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Most of the Fund’s investment portfolio is composed of broadly syndicated debt securities for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quote is available. To the extent that the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w:t>
      </w:r>
    </w:p>
    <w:p>
      <w:pPr>
        <w:spacing w:after="0" w:line="85"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i w:val="1"/>
          <w:iCs w:val="1"/>
          <w:color w:val="auto"/>
        </w:rPr>
        <w:t xml:space="preserve">CLO Fund Securities. </w:t>
      </w:r>
      <w:r>
        <w:rPr>
          <w:rFonts w:ascii="Arial" w:cs="Arial" w:eastAsia="Arial" w:hAnsi="Arial"/>
          <w:sz w:val="17"/>
          <w:szCs w:val="17"/>
          <w:color w:val="auto"/>
        </w:rPr>
        <w:t>The Fund may selectively invest in securities issued by CLO Funds managed by other asset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For bond rated tranches of CLO Funds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70"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Cash is defined as demand deposits. The Fund holds its cash with financial institutions and, at times, cash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checking accounts may exceed the Federal Deposit Insurance Corporation insured limit.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Debt at Fair Value</w:t>
      </w:r>
      <w:r>
        <w:rPr>
          <w:rFonts w:ascii="Arial" w:cs="Arial" w:eastAsia="Arial" w:hAnsi="Arial"/>
          <w:sz w:val="17"/>
          <w:szCs w:val="17"/>
          <w:color w:val="auto"/>
        </w:rPr>
        <w:t>. The Fund has issued rated and unrated bonds to finance its operations. Debt is presented at fair value.</w:t>
      </w:r>
    </w:p>
    <w:p>
      <w:pPr>
        <w:spacing w:after="0" w:line="129"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is recorded on the accrual basis on interest-bearing assets. The Fund generally places a loan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on non-accrual status and ceases recognizing cash interest income on such loan or security when a loan or security becomes 90 days or more past due or if Manager otherwise does not expect the debtor to be able to service its debt obligations.</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i w:val="1"/>
          <w:iCs w:val="1"/>
          <w:color w:val="auto"/>
        </w:rPr>
        <w:t>Management Fees</w:t>
      </w:r>
      <w:r>
        <w:rPr>
          <w:rFonts w:ascii="Arial" w:cs="Arial" w:eastAsia="Arial" w:hAnsi="Arial"/>
          <w:sz w:val="16"/>
          <w:szCs w:val="16"/>
          <w:color w:val="auto"/>
        </w:rPr>
        <w:t>. The Fund is externally managed by the Manager pursuant to the Collateral Management Agreement.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the performance of its obligations under the Collateral Management Agreement, the Manager is entitled to receive from the Fund a senior collateral management fee (the “Senior Collateral Management Fee”), a subordinated collateral management fee (the “Subordinated Collateral Management Fee”) and an incentive collateral management fee (the “Incentive Collateral Management Fee”).The Senior Collateral Management Fee is payable in arrears quarterly (subject to availability of funds and to the satisfaction of payment obligations on the debt obligations of the Fund (the “Priority of Payments”)) in an amount equal to 0.10% per annum of the aggregate principal amount of the Fund’s investments. The Subordinated Collateral Management Fee is payable in arrears quarterly (subject to availability of funds and to the Priority of Payments) in an amount equal to 0.15% per annum of the aggregate principal amount of the Fund’s investments. The Incentive Collateral Management Fee equals 20% of the amount of interest and principal payments remaining available for distribution to the holders of the Fund’s preferred shares under the Priority of Payments at which the Incentive Collateral Management Fee may be paid. For the years ended December 31, 2013 and 2012, there were no Incentive Fees incurred by the Fund.</w:t>
      </w:r>
    </w:p>
    <w:p>
      <w:pPr>
        <w:spacing w:after="0" w:line="6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i w:val="1"/>
          <w:iCs w:val="1"/>
          <w:color w:val="auto"/>
        </w:rPr>
        <w:t>Interest Expenses</w:t>
      </w:r>
      <w:r>
        <w:rPr>
          <w:rFonts w:ascii="Arial" w:cs="Arial" w:eastAsia="Arial" w:hAnsi="Arial"/>
          <w:sz w:val="18"/>
          <w:szCs w:val="18"/>
          <w:color w:val="auto"/>
        </w:rPr>
        <w:t>. The Fund has issued rated and unrated bonds to finance its operations. Interest on debt is calculated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trustee of the Fund. Interest is accrued and generally paid quarterly.</w:t>
      </w:r>
    </w:p>
    <w:p>
      <w:pPr>
        <w:spacing w:after="0" w:line="62" w:lineRule="exact"/>
        <w:rPr>
          <w:sz w:val="20"/>
          <w:szCs w:val="20"/>
          <w:color w:val="auto"/>
        </w:rPr>
      </w:pPr>
    </w:p>
    <w:p>
      <w:pPr>
        <w:ind w:left="40" w:right="579" w:firstLine="270"/>
        <w:spacing w:after="0" w:line="342" w:lineRule="auto"/>
        <w:rPr>
          <w:sz w:val="20"/>
          <w:szCs w:val="20"/>
          <w:color w:val="auto"/>
        </w:rPr>
      </w:pPr>
      <w:r>
        <w:rPr>
          <w:rFonts w:ascii="Arial" w:cs="Arial" w:eastAsia="Arial" w:hAnsi="Arial"/>
          <w:sz w:val="16"/>
          <w:szCs w:val="16"/>
          <w:i w:val="1"/>
          <w:iCs w:val="1"/>
          <w:color w:val="auto"/>
        </w:rPr>
        <w:t xml:space="preserve">Trustee Fees. </w:t>
      </w:r>
      <w:r>
        <w:rPr>
          <w:rFonts w:ascii="Arial" w:cs="Arial" w:eastAsia="Arial" w:hAnsi="Arial"/>
          <w:sz w:val="16"/>
          <w:szCs w:val="16"/>
          <w:color w:val="auto"/>
        </w:rPr>
        <w:t>The Fund has a third party trustee that is the custodian for all investments of the Fund and receives and disburses</w:t>
      </w:r>
      <w:r>
        <w:rPr>
          <w:rFonts w:ascii="Arial" w:cs="Arial" w:eastAsia="Arial" w:hAnsi="Arial"/>
          <w:sz w:val="16"/>
          <w:szCs w:val="16"/>
          <w:i w:val="1"/>
          <w:iCs w:val="1"/>
          <w:color w:val="auto"/>
        </w:rPr>
        <w:t xml:space="preserve"> </w:t>
      </w:r>
      <w:r>
        <w:rPr>
          <w:rFonts w:ascii="Arial" w:cs="Arial" w:eastAsia="Arial" w:hAnsi="Arial"/>
          <w:sz w:val="16"/>
          <w:szCs w:val="16"/>
          <w:color w:val="auto"/>
        </w:rPr>
        <w:t>all cash in accordance to the trustee and custodial agreements. Trustee fees are accrued and paid quarterly by the Fund.</w:t>
      </w:r>
    </w:p>
    <w:p>
      <w:pPr>
        <w:spacing w:after="0" w:line="16" w:lineRule="exact"/>
        <w:rPr>
          <w:sz w:val="20"/>
          <w:szCs w:val="20"/>
          <w:color w:val="auto"/>
        </w:rPr>
      </w:pPr>
    </w:p>
    <w:p>
      <w:pPr>
        <w:ind w:left="40" w:right="939" w:firstLine="27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Fund is not subject to net income taxation in the United States or the Cayman Islands. Accordingly, no</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taxes has been made in the accompanying financial statements.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40" w:right="579" w:firstLine="270"/>
        <w:spacing w:after="0" w:line="267" w:lineRule="auto"/>
        <w:rPr>
          <w:sz w:val="20"/>
          <w:szCs w:val="20"/>
          <w:color w:val="auto"/>
        </w:rPr>
      </w:pPr>
      <w:r>
        <w:rPr>
          <w:rFonts w:ascii="Arial" w:cs="Arial" w:eastAsia="Arial" w:hAnsi="Arial"/>
          <w:sz w:val="17"/>
          <w:szCs w:val="17"/>
          <w:color w:val="auto"/>
        </w:rPr>
        <w:t>The investments held by the Fund are primarily invested in senior secured bank loans (typically syndicated by banks), bonds, and equity securities. Bank loan investments, which comprise the majority of the Fund’s portfolio, are senior secured corporate loans from a variety of industries, including but not limited to the aerospace and defense, broadcasting, technology, utilities, household products, healthcare, oil and gas, and finance industries. The investments mature at various dates between 2013 and 2023, pay interest at Libor or Prime plus a spread of up to 8.5%, and typically range in credit rating categories from BBB down to unrated. Non-accrual loans represented less than 1% of investments at fair value as of December 31, 2013 and December 31, 2012. The aggregate unpaid principal value of loans past due as of December 31, 2013 and December 31, 2012 was approximately $1.7 million and $486,000, respectively and the difference between fair value and the unpaid principal balance was approximately $259,000 and $300,000, respectively. The Fund’s investments are valued based on price quotations provided by an independent third-party pricing source which are indicative of traded prices and/or dealer price quotations. In the event that a third-party pricing source is unable to price an investment, other relevant factors, data and information are considered, including: i) information relating to the market for the investment, including price quotations for and trading in the investment and interest in similar investments and the market environment and investor attitudes towards the investment and interests in similar investments; ii) the characteristics of and fundamental analytical data relating to the investment, including the cost, size, current interest rate, period until next interest rate reset, maturity and base lending rate, the terms and conditions of the loan and any related agreements, and the position of the loan in the issuer’s debt structure; iii) the nature, adequacy and value of the senior secured corporate loan’s collateral, including the CLO’s rights, remedies and interests with respect to the collateral; iv) the creditworthiness of the borrower, based on an evaluation of its financial condition, financial statements and information about the business, cash flows, capital structure and future prospects; v) the reputation and financial condition of the agent and any intermediate participants in the senior secured corporate loan; and vi) general economic and market conditions affecting the fair value of the senior secured corporate loan.</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0" w:name="page171"/>
    <w:bookmarkEnd w:id="170"/>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60" w:right="599" w:firstLine="270"/>
        <w:spacing w:after="0" w:line="269" w:lineRule="auto"/>
        <w:rPr>
          <w:sz w:val="20"/>
          <w:szCs w:val="20"/>
          <w:color w:val="auto"/>
        </w:rPr>
      </w:pPr>
      <w:r>
        <w:rPr>
          <w:rFonts w:ascii="Arial" w:cs="Arial" w:eastAsia="Arial" w:hAnsi="Arial"/>
          <w:sz w:val="17"/>
          <w:szCs w:val="17"/>
          <w:color w:val="auto"/>
        </w:rPr>
        <w:t>The debt issued by the Fund has a stated maturity date of April 23, 2022. The Fund’s debt was issued in various tranches with different risk profiles and ratings. The interest rates are variable rates based on Libor plus a pre-defined spread, which varies from 0.85% for the more senior tranches to 5% for the more subordinated tranches. The debt issued by the Fund is recorded at fair value using an income approach, driven by cash flows expected to be received from the portfolio collateral assets. Fair value is determined using current information, notably market yields and projected cash flows of collateral assets based on forecasted default and recovery rates that a market participant would use in determining the current fair value of the liabilities, taking into account the overall credit quality of the issuers and the Manager’s past experience in managing similar securities. Market yields, default rates and recovery rates used in the Manager’s estimate of fair value vary based on the nature of the investments in the underlying collateral pools. In periods of rising market yields, default rates and lower debt recovery rates, the fair value, and therefore the carrying value, of the liabilities may be adversely affected. Once the undiscounted cash flows of the collateral assets have been determined, the Manager applies appropriate discount rates that a market participant would use to determine the discounted cash flow valuation of the notes.</w:t>
      </w:r>
    </w:p>
    <w:p>
      <w:pPr>
        <w:spacing w:after="0" w:line="72" w:lineRule="exact"/>
        <w:rPr>
          <w:sz w:val="20"/>
          <w:szCs w:val="20"/>
          <w:color w:val="auto"/>
        </w:rPr>
      </w:pPr>
    </w:p>
    <w:p>
      <w:pPr>
        <w:jc w:val="both"/>
        <w:ind w:left="60" w:right="579" w:firstLine="270"/>
        <w:spacing w:after="0" w:line="262" w:lineRule="auto"/>
        <w:rPr>
          <w:sz w:val="20"/>
          <w:szCs w:val="20"/>
          <w:color w:val="auto"/>
        </w:rPr>
      </w:pPr>
      <w:r>
        <w:rPr>
          <w:rFonts w:ascii="Arial" w:cs="Arial" w:eastAsia="Arial" w:hAnsi="Arial"/>
          <w:sz w:val="18"/>
          <w:szCs w:val="18"/>
          <w:color w:val="auto"/>
        </w:rPr>
        <w:t>The carrying value of investments held and debt issued by the Fund is also their fair value. The following tables present the fair value hierarchy levels of investments held and debt issued by the Fund, which are measured at fair value as of December 31, 2013 and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60"/>
        </w:trPr>
        <w:tc>
          <w:tcPr>
            <w:tcW w:w="30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 in millions)</w:t>
            </w:r>
          </w:p>
        </w:tc>
        <w:tc>
          <w:tcPr>
            <w:tcW w:w="1080" w:type="dxa"/>
            <w:vAlign w:val="bottom"/>
          </w:tcPr>
          <w:p>
            <w:pPr>
              <w:jc w:val="right"/>
              <w:ind w:right="116"/>
              <w:spacing w:after="0" w:line="160"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2"/>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(Level 3)</w:t>
            </w:r>
          </w:p>
        </w:tc>
      </w:tr>
      <w:tr>
        <w:trPr>
          <w:trHeight w:val="171"/>
        </w:trPr>
        <w:tc>
          <w:tcPr>
            <w:tcW w:w="2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Investments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6"/>
              </w:rPr>
              <w:t>$ 310,427,788</w:t>
            </w: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310,427,788</w:t>
            </w: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CLO Fund Liabilities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6"/>
              </w:rPr>
              <w:t>$ 314,549,615</w:t>
            </w: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314,549,615</w:t>
            </w:r>
          </w:p>
        </w:tc>
      </w:tr>
    </w:tbl>
    <w:p>
      <w:pPr>
        <w:spacing w:after="0" w:line="94" w:lineRule="exact"/>
        <w:rPr>
          <w:sz w:val="20"/>
          <w:szCs w:val="20"/>
          <w:color w:val="auto"/>
        </w:rPr>
      </w:pPr>
    </w:p>
    <w:p>
      <w:pPr>
        <w:ind w:left="60" w:right="1079" w:firstLine="270"/>
        <w:spacing w:after="0" w:line="269" w:lineRule="auto"/>
        <w:rPr>
          <w:sz w:val="20"/>
          <w:szCs w:val="20"/>
          <w:color w:val="auto"/>
        </w:rPr>
      </w:pPr>
      <w:r>
        <w:rPr>
          <w:rFonts w:ascii="Arial" w:cs="Arial" w:eastAsia="Arial" w:hAnsi="Arial"/>
          <w:sz w:val="18"/>
          <w:szCs w:val="18"/>
          <w:color w:val="auto"/>
        </w:rPr>
        <w:t>The following tables show a reconciliation of the beginning and ending fair value measurements for Level 3 assets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4751070" cy="1371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to Level 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from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4751070" cy="1371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and redemption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4751070"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Realized and Unrealized gains/(losses)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4751070" cy="4457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751070" cy="445770"/>
                    </a:xfrm>
                    <a:prstGeom prst="rect">
                      <a:avLst/>
                    </a:prstGeom>
                    <a:noFill/>
                  </pic:spPr>
                </pic:pic>
              </a:graphicData>
            </a:graphic>
          </wp:anchor>
        </w:drawing>
      </w:r>
    </w:p>
    <w:p>
      <w:pPr>
        <w:spacing w:after="0" w:line="42" w:lineRule="exact"/>
        <w:rPr>
          <w:sz w:val="20"/>
          <w:szCs w:val="20"/>
          <w:color w:val="auto"/>
        </w:rPr>
      </w:pPr>
    </w:p>
    <w:p>
      <w:pPr>
        <w:ind w:left="200" w:hanging="179"/>
        <w:spacing w:after="0" w:line="277" w:lineRule="auto"/>
        <w:rPr>
          <w:sz w:val="20"/>
          <w:szCs w:val="20"/>
          <w:color w:val="auto"/>
        </w:rPr>
      </w:pPr>
      <w:r>
        <w:rPr>
          <w:rFonts w:ascii="Arial" w:cs="Arial" w:eastAsia="Arial" w:hAnsi="Arial"/>
          <w:sz w:val="18"/>
          <w:szCs w:val="18"/>
          <w:color w:val="auto"/>
        </w:rPr>
        <w:t>Changes in unrealized appreciation (depreciation) included in earnings related to investments still held at reporting date</w:t>
      </w:r>
    </w:p>
    <w:p>
      <w:pPr>
        <w:spacing w:after="0" w:line="20" w:lineRule="exact"/>
        <w:rPr>
          <w:sz w:val="20"/>
          <w:szCs w:val="20"/>
          <w:color w:val="auto"/>
        </w:rPr>
      </w:pPr>
      <w:r>
        <w:rPr>
          <w:sz w:val="20"/>
          <w:szCs w:val="20"/>
          <w:color w:val="auto"/>
        </w:rPr>
        <w:br w:type="column"/>
      </w:r>
    </w:p>
    <w:p>
      <w:pPr>
        <w:jc w:val="center"/>
        <w:ind w:right="2599"/>
        <w:spacing w:after="0"/>
        <w:rPr>
          <w:sz w:val="20"/>
          <w:szCs w:val="20"/>
          <w:color w:val="auto"/>
        </w:rPr>
      </w:pPr>
      <w:r>
        <w:rPr>
          <w:rFonts w:ascii="Arial" w:cs="Arial" w:eastAsia="Arial" w:hAnsi="Arial"/>
          <w:sz w:val="14"/>
          <w:szCs w:val="14"/>
          <w:b w:val="1"/>
          <w:bCs w:val="1"/>
          <w:color w:val="auto"/>
        </w:rPr>
        <w:t>For the</w:t>
      </w:r>
    </w:p>
    <w:p>
      <w:pPr>
        <w:jc w:val="center"/>
        <w:ind w:right="2599"/>
        <w:spacing w:after="0" w:line="226" w:lineRule="auto"/>
        <w:rPr>
          <w:sz w:val="20"/>
          <w:szCs w:val="20"/>
          <w:color w:val="auto"/>
        </w:rPr>
      </w:pPr>
      <w:r>
        <w:rPr>
          <w:rFonts w:ascii="Arial" w:cs="Arial" w:eastAsia="Arial" w:hAnsi="Arial"/>
          <w:sz w:val="14"/>
          <w:szCs w:val="14"/>
          <w:b w:val="1"/>
          <w:bCs w:val="1"/>
          <w:color w:val="auto"/>
        </w:rPr>
        <w:t>year ended</w:t>
      </w:r>
    </w:p>
    <w:p>
      <w:pPr>
        <w:jc w:val="center"/>
        <w:ind w:right="2599"/>
        <w:spacing w:after="0" w:line="222" w:lineRule="auto"/>
        <w:rPr>
          <w:sz w:val="20"/>
          <w:szCs w:val="20"/>
          <w:color w:val="auto"/>
        </w:rPr>
      </w:pPr>
      <w:r>
        <w:rPr>
          <w:rFonts w:ascii="Arial" w:cs="Arial" w:eastAsia="Arial" w:hAnsi="Arial"/>
          <w:sz w:val="14"/>
          <w:szCs w:val="14"/>
          <w:b w:val="1"/>
          <w:bCs w:val="1"/>
          <w:color w:val="auto"/>
        </w:rPr>
        <w:t>December 31,</w:t>
      </w:r>
    </w:p>
    <w:p>
      <w:pPr>
        <w:jc w:val="center"/>
        <w:ind w:right="2599"/>
        <w:spacing w:after="0"/>
        <w:rPr>
          <w:sz w:val="20"/>
          <w:szCs w:val="20"/>
          <w:color w:val="auto"/>
        </w:rPr>
      </w:pP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543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ind w:left="180" w:hanging="173"/>
        <w:spacing w:after="0"/>
        <w:tabs>
          <w:tab w:leader="none" w:pos="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310,402,779</w:t>
      </w:r>
    </w:p>
    <w:p>
      <w:pPr>
        <w:spacing w:after="0" w:line="19"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116,281,142</w:t>
      </w:r>
    </w:p>
    <w:p>
      <w:pPr>
        <w:spacing w:after="0" w:line="9"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(117,165,606)</w:t>
      </w:r>
    </w:p>
    <w:p>
      <w:pPr>
        <w:spacing w:after="0" w:line="9"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909,473</w:t>
      </w:r>
    </w:p>
    <w:p>
      <w:pPr>
        <w:spacing w:after="0" w:line="9" w:lineRule="exact"/>
        <w:rPr>
          <w:sz w:val="20"/>
          <w:szCs w:val="20"/>
          <w:color w:val="auto"/>
        </w:rPr>
      </w:pPr>
    </w:p>
    <w:p>
      <w:pPr>
        <w:ind w:left="180" w:hanging="173"/>
        <w:spacing w:after="0"/>
        <w:tabs>
          <w:tab w:leader="none" w:pos="180" w:val="left"/>
        </w:tabs>
        <w:numPr>
          <w:ilvl w:val="0"/>
          <w:numId w:val="80"/>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310,427,788</w:t>
      </w:r>
    </w:p>
    <w:p>
      <w:pPr>
        <w:spacing w:after="0" w:line="73" w:lineRule="exact"/>
        <w:rPr>
          <w:rFonts w:ascii="Arial" w:cs="Arial" w:eastAsia="Arial" w:hAnsi="Arial"/>
          <w:sz w:val="17"/>
          <w:szCs w:val="17"/>
          <w:u w:val="single" w:color="auto"/>
          <w:color w:val="auto"/>
        </w:rPr>
      </w:pPr>
    </w:p>
    <w:p>
      <w:pPr>
        <w:ind w:left="300"/>
        <w:spacing w:after="0"/>
        <w:rPr>
          <w:rFonts w:ascii="Arial" w:cs="Arial" w:eastAsia="Arial" w:hAnsi="Arial"/>
          <w:sz w:val="17"/>
          <w:szCs w:val="17"/>
          <w:u w:val="single" w:color="auto"/>
          <w:color w:val="auto"/>
        </w:rPr>
      </w:pPr>
      <w:r>
        <w:rPr>
          <w:rFonts w:ascii="Arial" w:cs="Arial" w:eastAsia="Arial" w:hAnsi="Arial"/>
          <w:sz w:val="16"/>
          <w:szCs w:val="16"/>
          <w:color w:val="auto"/>
        </w:rPr>
        <w:t>(2,866,419)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-287020</wp:posOffset>
            </wp:positionV>
            <wp:extent cx="67754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493" w:lineRule="exact"/>
        <w:rPr>
          <w:sz w:val="20"/>
          <w:szCs w:val="20"/>
          <w:color w:val="auto"/>
        </w:rPr>
      </w:pPr>
    </w:p>
    <w:p>
      <w:pPr>
        <w:sectPr>
          <w:pgSz w:w="11900" w:h="16838" w:orient="portrait"/>
          <w:cols w:equalWidth="0" w:num="2">
            <w:col w:w="5820" w:space="480"/>
            <w:col w:w="3799"/>
          </w:cols>
          <w:pgMar w:left="360" w:top="792" w:right="1440" w:bottom="1440" w:gutter="0" w:footer="0" w:header="0"/>
          <w:type w:val="continuous"/>
        </w:sect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119380</wp:posOffset>
            </wp:positionV>
            <wp:extent cx="6114415" cy="596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171" w:name="page172"/>
    <w:bookmarkEnd w:id="171"/>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475107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5"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For the</w:t>
      </w:r>
    </w:p>
    <w:p>
      <w:pPr>
        <w:jc w:val="center"/>
        <w:ind w:left="2620"/>
        <w:spacing w:after="0" w:line="226" w:lineRule="auto"/>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2620"/>
        <w:spacing w:after="0"/>
        <w:rPr>
          <w:sz w:val="20"/>
          <w:szCs w:val="20"/>
          <w:color w:val="auto"/>
        </w:rPr>
      </w:pPr>
      <w:r>
        <w:rPr>
          <w:rFonts w:ascii="Arial" w:cs="Arial" w:eastAsia="Arial" w:hAnsi="Arial"/>
          <w:sz w:val="12"/>
          <w:szCs w:val="12"/>
          <w:b w:val="1"/>
          <w:bCs w:val="1"/>
          <w:color w:val="auto"/>
        </w:rPr>
        <w:t>December 31,</w:t>
      </w:r>
    </w:p>
    <w:p>
      <w:pPr>
        <w:spacing w:after="0" w:line="11" w:lineRule="exact"/>
        <w:rPr>
          <w:sz w:val="20"/>
          <w:szCs w:val="20"/>
          <w:color w:val="auto"/>
        </w:rPr>
      </w:pPr>
    </w:p>
    <w:p>
      <w:pPr>
        <w:jc w:val="center"/>
        <w:ind w:left="2620"/>
        <w:spacing w:after="0"/>
        <w:rPr>
          <w:sz w:val="20"/>
          <w:szCs w:val="20"/>
          <w:color w:val="auto"/>
        </w:rPr>
      </w:pP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4751070" cy="1460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to Level 3</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from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4751070"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and redemption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4751070"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Realized and Unrealized gains/(losses)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4751070" cy="4457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51070" cy="445770"/>
                    </a:xfrm>
                    <a:prstGeom prst="rect">
                      <a:avLst/>
                    </a:prstGeom>
                    <a:noFill/>
                  </pic:spPr>
                </pic:pic>
              </a:graphicData>
            </a:graphic>
          </wp:anchor>
        </w:drawing>
      </w:r>
    </w:p>
    <w:p>
      <w:pPr>
        <w:spacing w:after="0" w:line="42" w:lineRule="exact"/>
        <w:rPr>
          <w:sz w:val="20"/>
          <w:szCs w:val="20"/>
          <w:color w:val="auto"/>
        </w:rPr>
      </w:pPr>
    </w:p>
    <w:p>
      <w:pPr>
        <w:ind w:left="200" w:hanging="179"/>
        <w:spacing w:after="0" w:line="277" w:lineRule="auto"/>
        <w:rPr>
          <w:sz w:val="20"/>
          <w:szCs w:val="20"/>
          <w:color w:val="auto"/>
        </w:rPr>
      </w:pPr>
      <w:r>
        <w:rPr>
          <w:rFonts w:ascii="Arial" w:cs="Arial" w:eastAsia="Arial" w:hAnsi="Arial"/>
          <w:sz w:val="18"/>
          <w:szCs w:val="18"/>
          <w:color w:val="auto"/>
        </w:rPr>
        <w:t>Changes in unrealized appreciation (depreciation) included in earnings related to investments still held at reporting date</w:t>
      </w:r>
    </w:p>
    <w:p>
      <w:pPr>
        <w:spacing w:after="0" w:line="20" w:lineRule="exact"/>
        <w:rPr>
          <w:sz w:val="20"/>
          <w:szCs w:val="20"/>
          <w:color w:val="auto"/>
        </w:rPr>
      </w:pPr>
      <w:r>
        <w:rPr>
          <w:sz w:val="20"/>
          <w:szCs w:val="20"/>
          <w:color w:val="auto"/>
        </w:rPr>
        <w:br w:type="column"/>
      </w:r>
    </w:p>
    <w:p>
      <w:pPr>
        <w:ind w:left="180" w:hanging="173"/>
        <w:spacing w:after="0"/>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295,366,900</w:t>
      </w:r>
    </w:p>
    <w:p>
      <w:pPr>
        <w:spacing w:after="0" w:line="19"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3020"/>
        <w:spacing w:after="0"/>
        <w:rPr>
          <w:sz w:val="20"/>
          <w:szCs w:val="20"/>
          <w:color w:val="auto"/>
        </w:rPr>
      </w:pPr>
      <w:r>
        <w:rPr>
          <w:rFonts w:ascii="Arial" w:cs="Arial" w:eastAsia="Arial" w:hAnsi="Arial"/>
          <w:sz w:val="18"/>
          <w:szCs w:val="18"/>
          <w:color w:val="auto"/>
        </w:rPr>
        <w:t>99,934,361</w:t>
      </w:r>
    </w:p>
    <w:p>
      <w:pPr>
        <w:spacing w:after="0" w:line="9"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(101,592,892)</w:t>
      </w:r>
    </w:p>
    <w:p>
      <w:pPr>
        <w:spacing w:after="0" w:line="9" w:lineRule="exact"/>
        <w:rPr>
          <w:sz w:val="20"/>
          <w:szCs w:val="20"/>
          <w:color w:val="auto"/>
        </w:rPr>
      </w:pPr>
    </w:p>
    <w:p>
      <w:pPr>
        <w:jc w:val="right"/>
        <w:ind w:right="3020"/>
        <w:spacing w:after="0"/>
        <w:rPr>
          <w:sz w:val="20"/>
          <w:szCs w:val="20"/>
          <w:color w:val="auto"/>
        </w:rPr>
      </w:pPr>
      <w:r>
        <w:rPr>
          <w:rFonts w:ascii="Arial" w:cs="Arial" w:eastAsia="Arial" w:hAnsi="Arial"/>
          <w:sz w:val="18"/>
          <w:szCs w:val="18"/>
          <w:color w:val="auto"/>
        </w:rPr>
        <w:t>16,364,401</w:t>
      </w:r>
    </w:p>
    <w:p>
      <w:pPr>
        <w:spacing w:after="0" w:line="9" w:lineRule="exact"/>
        <w:rPr>
          <w:sz w:val="20"/>
          <w:szCs w:val="20"/>
          <w:color w:val="auto"/>
        </w:rPr>
      </w:pPr>
    </w:p>
    <w:p>
      <w:pPr>
        <w:ind w:left="180" w:hanging="173"/>
        <w:spacing w:after="0"/>
        <w:tabs>
          <w:tab w:leader="none" w:pos="180" w:val="left"/>
        </w:tabs>
        <w:numPr>
          <w:ilvl w:val="0"/>
          <w:numId w:val="8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310,402,779</w:t>
      </w:r>
    </w:p>
    <w:p>
      <w:pPr>
        <w:spacing w:after="0" w:line="73" w:lineRule="exact"/>
        <w:rPr>
          <w:rFonts w:ascii="Arial" w:cs="Arial" w:eastAsia="Arial" w:hAnsi="Arial"/>
          <w:sz w:val="17"/>
          <w:szCs w:val="17"/>
          <w:u w:val="single" w:color="auto"/>
          <w:color w:val="auto"/>
        </w:rPr>
      </w:pPr>
    </w:p>
    <w:p>
      <w:pPr>
        <w:ind w:left="260"/>
        <w:spacing w:after="0"/>
        <w:rPr>
          <w:rFonts w:ascii="Arial" w:cs="Arial" w:eastAsia="Arial" w:hAnsi="Arial"/>
          <w:sz w:val="17"/>
          <w:szCs w:val="17"/>
          <w:u w:val="single" w:color="auto"/>
          <w:color w:val="auto"/>
        </w:rPr>
      </w:pPr>
      <w:r>
        <w:rPr>
          <w:rFonts w:ascii="Arial" w:cs="Arial" w:eastAsia="Arial" w:hAnsi="Arial"/>
          <w:sz w:val="17"/>
          <w:szCs w:val="17"/>
          <w:color w:val="auto"/>
        </w:rPr>
        <w:t>12,041,723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-294640</wp:posOffset>
            </wp:positionV>
            <wp:extent cx="67754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344" w:lineRule="exact"/>
        <w:rPr>
          <w:sz w:val="20"/>
          <w:szCs w:val="20"/>
          <w:color w:val="auto"/>
        </w:rPr>
      </w:pPr>
    </w:p>
    <w:p>
      <w:pPr>
        <w:sectPr>
          <w:pgSz w:w="11900" w:h="16838" w:orient="portrait"/>
          <w:cols w:equalWidth="0" w:num="2">
            <w:col w:w="5820" w:space="480"/>
            <w:col w:w="4100"/>
          </w:cols>
          <w:pgMar w:left="360" w:top="792" w:right="1139" w:bottom="1440" w:gutter="0" w:footer="0" w:header="0"/>
          <w:type w:val="continuous"/>
        </w:sectPr>
      </w:pPr>
    </w:p>
    <w:p>
      <w:pPr>
        <w:ind w:left="60" w:right="960" w:firstLine="270"/>
        <w:spacing w:after="0" w:line="277" w:lineRule="auto"/>
        <w:rPr>
          <w:sz w:val="20"/>
          <w:szCs w:val="20"/>
          <w:color w:val="auto"/>
        </w:rPr>
      </w:pPr>
      <w:r>
        <w:rPr>
          <w:rFonts w:ascii="Arial" w:cs="Arial" w:eastAsia="Arial" w:hAnsi="Arial"/>
          <w:sz w:val="18"/>
          <w:szCs w:val="18"/>
          <w:color w:val="auto"/>
        </w:rPr>
        <w:t>As of December 31, 2013, the Manager’s Level 3 portfolio investments had the following valuation techniques and significant inputs: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68"/>
        </w:trPr>
        <w:tc>
          <w:tcPr>
            <w:tcW w:w="1760" w:type="dxa"/>
            <w:vAlign w:val="bottom"/>
            <w:tcBorders>
              <w:top w:val="single" w:sz="8" w:color="auto"/>
              <w:bottom w:val="single" w:sz="8" w:color="auto"/>
            </w:tcBorders>
          </w:tcPr>
          <w:p>
            <w:pPr>
              <w:spacing w:after="0"/>
              <w:rPr>
                <w:sz w:val="5"/>
                <w:szCs w:val="5"/>
                <w:color w:val="auto"/>
              </w:rPr>
            </w:pPr>
          </w:p>
        </w:tc>
        <w:tc>
          <w:tcPr>
            <w:tcW w:w="940" w:type="dxa"/>
            <w:vAlign w:val="bottom"/>
            <w:tcBorders>
              <w:top w:val="single" w:sz="8" w:color="auto"/>
              <w:bottom w:val="single" w:sz="8" w:color="auto"/>
            </w:tcBorders>
          </w:tcPr>
          <w:p>
            <w:pPr>
              <w:spacing w:after="0"/>
              <w:rPr>
                <w:sz w:val="5"/>
                <w:szCs w:val="5"/>
                <w:color w:val="auto"/>
              </w:rPr>
            </w:pPr>
          </w:p>
        </w:tc>
        <w:tc>
          <w:tcPr>
            <w:tcW w:w="1720" w:type="dxa"/>
            <w:vAlign w:val="bottom"/>
            <w:tcBorders>
              <w:top w:val="single" w:sz="8" w:color="auto"/>
              <w:bottom w:val="single" w:sz="8" w:color="auto"/>
            </w:tcBorders>
          </w:tcPr>
          <w:p>
            <w:pPr>
              <w:spacing w:after="0"/>
              <w:rPr>
                <w:sz w:val="5"/>
                <w:szCs w:val="5"/>
                <w:color w:val="auto"/>
              </w:rPr>
            </w:pPr>
          </w:p>
        </w:tc>
        <w:tc>
          <w:tcPr>
            <w:tcW w:w="2420" w:type="dxa"/>
            <w:vAlign w:val="bottom"/>
            <w:tcBorders>
              <w:top w:val="single" w:sz="8" w:color="auto"/>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right w:val="single" w:sz="8" w:color="auto"/>
            </w:tcBorders>
          </w:tcPr>
          <w:p>
            <w:pPr>
              <w:spacing w:after="0"/>
              <w:rPr>
                <w:sz w:val="5"/>
                <w:szCs w:val="5"/>
                <w:color w:val="auto"/>
              </w:rPr>
            </w:pPr>
          </w:p>
        </w:tc>
      </w:tr>
      <w:tr>
        <w:trPr>
          <w:trHeight w:val="210"/>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9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Fair Value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380" w:type="dxa"/>
            <w:vAlign w:val="bottom"/>
            <w:tcBorders>
              <w:bottom w:val="single" w:sz="8" w:color="auto"/>
              <w:right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Range of Inputs</w:t>
            </w:r>
          </w:p>
        </w:tc>
      </w:tr>
      <w:tr>
        <w:trPr>
          <w:trHeight w:val="22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8,687,674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Income Approach</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Implied Effective Discount Rate</w:t>
            </w:r>
          </w:p>
        </w:tc>
        <w:tc>
          <w:tcPr>
            <w:tcW w:w="620" w:type="dxa"/>
            <w:vAlign w:val="bottom"/>
          </w:tcPr>
          <w:p>
            <w:pPr>
              <w:jc w:val="right"/>
              <w:spacing w:after="0"/>
              <w:rPr>
                <w:sz w:val="20"/>
                <w:szCs w:val="20"/>
                <w:color w:val="auto"/>
              </w:rPr>
            </w:pPr>
            <w:r>
              <w:rPr>
                <w:rFonts w:ascii="Arial" w:cs="Arial" w:eastAsia="Arial" w:hAnsi="Arial"/>
                <w:sz w:val="16"/>
                <w:szCs w:val="16"/>
                <w:color w:val="auto"/>
              </w:rPr>
              <w:t>2.42%</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3.55%</w:t>
            </w:r>
          </w:p>
        </w:tc>
      </w:tr>
      <w:tr>
        <w:trPr>
          <w:trHeight w:val="43"/>
        </w:trPr>
        <w:tc>
          <w:tcPr>
            <w:tcW w:w="1760" w:type="dxa"/>
            <w:vAlign w:val="bottom"/>
            <w:tcBorders>
              <w:left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gridSpan w:val="2"/>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w w:val="87"/>
              </w:rPr>
              <w:t>283,656,172</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Quote</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Option</w:t>
            </w:r>
          </w:p>
        </w:tc>
        <w:tc>
          <w:tcPr>
            <w:tcW w:w="1380" w:type="dxa"/>
            <w:vAlign w:val="bottom"/>
            <w:tcBorders>
              <w:right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0.39%</w:t>
            </w:r>
          </w:p>
        </w:tc>
      </w:tr>
      <w:tr>
        <w:trPr>
          <w:trHeight w:val="43"/>
        </w:trPr>
        <w:tc>
          <w:tcPr>
            <w:tcW w:w="1760" w:type="dxa"/>
            <w:vAlign w:val="bottom"/>
            <w:tcBorders>
              <w:left w:val="single" w:sz="8" w:color="auto"/>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gridSpan w:val="2"/>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Third-Party Bid-Ask Mid</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1"/>
              </w:rPr>
              <w:t>43.7% – 110.5%</w:t>
            </w:r>
          </w:p>
        </w:tc>
      </w:tr>
      <w:tr>
        <w:trPr>
          <w:trHeight w:val="43"/>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18,123,734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Quote</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Third-Party Bid</w:t>
            </w:r>
          </w:p>
        </w:tc>
        <w:tc>
          <w:tcPr>
            <w:tcW w:w="620" w:type="dxa"/>
            <w:vAlign w:val="bottom"/>
          </w:tcPr>
          <w:p>
            <w:pPr>
              <w:jc w:val="right"/>
              <w:spacing w:after="0"/>
              <w:rPr>
                <w:sz w:val="20"/>
                <w:szCs w:val="20"/>
                <w:color w:val="auto"/>
              </w:rPr>
            </w:pPr>
            <w:r>
              <w:rPr>
                <w:rFonts w:ascii="Arial" w:cs="Arial" w:eastAsia="Arial" w:hAnsi="Arial"/>
                <w:sz w:val="16"/>
                <w:szCs w:val="16"/>
                <w:color w:val="auto"/>
              </w:rPr>
              <w:t>87.35%</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96.88%</w:t>
            </w:r>
          </w:p>
        </w:tc>
      </w:tr>
      <w:tr>
        <w:trPr>
          <w:trHeight w:val="43"/>
        </w:trPr>
        <w:tc>
          <w:tcPr>
            <w:tcW w:w="1760" w:type="dxa"/>
            <w:vAlign w:val="bottom"/>
            <w:tcBorders>
              <w:left w:val="single" w:sz="8" w:color="auto"/>
              <w:right w:val="single" w:sz="8" w:color="auto"/>
            </w:tcBorders>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620" w:type="dxa"/>
            <w:vAlign w:val="bottom"/>
          </w:tcPr>
          <w:p>
            <w:pPr>
              <w:jc w:val="right"/>
              <w:spacing w:after="0"/>
              <w:rPr>
                <w:sz w:val="20"/>
                <w:szCs w:val="20"/>
                <w:color w:val="auto"/>
              </w:rPr>
            </w:pPr>
            <w:r>
              <w:rPr>
                <w:rFonts w:ascii="Arial" w:cs="Arial" w:eastAsia="Arial" w:hAnsi="Arial"/>
                <w:sz w:val="16"/>
                <w:szCs w:val="16"/>
                <w:color w:val="auto"/>
              </w:rPr>
              <w:t>1.76%</w:t>
            </w:r>
          </w:p>
        </w:tc>
        <w:tc>
          <w:tcPr>
            <w:tcW w:w="7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5.58%</w:t>
            </w:r>
          </w:p>
        </w:tc>
      </w:tr>
      <w:tr>
        <w:trPr>
          <w:trHeight w:val="30"/>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48"/>
        </w:trPr>
        <w:tc>
          <w:tcPr>
            <w:tcW w:w="17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r>
    </w:tbl>
    <w:p>
      <w:pPr>
        <w:spacing w:after="0" w:line="36" w:lineRule="exact"/>
        <w:rPr>
          <w:sz w:val="20"/>
          <w:szCs w:val="20"/>
          <w:color w:val="auto"/>
        </w:rPr>
      </w:pPr>
    </w:p>
    <w:p>
      <w:pPr>
        <w:ind w:left="60" w:right="1120" w:firstLine="270"/>
        <w:spacing w:after="0" w:line="269" w:lineRule="auto"/>
        <w:rPr>
          <w:sz w:val="20"/>
          <w:szCs w:val="20"/>
          <w:color w:val="auto"/>
        </w:rPr>
      </w:pPr>
      <w:r>
        <w:rPr>
          <w:rFonts w:ascii="Arial" w:cs="Arial" w:eastAsia="Arial" w:hAnsi="Arial"/>
          <w:sz w:val="18"/>
          <w:szCs w:val="18"/>
          <w:color w:val="auto"/>
        </w:rPr>
        <w:t>The following tables show a reconciliation of the beginning and ending fair value measurements for Level 3 liabilities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For the</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year ended</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90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r>
      <w:tr>
        <w:trPr>
          <w:trHeight w:val="210"/>
        </w:trPr>
        <w:tc>
          <w:tcPr>
            <w:tcW w:w="63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310,470,318</w:t>
            </w:r>
          </w:p>
        </w:tc>
        <w:tc>
          <w:tcPr>
            <w:tcW w:w="2900" w:type="dxa"/>
            <w:vAlign w:val="bottom"/>
          </w:tcPr>
          <w:p>
            <w:pPr>
              <w:spacing w:after="0"/>
              <w:rPr>
                <w:sz w:val="18"/>
                <w:szCs w:val="18"/>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Prepayments, amortization, net</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6"/>
        </w:trPr>
        <w:tc>
          <w:tcPr>
            <w:tcW w:w="63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Unrealized appreciation/(depreciation)</w:t>
            </w: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4,079,297</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55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314,549,615</w:t>
            </w:r>
          </w:p>
        </w:tc>
        <w:tc>
          <w:tcPr>
            <w:tcW w:w="290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5"/>
        </w:trPr>
        <w:tc>
          <w:tcPr>
            <w:tcW w:w="6300" w:type="dxa"/>
            <w:vAlign w:val="bottom"/>
            <w:gridSpan w:val="2"/>
            <w:shd w:val="clear" w:color="auto" w:fill="CCFFCC"/>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4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4,079,297</w:t>
            </w:r>
          </w:p>
        </w:tc>
        <w:tc>
          <w:tcPr>
            <w:tcW w:w="2900" w:type="dxa"/>
            <w:vAlign w:val="bottom"/>
          </w:tcPr>
          <w:p>
            <w:pPr>
              <w:spacing w:after="0"/>
              <w:rPr>
                <w:sz w:val="16"/>
                <w:szCs w:val="16"/>
                <w:color w:val="auto"/>
              </w:rPr>
            </w:pPr>
          </w:p>
        </w:tc>
      </w:tr>
      <w:tr>
        <w:trPr>
          <w:trHeight w:val="230"/>
        </w:trPr>
        <w:tc>
          <w:tcPr>
            <w:tcW w:w="63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liabilities still held at reporting date</w:t>
            </w:r>
          </w:p>
        </w:tc>
        <w:tc>
          <w:tcPr>
            <w:tcW w:w="1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166"/>
        </w:trPr>
        <w:tc>
          <w:tcPr>
            <w:tcW w:w="8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For the</w:t>
            </w:r>
          </w:p>
        </w:tc>
        <w:tc>
          <w:tcPr>
            <w:tcW w:w="29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year ended</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90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r>
      <w:tr>
        <w:trPr>
          <w:trHeight w:val="210"/>
        </w:trPr>
        <w:tc>
          <w:tcPr>
            <w:tcW w:w="63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281,012,951</w:t>
            </w:r>
          </w:p>
        </w:tc>
        <w:tc>
          <w:tcPr>
            <w:tcW w:w="2900" w:type="dxa"/>
            <w:vAlign w:val="bottom"/>
          </w:tcPr>
          <w:p>
            <w:pPr>
              <w:spacing w:after="0"/>
              <w:rPr>
                <w:sz w:val="18"/>
                <w:szCs w:val="18"/>
                <w:color w:val="auto"/>
              </w:rPr>
            </w:pPr>
          </w:p>
        </w:tc>
      </w:tr>
      <w:tr>
        <w:trPr>
          <w:trHeight w:val="216"/>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Prepayments, amortization, net</w:t>
            </w: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6"/>
        </w:trPr>
        <w:tc>
          <w:tcPr>
            <w:tcW w:w="63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Unrealized appreciation/(depreciation)</w:t>
            </w: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29,457,367</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55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310,470,318</w:t>
            </w:r>
          </w:p>
        </w:tc>
        <w:tc>
          <w:tcPr>
            <w:tcW w:w="290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5"/>
        </w:trPr>
        <w:tc>
          <w:tcPr>
            <w:tcW w:w="6300" w:type="dxa"/>
            <w:vAlign w:val="bottom"/>
            <w:gridSpan w:val="2"/>
            <w:shd w:val="clear" w:color="auto" w:fill="CCFFCC"/>
          </w:tcPr>
          <w:p>
            <w:pPr>
              <w:ind w:left="20"/>
              <w:spacing w:after="0" w:line="195" w:lineRule="exact"/>
              <w:rPr>
                <w:sz w:val="20"/>
                <w:szCs w:val="20"/>
                <w:color w:val="auto"/>
              </w:rPr>
            </w:pPr>
            <w:r>
              <w:rPr>
                <w:rFonts w:ascii="Arial" w:cs="Arial" w:eastAsia="Arial" w:hAnsi="Arial"/>
                <w:sz w:val="18"/>
                <w:szCs w:val="18"/>
                <w:color w:val="auto"/>
                <w:w w:val="97"/>
              </w:rPr>
              <w:t>Changes in unrealized appreciation (depreciation) included in earnings related to</w:t>
            </w:r>
          </w:p>
        </w:tc>
        <w:tc>
          <w:tcPr>
            <w:tcW w:w="14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29,457,367</w:t>
            </w:r>
          </w:p>
        </w:tc>
        <w:tc>
          <w:tcPr>
            <w:tcW w:w="2900" w:type="dxa"/>
            <w:vAlign w:val="bottom"/>
          </w:tcPr>
          <w:p>
            <w:pPr>
              <w:spacing w:after="0"/>
              <w:rPr>
                <w:sz w:val="16"/>
                <w:szCs w:val="16"/>
                <w:color w:val="auto"/>
              </w:rPr>
            </w:pPr>
          </w:p>
        </w:tc>
      </w:tr>
      <w:tr>
        <w:trPr>
          <w:trHeight w:val="230"/>
        </w:trPr>
        <w:tc>
          <w:tcPr>
            <w:tcW w:w="63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liabilities still held at reporting date</w:t>
            </w:r>
          </w:p>
        </w:tc>
        <w:tc>
          <w:tcPr>
            <w:tcW w:w="14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783"/>
        </w:trPr>
        <w:tc>
          <w:tcPr>
            <w:tcW w:w="800" w:type="dxa"/>
            <w:vAlign w:val="bottom"/>
          </w:tcPr>
          <w:p>
            <w:pPr>
              <w:spacing w:after="0"/>
              <w:rPr>
                <w:sz w:val="24"/>
                <w:szCs w:val="24"/>
                <w:color w:val="auto"/>
              </w:rPr>
            </w:pPr>
          </w:p>
        </w:tc>
        <w:tc>
          <w:tcPr>
            <w:tcW w:w="5500" w:type="dxa"/>
            <w:vAlign w:val="bottom"/>
          </w:tcPr>
          <w:p>
            <w:pPr>
              <w:ind w:left="3700"/>
              <w:spacing w:after="0"/>
              <w:rPr>
                <w:sz w:val="20"/>
                <w:szCs w:val="20"/>
                <w:color w:val="auto"/>
              </w:rPr>
            </w:pPr>
            <w:r>
              <w:rPr>
                <w:rFonts w:ascii="Arial" w:cs="Arial" w:eastAsia="Arial" w:hAnsi="Arial"/>
                <w:sz w:val="18"/>
                <w:szCs w:val="18"/>
                <w:color w:val="auto"/>
              </w:rPr>
              <w:t>S-52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55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5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-2366010</wp:posOffset>
            </wp:positionV>
            <wp:extent cx="4751070" cy="1803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-1088390</wp:posOffset>
            </wp:positionV>
            <wp:extent cx="4751070" cy="1803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-1988820</wp:posOffset>
            </wp:positionV>
            <wp:extent cx="47510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type w:val="continuous"/>
        </w:sectPr>
      </w:pPr>
    </w:p>
    <w:bookmarkStart w:id="172" w:name="page173"/>
    <w:bookmarkEnd w:id="1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40" w:right="1099" w:firstLine="270"/>
        <w:spacing w:after="0" w:line="312"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39" w:lineRule="exact"/>
        <w:rPr>
          <w:sz w:val="20"/>
          <w:szCs w:val="20"/>
          <w:color w:val="auto"/>
        </w:rPr>
      </w:pPr>
    </w:p>
    <w:p>
      <w:pPr>
        <w:ind w:left="600" w:right="599" w:hanging="322"/>
        <w:spacing w:after="0" w:line="277"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Fund has the ability to access.</w:t>
      </w:r>
    </w:p>
    <w:p>
      <w:pPr>
        <w:spacing w:after="0" w:line="62" w:lineRule="exact"/>
        <w:rPr>
          <w:rFonts w:ascii="Arial" w:cs="Arial" w:eastAsia="Arial" w:hAnsi="Arial"/>
          <w:sz w:val="18"/>
          <w:szCs w:val="18"/>
          <w:color w:val="auto"/>
        </w:rPr>
      </w:pPr>
    </w:p>
    <w:p>
      <w:pPr>
        <w:ind w:left="600" w:right="1379" w:hanging="322"/>
        <w:spacing w:after="0" w:line="277"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2 — 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Fund’s debt is presented at fair value with the difference between principal and fair value recorded as unrealized gain/loss.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par amount of the Fund’s debt is approximately $324 million as of both December 31, 2013 and December 31, 2012.</w:t>
      </w:r>
    </w:p>
    <w:p>
      <w:pPr>
        <w:spacing w:after="0" w:line="114" w:lineRule="exact"/>
        <w:rPr>
          <w:sz w:val="20"/>
          <w:szCs w:val="20"/>
          <w:color w:val="auto"/>
        </w:rPr>
      </w:pPr>
    </w:p>
    <w:p>
      <w:pPr>
        <w:ind w:left="40" w:right="659" w:firstLine="270"/>
        <w:spacing w:after="0" w:line="259" w:lineRule="auto"/>
        <w:rPr>
          <w:sz w:val="20"/>
          <w:szCs w:val="20"/>
          <w:color w:val="auto"/>
        </w:rPr>
      </w:pPr>
      <w:r>
        <w:rPr>
          <w:rFonts w:ascii="Arial" w:cs="Arial" w:eastAsia="Arial" w:hAnsi="Arial"/>
          <w:sz w:val="18"/>
          <w:szCs w:val="18"/>
          <w:color w:val="auto"/>
        </w:rPr>
        <w:t>The Manager has determined that, although the junior tranches have certain characteristics of equity, they should be accounted for and disclosed as debt on the Fund’s Statement of net Assets, as the subordinated and income notes have a stated maturity indicating a date for which they are mandatorily redeemable. The preference shares are also classified as debt, as they are mandatorily redeemable upon liquidation or termination of the Fund.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left="40" w:right="599" w:firstLine="270"/>
        <w:spacing w:after="0" w:line="277" w:lineRule="auto"/>
        <w:rPr>
          <w:sz w:val="20"/>
          <w:szCs w:val="20"/>
          <w:color w:val="auto"/>
        </w:rPr>
      </w:pPr>
      <w:r>
        <w:rPr>
          <w:rFonts w:ascii="Arial" w:cs="Arial" w:eastAsia="Arial" w:hAnsi="Arial"/>
          <w:sz w:val="18"/>
          <w:szCs w:val="18"/>
          <w:color w:val="auto"/>
        </w:rPr>
        <w:t>Under the current laws, the Fund is not subject to net income taxation in the United States or the Cayman Islands. Accordingly, no provision for income taxes has been made in the accompanying financial statements.</w:t>
      </w:r>
    </w:p>
    <w:p>
      <w:pPr>
        <w:spacing w:after="0" w:line="62" w:lineRule="exact"/>
        <w:rPr>
          <w:sz w:val="20"/>
          <w:szCs w:val="20"/>
          <w:color w:val="auto"/>
        </w:rPr>
      </w:pPr>
    </w:p>
    <w:p>
      <w:pPr>
        <w:ind w:left="40" w:right="579" w:firstLine="270"/>
        <w:spacing w:after="0" w:line="290" w:lineRule="auto"/>
        <w:rPr>
          <w:sz w:val="20"/>
          <w:szCs w:val="20"/>
          <w:color w:val="auto"/>
        </w:rPr>
      </w:pPr>
      <w:r>
        <w:rPr>
          <w:rFonts w:ascii="Arial" w:cs="Arial" w:eastAsia="Arial" w:hAnsi="Arial"/>
          <w:sz w:val="16"/>
          <w:szCs w:val="16"/>
          <w:color w:val="auto"/>
        </w:rPr>
        <w:t xml:space="preserve">Pursuant to ASC Topic 740,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the Fund adopted the provisions of Financial Accounting Standards Board (“FASB”) relating to accounting for uncertainty in income taxes which clarifies the accounting for income taxes by prescribing the minimum recognition threshold a tax position must meet before being recognized in the financial statements and applies to all open tax years as of the effective date. As of December 31, 2013 and December 31,2012, there was no impact to the financial statements as a result of the Fund’s accounting for uncertainty in income taxes. The Fund does not have any unrecognized tax benefits or liabilities for the years ended December 31, 2013 or December 31, 2012. Also, the Fund recognizes interest and, if applicable, penalties for any uncertain tax positions, as a component of income tax expense. No interest or penalty expense was recorded by the Fund for the years ended December 31, 2013 and December 31, 2012.</w:t>
      </w:r>
    </w:p>
    <w:p>
      <w:pPr>
        <w:spacing w:after="0" w:line="200" w:lineRule="exact"/>
        <w:rPr>
          <w:sz w:val="20"/>
          <w:szCs w:val="20"/>
          <w:color w:val="auto"/>
        </w:rPr>
      </w:pPr>
    </w:p>
    <w:p>
      <w:pPr>
        <w:spacing w:after="0" w:line="3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3" w:name="page174"/>
    <w:bookmarkEnd w:id="17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2007-I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60" w:right="659" w:firstLine="270"/>
        <w:spacing w:after="0" w:line="286" w:lineRule="auto"/>
        <w:rPr>
          <w:sz w:val="20"/>
          <w:szCs w:val="20"/>
          <w:color w:val="auto"/>
        </w:rPr>
      </w:pPr>
      <w:r>
        <w:rPr>
          <w:rFonts w:ascii="Arial" w:cs="Arial" w:eastAsia="Arial" w:hAnsi="Arial"/>
          <w:sz w:val="17"/>
          <w:szCs w:val="17"/>
          <w:color w:val="auto"/>
        </w:rPr>
        <w:t>On January 23, 2008, the Fund issued $323.9 million of notes or debt securities, consisting of the Class A-1L Floating Rate Notes, the Class A-2L Floating Rate Notes, the Class A-3L Floating Rate Notes, the Class B-1L Floating Rate Notes, the Class B-2L Floating Rate Notes and the preferred shares. The notes were issued pursuant to the Indenture.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sets forth certain information for each outstanding class of debt securities issued pursuant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521398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ind w:left="20"/>
              <w:spacing w:after="0"/>
              <w:rPr>
                <w:sz w:val="20"/>
                <w:szCs w:val="20"/>
                <w:color w:val="auto"/>
              </w:rPr>
            </w:pPr>
            <w:r>
              <w:rPr>
                <w:rFonts w:ascii="Arial" w:cs="Arial" w:eastAsia="Arial" w:hAnsi="Arial"/>
                <w:sz w:val="14"/>
                <w:szCs w:val="14"/>
                <w:b w:val="1"/>
                <w:bCs w:val="1"/>
                <w:color w:val="auto"/>
              </w:rPr>
              <w:t>Title of Debt Security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8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20"/>
              <w:spacing w:after="0"/>
              <w:rPr>
                <w:sz w:val="20"/>
                <w:szCs w:val="20"/>
                <w:color w:val="auto"/>
              </w:rPr>
            </w:pPr>
            <w:r>
              <w:rPr>
                <w:rFonts w:ascii="Arial" w:cs="Arial" w:eastAsia="Arial" w:hAnsi="Arial"/>
                <w:sz w:val="14"/>
                <w:szCs w:val="14"/>
                <w:b w:val="1"/>
                <w:bCs w:val="1"/>
                <w:color w:val="auto"/>
              </w:rPr>
              <w:t>Fair Value</w:t>
            </w:r>
          </w:p>
        </w:tc>
      </w:tr>
      <w:tr>
        <w:trPr>
          <w:trHeight w:val="171"/>
        </w:trPr>
        <w:tc>
          <w:tcPr>
            <w:tcW w:w="2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86"/>
        </w:trPr>
        <w:tc>
          <w:tcPr>
            <w:tcW w:w="2300" w:type="dxa"/>
            <w:vAlign w:val="bottom"/>
            <w:shd w:val="clear" w:color="auto" w:fill="CCFFCC"/>
          </w:tcPr>
          <w:p>
            <w:pPr>
              <w:ind w:left="20"/>
              <w:spacing w:after="0"/>
              <w:rPr>
                <w:sz w:val="20"/>
                <w:szCs w:val="20"/>
                <w:color w:val="auto"/>
              </w:rPr>
            </w:pPr>
            <w:r>
              <w:rPr>
                <w:rFonts w:ascii="Arial" w:cs="Arial" w:eastAsia="Arial" w:hAnsi="Arial"/>
                <w:sz w:val="16"/>
                <w:szCs w:val="16"/>
                <w:color w:val="auto"/>
              </w:rPr>
              <w:t>Class A-1L Floating Rate Notes</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2"/>
              </w:rPr>
              <w:t>227,000,000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4"/>
              </w:rPr>
              <w:t>227,000,000</w:t>
            </w:r>
          </w:p>
        </w:tc>
        <w:tc>
          <w:tcPr>
            <w:tcW w:w="80" w:type="dxa"/>
            <w:vAlign w:val="bottom"/>
            <w:shd w:val="clear" w:color="auto" w:fill="CCFFCC"/>
          </w:tcPr>
          <w:p>
            <w:pPr>
              <w:spacing w:after="0"/>
              <w:rPr>
                <w:sz w:val="16"/>
                <w:szCs w:val="16"/>
                <w:color w:val="auto"/>
              </w:rPr>
            </w:pPr>
          </w:p>
        </w:tc>
        <w:tc>
          <w:tcPr>
            <w:tcW w:w="12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LIBOR + 0.85%</w:t>
            </w:r>
          </w:p>
        </w:tc>
        <w:tc>
          <w:tcPr>
            <w:tcW w:w="80" w:type="dxa"/>
            <w:vAlign w:val="bottom"/>
            <w:shd w:val="clear" w:color="auto" w:fill="CCFFCC"/>
          </w:tcPr>
          <w:p>
            <w:pPr>
              <w:spacing w:after="0"/>
              <w:rPr>
                <w:sz w:val="16"/>
                <w:szCs w:val="16"/>
                <w:color w:val="auto"/>
              </w:rPr>
            </w:pPr>
          </w:p>
        </w:tc>
        <w:tc>
          <w:tcPr>
            <w:tcW w:w="10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8"/>
              </w:rPr>
              <w:t>April 23,</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222,899,115</w:t>
            </w:r>
          </w:p>
        </w:tc>
      </w:tr>
      <w:tr>
        <w:trPr>
          <w:trHeight w:val="212"/>
        </w:trPr>
        <w:tc>
          <w:tcPr>
            <w:tcW w:w="2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5"/>
              </w:rPr>
              <w:t>2022</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r>
      <w:tr>
        <w:trPr>
          <w:trHeight w:val="193"/>
        </w:trPr>
        <w:tc>
          <w:tcPr>
            <w:tcW w:w="2300" w:type="dxa"/>
            <w:vAlign w:val="bottom"/>
          </w:tcPr>
          <w:p>
            <w:pPr>
              <w:ind w:left="20"/>
              <w:spacing w:after="0"/>
              <w:rPr>
                <w:sz w:val="20"/>
                <w:szCs w:val="20"/>
                <w:color w:val="auto"/>
              </w:rPr>
            </w:pPr>
            <w:r>
              <w:rPr>
                <w:rFonts w:ascii="Arial" w:cs="Arial" w:eastAsia="Arial" w:hAnsi="Arial"/>
                <w:sz w:val="16"/>
                <w:szCs w:val="16"/>
                <w:color w:val="auto"/>
              </w:rPr>
              <w:t>Class A-2L Floating Rate Notes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26,000,000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26,000,000</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LIBOR + 1.50%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April 23,</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25,636,801</w:t>
            </w:r>
          </w:p>
        </w:tc>
      </w:tr>
      <w:tr>
        <w:trPr>
          <w:trHeight w:val="209"/>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2022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6"/>
        </w:trPr>
        <w:tc>
          <w:tcPr>
            <w:tcW w:w="2300" w:type="dxa"/>
            <w:vAlign w:val="bottom"/>
            <w:shd w:val="clear" w:color="auto" w:fill="CCFFCC"/>
          </w:tcPr>
          <w:p>
            <w:pPr>
              <w:ind w:left="20"/>
              <w:spacing w:after="0"/>
              <w:rPr>
                <w:sz w:val="20"/>
                <w:szCs w:val="20"/>
                <w:color w:val="auto"/>
              </w:rPr>
            </w:pPr>
            <w:r>
              <w:rPr>
                <w:rFonts w:ascii="Arial" w:cs="Arial" w:eastAsia="Arial" w:hAnsi="Arial"/>
                <w:sz w:val="16"/>
                <w:szCs w:val="16"/>
                <w:color w:val="auto"/>
              </w:rPr>
              <w:t>Class A-3L Floating Rate Notes</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18,000,000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18,000,000</w:t>
            </w:r>
          </w:p>
        </w:tc>
        <w:tc>
          <w:tcPr>
            <w:tcW w:w="80" w:type="dxa"/>
            <w:vAlign w:val="bottom"/>
            <w:shd w:val="clear" w:color="auto" w:fill="CCFFCC"/>
          </w:tcPr>
          <w:p>
            <w:pPr>
              <w:spacing w:after="0"/>
              <w:rPr>
                <w:sz w:val="17"/>
                <w:szCs w:val="17"/>
                <w:color w:val="auto"/>
              </w:rPr>
            </w:pPr>
          </w:p>
        </w:tc>
        <w:tc>
          <w:tcPr>
            <w:tcW w:w="12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LIBOR + 2.00%</w:t>
            </w:r>
          </w:p>
        </w:tc>
        <w:tc>
          <w:tcPr>
            <w:tcW w:w="80" w:type="dxa"/>
            <w:vAlign w:val="bottom"/>
            <w:shd w:val="clear" w:color="auto" w:fill="CCFFCC"/>
          </w:tcPr>
          <w:p>
            <w:pPr>
              <w:spacing w:after="0"/>
              <w:rPr>
                <w:sz w:val="17"/>
                <w:szCs w:val="17"/>
                <w:color w:val="auto"/>
              </w:rPr>
            </w:pPr>
          </w:p>
        </w:tc>
        <w:tc>
          <w:tcPr>
            <w:tcW w:w="10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8"/>
              </w:rPr>
              <w:t>April 23,</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17,648,012</w:t>
            </w:r>
          </w:p>
        </w:tc>
      </w:tr>
      <w:tr>
        <w:trPr>
          <w:trHeight w:val="212"/>
        </w:trPr>
        <w:tc>
          <w:tcPr>
            <w:tcW w:w="2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5"/>
              </w:rPr>
              <w:t>2022</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r>
      <w:tr>
        <w:trPr>
          <w:trHeight w:val="193"/>
        </w:trPr>
        <w:tc>
          <w:tcPr>
            <w:tcW w:w="2300" w:type="dxa"/>
            <w:vAlign w:val="bottom"/>
          </w:tcPr>
          <w:p>
            <w:pPr>
              <w:ind w:left="20"/>
              <w:spacing w:after="0"/>
              <w:rPr>
                <w:sz w:val="20"/>
                <w:szCs w:val="20"/>
                <w:color w:val="auto"/>
              </w:rPr>
            </w:pPr>
            <w:r>
              <w:rPr>
                <w:rFonts w:ascii="Arial" w:cs="Arial" w:eastAsia="Arial" w:hAnsi="Arial"/>
                <w:sz w:val="16"/>
                <w:szCs w:val="16"/>
                <w:color w:val="auto"/>
              </w:rPr>
              <w:t>Class B-1L Floating Rate Notes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11,000,000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11,000,000</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LIBOR + 3.00%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April 23,</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10,867,306</w:t>
            </w:r>
          </w:p>
        </w:tc>
      </w:tr>
      <w:tr>
        <w:trPr>
          <w:trHeight w:val="209"/>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2022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6"/>
        </w:trPr>
        <w:tc>
          <w:tcPr>
            <w:tcW w:w="2300" w:type="dxa"/>
            <w:vAlign w:val="bottom"/>
            <w:shd w:val="clear" w:color="auto" w:fill="CCFFCC"/>
          </w:tcPr>
          <w:p>
            <w:pPr>
              <w:ind w:left="20"/>
              <w:spacing w:after="0"/>
              <w:rPr>
                <w:sz w:val="20"/>
                <w:szCs w:val="20"/>
                <w:color w:val="auto"/>
              </w:rPr>
            </w:pPr>
            <w:r>
              <w:rPr>
                <w:rFonts w:ascii="Arial" w:cs="Arial" w:eastAsia="Arial" w:hAnsi="Arial"/>
                <w:sz w:val="16"/>
                <w:szCs w:val="16"/>
                <w:color w:val="auto"/>
              </w:rPr>
              <w:t>Class B-2L Floating Rate Notes</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10,500,000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10,500,000</w:t>
            </w:r>
          </w:p>
        </w:tc>
        <w:tc>
          <w:tcPr>
            <w:tcW w:w="80" w:type="dxa"/>
            <w:vAlign w:val="bottom"/>
            <w:shd w:val="clear" w:color="auto" w:fill="CCFFCC"/>
          </w:tcPr>
          <w:p>
            <w:pPr>
              <w:spacing w:after="0"/>
              <w:rPr>
                <w:sz w:val="17"/>
                <w:szCs w:val="17"/>
                <w:color w:val="auto"/>
              </w:rPr>
            </w:pPr>
          </w:p>
        </w:tc>
        <w:tc>
          <w:tcPr>
            <w:tcW w:w="12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LIBOR + 5.00%</w:t>
            </w:r>
          </w:p>
        </w:tc>
        <w:tc>
          <w:tcPr>
            <w:tcW w:w="80" w:type="dxa"/>
            <w:vAlign w:val="bottom"/>
            <w:shd w:val="clear" w:color="auto" w:fill="CCFFCC"/>
          </w:tcPr>
          <w:p>
            <w:pPr>
              <w:spacing w:after="0"/>
              <w:rPr>
                <w:sz w:val="17"/>
                <w:szCs w:val="17"/>
                <w:color w:val="auto"/>
              </w:rPr>
            </w:pPr>
          </w:p>
        </w:tc>
        <w:tc>
          <w:tcPr>
            <w:tcW w:w="104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8"/>
              </w:rPr>
              <w:t>April 23,</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9,740,000</w:t>
            </w:r>
          </w:p>
        </w:tc>
      </w:tr>
      <w:tr>
        <w:trPr>
          <w:trHeight w:val="212"/>
        </w:trPr>
        <w:tc>
          <w:tcPr>
            <w:tcW w:w="2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center"/>
              <w:ind w:left="59"/>
              <w:spacing w:after="0"/>
              <w:rPr>
                <w:sz w:val="20"/>
                <w:szCs w:val="20"/>
                <w:color w:val="auto"/>
              </w:rPr>
            </w:pPr>
            <w:r>
              <w:rPr>
                <w:rFonts w:ascii="Arial" w:cs="Arial" w:eastAsia="Arial" w:hAnsi="Arial"/>
                <w:sz w:val="16"/>
                <w:szCs w:val="16"/>
                <w:color w:val="auto"/>
                <w:w w:val="95"/>
              </w:rPr>
              <w:t>2022</w:t>
            </w:r>
          </w:p>
        </w:tc>
        <w:tc>
          <w:tcPr>
            <w:tcW w:w="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r>
      <w:tr>
        <w:trPr>
          <w:trHeight w:val="193"/>
        </w:trPr>
        <w:tc>
          <w:tcPr>
            <w:tcW w:w="2300" w:type="dxa"/>
            <w:vAlign w:val="bottom"/>
          </w:tcPr>
          <w:p>
            <w:pPr>
              <w:ind w:left="20"/>
              <w:spacing w:after="0"/>
              <w:rPr>
                <w:sz w:val="20"/>
                <w:szCs w:val="20"/>
                <w:color w:val="auto"/>
              </w:rPr>
            </w:pPr>
            <w:r>
              <w:rPr>
                <w:rFonts w:ascii="Arial" w:cs="Arial" w:eastAsia="Arial" w:hAnsi="Arial"/>
                <w:sz w:val="16"/>
                <w:szCs w:val="16"/>
                <w:color w:val="auto"/>
              </w:rPr>
              <w:t>Preferred Shares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31,411,736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31,411,736</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8"/>
              </w:rPr>
              <w:t>April 23,</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27,758,973</w:t>
            </w:r>
          </w:p>
        </w:tc>
      </w:tr>
      <w:tr>
        <w:trPr>
          <w:trHeight w:val="206"/>
        </w:trPr>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gridSpan w:val="2"/>
          </w:tcPr>
          <w:p>
            <w:pPr>
              <w:jc w:val="center"/>
              <w:ind w:left="59"/>
              <w:spacing w:after="0"/>
              <w:rPr>
                <w:sz w:val="20"/>
                <w:szCs w:val="20"/>
                <w:color w:val="auto"/>
              </w:rPr>
            </w:pPr>
            <w:r>
              <w:rPr>
                <w:rFonts w:ascii="Arial" w:cs="Arial" w:eastAsia="Arial" w:hAnsi="Arial"/>
                <w:sz w:val="16"/>
                <w:szCs w:val="16"/>
                <w:color w:val="auto"/>
                <w:w w:val="95"/>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60" w:right="739" w:firstLine="270"/>
        <w:spacing w:after="0" w:line="342" w:lineRule="auto"/>
        <w:rPr>
          <w:sz w:val="20"/>
          <w:szCs w:val="20"/>
          <w:color w:val="auto"/>
        </w:rPr>
      </w:pPr>
      <w:r>
        <w:rPr>
          <w:rFonts w:ascii="Arial" w:cs="Arial" w:eastAsia="Arial" w:hAnsi="Arial"/>
          <w:sz w:val="16"/>
          <w:szCs w:val="16"/>
          <w:color w:val="auto"/>
        </w:rPr>
        <w:t>The Fund had commitments of approximately $2.8 million to fund investments investment as of December 31, 2013. Of this amount approximately $2.5 million was unfunded. The Fund had no commitments to fund investments as of December 31, 2012.</w:t>
      </w:r>
    </w:p>
    <w:p>
      <w:pPr>
        <w:spacing w:after="0" w:line="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CAPITALIZATION</w:t>
      </w:r>
    </w:p>
    <w:p>
      <w:pPr>
        <w:spacing w:after="0" w:line="121"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The authorized share capital of the Fund is $32,250, consisting of 250 ordinary shares of $1.00 par value, each of which are issued and fully paid, and 32,000,000 preferred shares, 31,411,736 of which are issued and fully paid. The ordinary shares that have been issued are held by Maples Finance Limited, a licensed trust company incorporated in the Cayman Islands, as the trustee pursuant to the terms of a charitable trust. The preferred shares that have been issued by the Fund are owned by KCAP Financial. The preferred shares are classified as debt in the Fund’s financial statements, as they are mandatorily redeemable upon liquidation or termination of the Fund.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ind w:left="60" w:right="639" w:firstLine="270"/>
        <w:spacing w:after="0" w:line="264" w:lineRule="auto"/>
        <w:rPr>
          <w:sz w:val="20"/>
          <w:szCs w:val="20"/>
          <w:color w:val="auto"/>
        </w:rPr>
      </w:pPr>
      <w:r>
        <w:rPr>
          <w:rFonts w:ascii="Arial" w:cs="Arial" w:eastAsia="Arial" w:hAnsi="Arial"/>
          <w:sz w:val="18"/>
          <w:szCs w:val="18"/>
          <w:color w:val="auto"/>
        </w:rPr>
        <w:t>The Manager has evaluated events or transactions that have occurred since December 31, 2013 through March 12, 2014 the date the financial statements were available for issuance. The Manager has determined that there are no material events that would require the disclosure in the financial statements.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Board of Directors and Shareholders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KCAP Financial, Inc.</w:t>
      </w:r>
    </w:p>
    <w:p>
      <w:pPr>
        <w:spacing w:after="0" w:line="103" w:lineRule="exact"/>
        <w:rPr>
          <w:sz w:val="20"/>
          <w:szCs w:val="20"/>
          <w:color w:val="auto"/>
        </w:rPr>
      </w:pPr>
    </w:p>
    <w:p>
      <w:pPr>
        <w:jc w:val="both"/>
        <w:ind w:left="40" w:right="599" w:firstLine="270"/>
        <w:spacing w:after="0" w:line="264" w:lineRule="auto"/>
        <w:rPr>
          <w:sz w:val="20"/>
          <w:szCs w:val="20"/>
          <w:color w:val="auto"/>
        </w:rPr>
      </w:pPr>
      <w:r>
        <w:rPr>
          <w:rFonts w:ascii="Arial" w:cs="Arial" w:eastAsia="Arial" w:hAnsi="Arial"/>
          <w:sz w:val="18"/>
          <w:szCs w:val="18"/>
          <w:color w:val="auto"/>
        </w:rPr>
        <w:t>We have audited the accompanying financial statements of Katonah X CLO Ltd., which comprise the statement of net assets as of December 31, 2013, and the related statements of operations, changes in net assets, and cash flows for the year then ended, and the related notes to the financial statements.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40" w:right="559" w:firstLine="270"/>
        <w:spacing w:after="0" w:line="259"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40" w:right="759" w:firstLine="270"/>
        <w:spacing w:after="0" w:line="312" w:lineRule="auto"/>
        <w:rPr>
          <w:sz w:val="20"/>
          <w:szCs w:val="20"/>
          <w:color w:val="auto"/>
        </w:rPr>
      </w:pPr>
      <w:r>
        <w:rPr>
          <w:rFonts w:ascii="Arial" w:cs="Arial" w:eastAsia="Arial" w:hAnsi="Arial"/>
          <w:sz w:val="16"/>
          <w:szCs w:val="16"/>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39"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ind w:left="40" w:right="1039" w:firstLine="270"/>
        <w:spacing w:after="0" w:line="399"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b w:val="1"/>
          <w:bCs w:val="1"/>
          <w:color w:val="auto"/>
        </w:rPr>
        <w:t>Opinion</w:t>
      </w:r>
    </w:p>
    <w:p>
      <w:pPr>
        <w:spacing w:after="0" w:line="1" w:lineRule="exact"/>
        <w:rPr>
          <w:sz w:val="20"/>
          <w:szCs w:val="20"/>
          <w:color w:val="auto"/>
        </w:rPr>
      </w:pPr>
    </w:p>
    <w:p>
      <w:pPr>
        <w:jc w:val="both"/>
        <w:ind w:left="40" w:right="1099" w:firstLine="270"/>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Katonah X CLO Ltd. as of December 31, 2013, and the results of its operations and its cash flows for the year then ended in accordance with accounting principles generally accepted in the United States of America.</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2014</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5" w:name="page176"/>
    <w:bookmarkEnd w:id="17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960" w:type="dxa"/>
            <w:vAlign w:val="bottom"/>
            <w:gridSpan w:val="2"/>
          </w:tcPr>
          <w:p>
            <w:pPr>
              <w:jc w:val="center"/>
              <w:ind w:right="728"/>
              <w:spacing w:after="0"/>
              <w:rPr>
                <w:sz w:val="20"/>
                <w:szCs w:val="20"/>
                <w:color w:val="auto"/>
              </w:rPr>
            </w:pPr>
            <w:r>
              <w:rPr>
                <w:rFonts w:ascii="Arial" w:cs="Arial" w:eastAsia="Arial" w:hAnsi="Arial"/>
                <w:sz w:val="18"/>
                <w:szCs w:val="18"/>
                <w:b w:val="1"/>
                <w:bCs w:val="1"/>
                <w:color w:val="auto"/>
              </w:rPr>
              <w:t>KATONAH X CLO LTD.</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220" w:type="dxa"/>
            <w:vAlign w:val="bottom"/>
          </w:tcPr>
          <w:p>
            <w:pPr>
              <w:spacing w:after="0"/>
              <w:rPr>
                <w:sz w:val="24"/>
                <w:szCs w:val="24"/>
                <w:color w:val="auto"/>
              </w:rPr>
            </w:pPr>
          </w:p>
        </w:tc>
        <w:tc>
          <w:tcPr>
            <w:tcW w:w="3960" w:type="dxa"/>
            <w:vAlign w:val="bottom"/>
            <w:gridSpan w:val="2"/>
          </w:tcPr>
          <w:p>
            <w:pPr>
              <w:jc w:val="center"/>
              <w:ind w:right="728"/>
              <w:spacing w:after="0"/>
              <w:rPr>
                <w:sz w:val="20"/>
                <w:szCs w:val="20"/>
                <w:color w:val="auto"/>
              </w:rPr>
            </w:pPr>
            <w:r>
              <w:rPr>
                <w:rFonts w:ascii="Arial" w:cs="Arial" w:eastAsia="Arial" w:hAnsi="Arial"/>
                <w:sz w:val="18"/>
                <w:szCs w:val="18"/>
                <w:b w:val="1"/>
                <w:bCs w:val="1"/>
                <w:color w:val="auto"/>
                <w:w w:val="97"/>
              </w:rPr>
              <w:t>STATEMENT OF NET ASSETS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32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32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r>
      <w:tr>
        <w:trPr>
          <w:trHeight w:val="210"/>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3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2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Debt securities</w:t>
            </w:r>
          </w:p>
        </w:tc>
        <w:tc>
          <w:tcPr>
            <w:tcW w:w="3960" w:type="dxa"/>
            <w:vAlign w:val="bottom"/>
            <w:gridSpan w:val="2"/>
            <w:shd w:val="clear" w:color="auto" w:fill="CCFFCC"/>
          </w:tcPr>
          <w:p>
            <w:pPr>
              <w:ind w:left="37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392,391,636</w:t>
            </w:r>
          </w:p>
        </w:tc>
        <w:tc>
          <w:tcPr>
            <w:tcW w:w="80" w:type="dxa"/>
            <w:vAlign w:val="bottom"/>
            <w:shd w:val="clear" w:color="auto" w:fill="CCFFCC"/>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Equity securities</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1,528,067</w:t>
            </w:r>
          </w:p>
        </w:tc>
        <w:tc>
          <w:tcPr>
            <w:tcW w:w="80" w:type="dxa"/>
            <w:vAlign w:val="bottom"/>
          </w:tcPr>
          <w:p>
            <w:pPr>
              <w:spacing w:after="0"/>
              <w:rPr>
                <w:sz w:val="18"/>
                <w:szCs w:val="18"/>
                <w:color w:val="auto"/>
              </w:rPr>
            </w:pPr>
          </w:p>
        </w:tc>
      </w:tr>
      <w:tr>
        <w:trPr>
          <w:trHeight w:val="216"/>
        </w:trPr>
        <w:tc>
          <w:tcPr>
            <w:tcW w:w="32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CLO equity securities</w:t>
            </w:r>
          </w:p>
        </w:tc>
        <w:tc>
          <w:tcPr>
            <w:tcW w:w="37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14,779,111</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3220" w:type="dxa"/>
            <w:vAlign w:val="bottom"/>
          </w:tcPr>
          <w:p>
            <w:pPr>
              <w:ind w:left="380"/>
              <w:spacing w:after="0"/>
              <w:rPr>
                <w:sz w:val="20"/>
                <w:szCs w:val="20"/>
                <w:color w:val="auto"/>
              </w:rPr>
            </w:pPr>
            <w:r>
              <w:rPr>
                <w:rFonts w:ascii="Arial" w:cs="Arial" w:eastAsia="Arial" w:hAnsi="Arial"/>
                <w:sz w:val="18"/>
                <w:szCs w:val="18"/>
                <w:color w:val="auto"/>
              </w:rPr>
              <w:t>Total investments at fair value</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408,698,814</w:t>
            </w:r>
          </w:p>
        </w:tc>
        <w:tc>
          <w:tcPr>
            <w:tcW w:w="80" w:type="dxa"/>
            <w:vAlign w:val="bottom"/>
          </w:tcPr>
          <w:p>
            <w:pPr>
              <w:spacing w:after="0"/>
              <w:rPr>
                <w:sz w:val="18"/>
                <w:szCs w:val="18"/>
                <w:color w:val="auto"/>
              </w:rPr>
            </w:pPr>
          </w:p>
        </w:tc>
      </w:tr>
      <w:tr>
        <w:trPr>
          <w:trHeight w:val="216"/>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Restricted cash of CLO Funds</w:t>
            </w:r>
          </w:p>
        </w:tc>
        <w:tc>
          <w:tcPr>
            <w:tcW w:w="3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26,050,568</w:t>
            </w:r>
          </w:p>
        </w:tc>
        <w:tc>
          <w:tcPr>
            <w:tcW w:w="80" w:type="dxa"/>
            <w:vAlign w:val="bottom"/>
            <w:shd w:val="clear" w:color="auto" w:fill="CCFFC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1,050,529</w:t>
            </w:r>
          </w:p>
        </w:tc>
        <w:tc>
          <w:tcPr>
            <w:tcW w:w="80" w:type="dxa"/>
            <w:vAlign w:val="bottom"/>
          </w:tcPr>
          <w:p>
            <w:pPr>
              <w:spacing w:after="0"/>
              <w:rPr>
                <w:sz w:val="18"/>
                <w:szCs w:val="18"/>
                <w:color w:val="auto"/>
              </w:rPr>
            </w:pPr>
          </w:p>
        </w:tc>
      </w:tr>
      <w:tr>
        <w:trPr>
          <w:trHeight w:val="250"/>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assets</w:t>
            </w:r>
          </w:p>
        </w:tc>
        <w:tc>
          <w:tcPr>
            <w:tcW w:w="3960" w:type="dxa"/>
            <w:vAlign w:val="bottom"/>
            <w:gridSpan w:val="2"/>
            <w:shd w:val="clear" w:color="auto" w:fill="CCFFCC"/>
          </w:tcPr>
          <w:p>
            <w:pPr>
              <w:ind w:left="37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435,799,911</w:t>
            </w:r>
          </w:p>
        </w:tc>
        <w:tc>
          <w:tcPr>
            <w:tcW w:w="80" w:type="dxa"/>
            <w:vAlign w:val="bottom"/>
            <w:shd w:val="clear" w:color="auto" w:fill="CCFFCC"/>
          </w:tcPr>
          <w:p>
            <w:pPr>
              <w:spacing w:after="0"/>
              <w:rPr>
                <w:sz w:val="21"/>
                <w:szCs w:val="21"/>
                <w:color w:val="auto"/>
              </w:rPr>
            </w:pPr>
          </w:p>
        </w:tc>
      </w:tr>
      <w:tr>
        <w:trPr>
          <w:trHeight w:val="210"/>
        </w:trPr>
        <w:tc>
          <w:tcPr>
            <w:tcW w:w="322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37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6"/>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CLO Fund liabilities at fair value</w:t>
            </w:r>
          </w:p>
        </w:tc>
        <w:tc>
          <w:tcPr>
            <w:tcW w:w="3960" w:type="dxa"/>
            <w:vAlign w:val="bottom"/>
            <w:gridSpan w:val="2"/>
            <w:shd w:val="clear" w:color="auto" w:fill="CCFFCC"/>
          </w:tcPr>
          <w:p>
            <w:pPr>
              <w:ind w:left="37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416,405,403</w:t>
            </w:r>
          </w:p>
        </w:tc>
        <w:tc>
          <w:tcPr>
            <w:tcW w:w="80" w:type="dxa"/>
            <w:vAlign w:val="bottom"/>
            <w:shd w:val="clear" w:color="auto" w:fill="CCFFC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982,197</w:t>
            </w:r>
          </w:p>
        </w:tc>
        <w:tc>
          <w:tcPr>
            <w:tcW w:w="80" w:type="dxa"/>
            <w:vAlign w:val="bottom"/>
          </w:tcPr>
          <w:p>
            <w:pPr>
              <w:spacing w:after="0"/>
              <w:rPr>
                <w:sz w:val="18"/>
                <w:szCs w:val="18"/>
                <w:color w:val="auto"/>
              </w:rPr>
            </w:pPr>
          </w:p>
        </w:tc>
      </w:tr>
      <w:tr>
        <w:trPr>
          <w:trHeight w:val="216"/>
        </w:trPr>
        <w:tc>
          <w:tcPr>
            <w:tcW w:w="32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w w:val="96"/>
              </w:rPr>
              <w:t>Accounts payable and accrued expenses</w:t>
            </w:r>
          </w:p>
        </w:tc>
        <w:tc>
          <w:tcPr>
            <w:tcW w:w="37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413,101</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32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417,800,701</w:t>
            </w:r>
          </w:p>
        </w:tc>
        <w:tc>
          <w:tcPr>
            <w:tcW w:w="80" w:type="dxa"/>
            <w:vAlign w:val="bottom"/>
          </w:tcPr>
          <w:p>
            <w:pPr>
              <w:spacing w:after="0"/>
              <w:rPr>
                <w:sz w:val="18"/>
                <w:szCs w:val="18"/>
                <w:color w:val="auto"/>
              </w:rPr>
            </w:pPr>
          </w:p>
        </w:tc>
      </w:tr>
      <w:tr>
        <w:trPr>
          <w:trHeight w:val="210"/>
        </w:trPr>
        <w:tc>
          <w:tcPr>
            <w:tcW w:w="32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ASSETS</w:t>
            </w:r>
          </w:p>
        </w:tc>
        <w:tc>
          <w:tcPr>
            <w:tcW w:w="37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3960" w:type="dxa"/>
            <w:vAlign w:val="bottom"/>
            <w:gridSpan w:val="2"/>
          </w:tcPr>
          <w:p>
            <w:pPr>
              <w:ind w:left="37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17,999,210</w:t>
            </w:r>
          </w:p>
        </w:tc>
        <w:tc>
          <w:tcPr>
            <w:tcW w:w="80" w:type="dxa"/>
            <w:vAlign w:val="bottom"/>
          </w:tcPr>
          <w:p>
            <w:pPr>
              <w:spacing w:after="0"/>
              <w:rPr>
                <w:sz w:val="18"/>
                <w:szCs w:val="18"/>
                <w:color w:val="auto"/>
              </w:rPr>
            </w:pPr>
          </w:p>
        </w:tc>
      </w:tr>
      <w:tr>
        <w:trPr>
          <w:trHeight w:val="21"/>
        </w:trPr>
        <w:tc>
          <w:tcPr>
            <w:tcW w:w="3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-1611630</wp:posOffset>
            </wp:positionV>
            <wp:extent cx="5213985" cy="146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-1045845</wp:posOffset>
            </wp:positionV>
            <wp:extent cx="5213985" cy="1714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5213985" cy="1543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-2597785</wp:posOffset>
            </wp:positionV>
            <wp:extent cx="519684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6" w:name="page177"/>
    <w:bookmarkEnd w:id="176"/>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7969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For the Year</w:t>
            </w:r>
          </w:p>
        </w:tc>
      </w:tr>
      <w:tr>
        <w:trPr>
          <w:trHeight w:val="149"/>
        </w:trPr>
        <w:tc>
          <w:tcPr>
            <w:tcW w:w="7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7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200" w:type="dxa"/>
            <w:vAlign w:val="bottom"/>
          </w:tcPr>
          <w:p>
            <w:pPr>
              <w:spacing w:after="0"/>
              <w:rPr>
                <w:sz w:val="14"/>
                <w:szCs w:val="14"/>
                <w:color w:val="auto"/>
              </w:rPr>
            </w:pPr>
          </w:p>
        </w:tc>
        <w:tc>
          <w:tcPr>
            <w:tcW w:w="90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4"/>
                <w:szCs w:val="14"/>
                <w:color w:val="auto"/>
              </w:rPr>
            </w:pPr>
          </w:p>
        </w:tc>
      </w:tr>
      <w:tr>
        <w:trPr>
          <w:trHeight w:val="210"/>
        </w:trPr>
        <w:tc>
          <w:tcPr>
            <w:tcW w:w="7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Income</w:t>
            </w: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Interest income from investments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$18,286,805</w:t>
            </w:r>
          </w:p>
        </w:tc>
      </w:tr>
      <w:tr>
        <w:trPr>
          <w:trHeight w:val="216"/>
        </w:trPr>
        <w:tc>
          <w:tcPr>
            <w:tcW w:w="7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income from cash and time deposits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1,068</w:t>
            </w: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1,091,657</w:t>
            </w:r>
          </w:p>
        </w:tc>
        <w:tc>
          <w:tcPr>
            <w:tcW w:w="120" w:type="dxa"/>
            <w:vAlign w:val="bottom"/>
          </w:tcPr>
          <w:p>
            <w:pPr>
              <w:spacing w:after="0"/>
              <w:rPr>
                <w:sz w:val="18"/>
                <w:szCs w:val="18"/>
                <w:color w:val="auto"/>
              </w:rPr>
            </w:pPr>
          </w:p>
        </w:tc>
      </w:tr>
      <w:tr>
        <w:trPr>
          <w:trHeight w:val="210"/>
        </w:trPr>
        <w:tc>
          <w:tcPr>
            <w:tcW w:w="72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Total income</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19,379,530</w:t>
            </w:r>
          </w:p>
        </w:tc>
      </w:tr>
      <w:tr>
        <w:trPr>
          <w:trHeight w:val="210"/>
        </w:trPr>
        <w:tc>
          <w:tcPr>
            <w:tcW w:w="720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r>
      <w:tr>
        <w:trPr>
          <w:trHeight w:val="216"/>
        </w:trPr>
        <w:tc>
          <w:tcPr>
            <w:tcW w:w="7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14,887,931</w:t>
            </w: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Management fees</w:t>
            </w:r>
          </w:p>
        </w:tc>
        <w:tc>
          <w:tcPr>
            <w:tcW w:w="900" w:type="dxa"/>
            <w:vAlign w:val="bottom"/>
          </w:tcPr>
          <w:p>
            <w:pPr>
              <w:jc w:val="right"/>
              <w:spacing w:after="0"/>
              <w:rPr>
                <w:sz w:val="20"/>
                <w:szCs w:val="20"/>
                <w:color w:val="auto"/>
              </w:rPr>
            </w:pPr>
            <w:r>
              <w:rPr>
                <w:rFonts w:ascii="Arial" w:cs="Arial" w:eastAsia="Arial" w:hAnsi="Arial"/>
                <w:sz w:val="18"/>
                <w:szCs w:val="18"/>
                <w:color w:val="auto"/>
              </w:rPr>
              <w:t>3,596,358</w:t>
            </w:r>
          </w:p>
        </w:tc>
        <w:tc>
          <w:tcPr>
            <w:tcW w:w="120" w:type="dxa"/>
            <w:vAlign w:val="bottom"/>
          </w:tcPr>
          <w:p>
            <w:pPr>
              <w:spacing w:after="0"/>
              <w:rPr>
                <w:sz w:val="18"/>
                <w:szCs w:val="18"/>
                <w:color w:val="auto"/>
              </w:rPr>
            </w:pPr>
          </w:p>
        </w:tc>
      </w:tr>
      <w:tr>
        <w:trPr>
          <w:trHeight w:val="216"/>
        </w:trPr>
        <w:tc>
          <w:tcPr>
            <w:tcW w:w="7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Trustee fees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134,118</w:t>
            </w:r>
          </w:p>
        </w:tc>
      </w:tr>
      <w:tr>
        <w:trPr>
          <w:trHeight w:val="216"/>
        </w:trPr>
        <w:tc>
          <w:tcPr>
            <w:tcW w:w="720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164,926</w:t>
            </w:r>
          </w:p>
        </w:tc>
      </w:tr>
      <w:tr>
        <w:trPr>
          <w:trHeight w:val="216"/>
        </w:trPr>
        <w:tc>
          <w:tcPr>
            <w:tcW w:w="7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Administrative and other</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74,512</w:t>
            </w:r>
          </w:p>
        </w:tc>
      </w:tr>
      <w:tr>
        <w:trPr>
          <w:trHeight w:val="20"/>
        </w:trPr>
        <w:tc>
          <w:tcPr>
            <w:tcW w:w="72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7200" w:type="dxa"/>
            <w:vAlign w:val="bottom"/>
          </w:tcPr>
          <w:p>
            <w:pPr>
              <w:ind w:left="200"/>
              <w:spacing w:after="0"/>
              <w:rPr>
                <w:sz w:val="20"/>
                <w:szCs w:val="20"/>
                <w:color w:val="auto"/>
              </w:rPr>
            </w:pPr>
            <w:r>
              <w:rPr>
                <w:rFonts w:ascii="Arial" w:cs="Arial" w:eastAsia="Arial" w:hAnsi="Arial"/>
                <w:sz w:val="18"/>
                <w:szCs w:val="18"/>
                <w:b w:val="1"/>
                <w:bCs w:val="1"/>
                <w:color w:val="auto"/>
              </w:rPr>
              <w:t>Total expenses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18,857,845</w:t>
            </w:r>
          </w:p>
        </w:tc>
      </w:tr>
      <w:tr>
        <w:trPr>
          <w:trHeight w:val="20"/>
        </w:trPr>
        <w:tc>
          <w:tcPr>
            <w:tcW w:w="7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realized and unrealized losses</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(7,769,927)</w:t>
            </w:r>
          </w:p>
        </w:tc>
      </w:tr>
      <w:tr>
        <w:trPr>
          <w:trHeight w:val="20"/>
        </w:trPr>
        <w:tc>
          <w:tcPr>
            <w:tcW w:w="72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7200" w:type="dxa"/>
            <w:vAlign w:val="bottom"/>
          </w:tcPr>
          <w:p>
            <w:pPr>
              <w:ind w:left="20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 (7,248,242)</w:t>
            </w:r>
          </w:p>
        </w:tc>
      </w:tr>
      <w:tr>
        <w:trPr>
          <w:trHeight w:val="21"/>
        </w:trPr>
        <w:tc>
          <w:tcPr>
            <w:tcW w:w="7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-1303020</wp:posOffset>
            </wp:positionV>
            <wp:extent cx="5213985" cy="1460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-471170</wp:posOffset>
            </wp:positionV>
            <wp:extent cx="5213985"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7" w:name="page178"/>
    <w:bookmarkEnd w:id="177"/>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STATEMENT OF CHANGES IN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7969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Net Assets</w:t>
            </w:r>
          </w:p>
        </w:tc>
      </w:tr>
      <w:tr>
        <w:trPr>
          <w:trHeight w:val="210"/>
        </w:trPr>
        <w:tc>
          <w:tcPr>
            <w:tcW w:w="7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January 1, 2012</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25,247,451</w:t>
            </w:r>
          </w:p>
        </w:tc>
      </w:tr>
      <w:tr>
        <w:trPr>
          <w:trHeight w:val="20"/>
        </w:trPr>
        <w:tc>
          <w:tcPr>
            <w:tcW w:w="72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10"/>
        </w:trPr>
        <w:tc>
          <w:tcPr>
            <w:tcW w:w="7200" w:type="dxa"/>
            <w:vAlign w:val="bottom"/>
          </w:tcPr>
          <w:p>
            <w:pPr>
              <w:ind w:left="20"/>
              <w:spacing w:after="0"/>
              <w:rPr>
                <w:sz w:val="20"/>
                <w:szCs w:val="20"/>
                <w:color w:val="auto"/>
              </w:rPr>
            </w:pPr>
            <w:r>
              <w:rPr>
                <w:rFonts w:ascii="Arial" w:cs="Arial" w:eastAsia="Arial" w:hAnsi="Arial"/>
                <w:sz w:val="18"/>
                <w:szCs w:val="18"/>
                <w:color w:val="auto"/>
              </w:rPr>
              <w:t>Decrease in net assets resulting from operations</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(7,248,242)</w:t>
            </w:r>
          </w:p>
        </w:tc>
      </w:tr>
      <w:tr>
        <w:trPr>
          <w:trHeight w:val="20"/>
        </w:trPr>
        <w:tc>
          <w:tcPr>
            <w:tcW w:w="7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December 31, 2013</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17,999,209</w:t>
            </w:r>
          </w:p>
        </w:tc>
      </w:tr>
      <w:tr>
        <w:trPr>
          <w:trHeight w:val="20"/>
        </w:trPr>
        <w:tc>
          <w:tcPr>
            <w:tcW w:w="72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-299720</wp:posOffset>
            </wp:positionV>
            <wp:extent cx="5213985" cy="154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ind w:right="3399"/>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8" w:name="page179"/>
    <w:bookmarkEnd w:id="178"/>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7969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6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4"/>
                <w:szCs w:val="14"/>
                <w:color w:val="auto"/>
              </w:rPr>
            </w:pPr>
          </w:p>
        </w:tc>
      </w:tr>
      <w:tr>
        <w:trPr>
          <w:trHeight w:val="210"/>
        </w:trPr>
        <w:tc>
          <w:tcPr>
            <w:tcW w:w="6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Decrease in net assets resulting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(7,248,242)</w:t>
            </w:r>
          </w:p>
        </w:tc>
      </w:tr>
      <w:tr>
        <w:trPr>
          <w:trHeight w:val="216"/>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w w:val="96"/>
              </w:rPr>
              <w:t>Adjustments to reconcile net income to net cash provided by operating activities:</w:t>
            </w: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Net change in realized and unrealized loss on investments</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834,721</w:t>
            </w:r>
          </w:p>
        </w:tc>
      </w:tr>
      <w:tr>
        <w:trPr>
          <w:trHeight w:val="216"/>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Change in unrealized loss on debt</w:t>
            </w: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6,935,207</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b w:val="1"/>
                <w:bCs w:val="1"/>
                <w:color w:val="auto"/>
              </w:rPr>
              <w:t>Changes in operating assets and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Decrease in accrued interest receivable</w:t>
            </w: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211,704</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Increase in accounts payable and accrued expenses</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109,555</w:t>
            </w:r>
          </w:p>
        </w:tc>
      </w:tr>
      <w:tr>
        <w:trPr>
          <w:trHeight w:val="216"/>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Decrease in receivable for open trades</w:t>
            </w: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942,875</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Decrease in payable for open trades</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(12,790,245)</w:t>
            </w:r>
          </w:p>
        </w:tc>
      </w:tr>
      <w:tr>
        <w:trPr>
          <w:trHeight w:val="216"/>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Decrease in accrued interest payable</w:t>
            </w: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(579,274)</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(99,242,299)</w:t>
            </w:r>
          </w:p>
        </w:tc>
      </w:tr>
      <w:tr>
        <w:trPr>
          <w:trHeight w:val="216"/>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Sale of investments</w:t>
            </w: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1,848,904</w:t>
            </w:r>
          </w:p>
        </w:tc>
      </w:tr>
      <w:tr>
        <w:trPr>
          <w:trHeight w:val="216"/>
        </w:trPr>
        <w:tc>
          <w:tcPr>
            <w:tcW w:w="6980" w:type="dxa"/>
            <w:vAlign w:val="bottom"/>
          </w:tcPr>
          <w:p>
            <w:pPr>
              <w:ind w:left="200"/>
              <w:spacing w:after="0"/>
              <w:rPr>
                <w:sz w:val="20"/>
                <w:szCs w:val="20"/>
                <w:color w:val="auto"/>
              </w:rPr>
            </w:pPr>
            <w:r>
              <w:rPr>
                <w:rFonts w:ascii="Arial" w:cs="Arial" w:eastAsia="Arial" w:hAnsi="Arial"/>
                <w:sz w:val="18"/>
                <w:szCs w:val="18"/>
                <w:color w:val="auto"/>
              </w:rPr>
              <w:t>Proceeds from sale and redemption of investments</w:t>
            </w: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162,109,010</w:t>
            </w:r>
          </w:p>
        </w:tc>
      </w:tr>
      <w:tr>
        <w:trPr>
          <w:trHeight w:val="20"/>
        </w:trPr>
        <w:tc>
          <w:tcPr>
            <w:tcW w:w="6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53,131,916</w:t>
            </w:r>
          </w:p>
        </w:tc>
      </w:tr>
      <w:tr>
        <w:trPr>
          <w:trHeight w:val="210"/>
        </w:trPr>
        <w:tc>
          <w:tcPr>
            <w:tcW w:w="6980" w:type="dxa"/>
            <w:vAlign w:val="bottom"/>
            <w:tcBorders>
              <w:top w:val="single" w:sz="8" w:color="CCFFCC"/>
            </w:tcBorders>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r>
      <w:tr>
        <w:trPr>
          <w:trHeight w:val="216"/>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(53,195,649)</w:t>
            </w:r>
          </w:p>
        </w:tc>
      </w:tr>
      <w:tr>
        <w:trPr>
          <w:trHeight w:val="20"/>
        </w:trPr>
        <w:tc>
          <w:tcPr>
            <w:tcW w:w="69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CHANGE IN CASH</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(63,733)</w:t>
            </w:r>
          </w:p>
        </w:tc>
      </w:tr>
      <w:tr>
        <w:trPr>
          <w:trHeight w:val="216"/>
        </w:trPr>
        <w:tc>
          <w:tcPr>
            <w:tcW w:w="6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BEGINNING OF YEAR</w:t>
            </w:r>
          </w:p>
        </w:tc>
        <w:tc>
          <w:tcPr>
            <w:tcW w:w="1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26,114,301</w:t>
            </w:r>
          </w:p>
        </w:tc>
      </w:tr>
      <w:tr>
        <w:trPr>
          <w:trHeight w:val="20"/>
        </w:trPr>
        <w:tc>
          <w:tcPr>
            <w:tcW w:w="69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10"/>
        </w:trPr>
        <w:tc>
          <w:tcPr>
            <w:tcW w:w="6980" w:type="dxa"/>
            <w:vAlign w:val="bottom"/>
          </w:tcPr>
          <w:p>
            <w:pPr>
              <w:ind w:left="20"/>
              <w:spacing w:after="0"/>
              <w:rPr>
                <w:sz w:val="20"/>
                <w:szCs w:val="20"/>
                <w:color w:val="auto"/>
              </w:rPr>
            </w:pPr>
            <w:r>
              <w:rPr>
                <w:rFonts w:ascii="Arial" w:cs="Arial" w:eastAsia="Arial" w:hAnsi="Arial"/>
                <w:sz w:val="18"/>
                <w:szCs w:val="18"/>
                <w:color w:val="auto"/>
              </w:rPr>
              <w:t>CASH, END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26,050,568</w:t>
            </w:r>
          </w:p>
        </w:tc>
      </w:tr>
      <w:tr>
        <w:trPr>
          <w:trHeight w:val="21"/>
        </w:trPr>
        <w:tc>
          <w:tcPr>
            <w:tcW w:w="6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9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Supplemental Information:</w:t>
            </w:r>
          </w:p>
        </w:tc>
        <w:tc>
          <w:tcPr>
            <w:tcW w:w="1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r>
      <w:tr>
        <w:trPr>
          <w:trHeight w:val="230"/>
        </w:trPr>
        <w:tc>
          <w:tcPr>
            <w:tcW w:w="698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15,467,205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-1028700</wp:posOffset>
            </wp:positionV>
            <wp:extent cx="5213985" cy="1460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-746125</wp:posOffset>
            </wp:positionV>
            <wp:extent cx="5213985" cy="1460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-462915</wp:posOffset>
            </wp:positionV>
            <wp:extent cx="5213985" cy="1803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9" w:name="page180"/>
    <w:bookmarkEnd w:id="179"/>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of December 31, 2013</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Fair Value</w:t>
            </w:r>
          </w:p>
        </w:tc>
      </w:tr>
      <w:tr>
        <w:trPr>
          <w:trHeight w:val="21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Acosta,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(2013)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$ 1,952,139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$ 1,952,139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1,968,245</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AdvancePierre Foods,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491,250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490,050</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Advantage Sales &amp; Marketing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Term Loan (First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970,202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974,538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976,023</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Grocery</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Lien)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AES Corporation,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2013 Other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2,281,596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2,281,596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2,299,667</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Affinia Group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992,500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1,000,572</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Alaska Communications Systems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3,881,158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3,850,807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3,879,994</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color w:val="auto"/>
              </w:rPr>
              <w:t>Holdings,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w w:val="99"/>
              </w:rPr>
              <w:t>Alere Inc. (fka IM US Holdings,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977,500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972,513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985,955</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Allison Transmission,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408,912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407,020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411,341</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Allison Transmission,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B-3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2,706,263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2,630,403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2,722,338</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Alpha Topco Limited</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Facility B (USD)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3,439,099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3,420,343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3,480,179</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w w:val="99"/>
              </w:rPr>
              <w:t>Altegrity, Inc (f/k/a US Investigations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1,194,224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1,149,901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1,170,339</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Services,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2/15</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w w:val="99"/>
              </w:rPr>
              <w:t>Aptalis Pharma Inc. (Aptalis Pharma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Retired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1,461,338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1,446,388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1,489,958</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color w:val="auto"/>
              </w:rPr>
              <w:t>Canada Inc.)</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01/31/2014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LC-2 Facility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178,433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179,046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179,124</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1.8%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LC-3 Facility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99,056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98,174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99,305</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1.8%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 B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1,844,832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1,858,236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1,851,981</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(Extending)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Aramark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U.S. Term C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2,229,627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2,216,177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2,235,201</w:t>
            </w: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Armored AutoGroup Inc. (fka Viking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New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1,455,000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1,455,000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1,462,282</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color w:val="auto"/>
              </w:rPr>
              <w:t>Acquisition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Personal and Non Durable</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232"/>
        </w:trPr>
        <w:tc>
          <w:tcPr>
            <w:tcW w:w="2600" w:type="dxa"/>
            <w:vAlign w:val="bottom"/>
          </w:tcPr>
          <w:p>
            <w:pPr>
              <w:ind w:left="20"/>
              <w:spacing w:after="0" w:line="232" w:lineRule="exact"/>
              <w:rPr>
                <w:sz w:val="20"/>
                <w:szCs w:val="20"/>
                <w:color w:val="auto"/>
              </w:rPr>
            </w:pPr>
            <w:r>
              <w:rPr>
                <w:rFonts w:ascii="Arial" w:cs="Arial" w:eastAsia="Arial" w:hAnsi="Arial"/>
                <w:sz w:val="16"/>
                <w:szCs w:val="16"/>
                <w:color w:val="auto"/>
              </w:rPr>
              <w:t>Armstrong World Industries, Inc.</w:t>
            </w:r>
            <w:r>
              <w:rPr>
                <w:rFonts w:ascii="Arial" w:cs="Arial" w:eastAsia="Arial" w:hAnsi="Arial"/>
                <w:sz w:val="26"/>
                <w:szCs w:val="26"/>
                <w:color w:val="auto"/>
                <w:vertAlign w:val="superscript"/>
              </w:rPr>
              <w:t>(4)</w:t>
            </w:r>
          </w:p>
        </w:tc>
        <w:tc>
          <w:tcPr>
            <w:tcW w:w="16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A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5,025,000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5,003,125</w:t>
            </w:r>
          </w:p>
        </w:tc>
      </w:tr>
      <w:tr>
        <w:trPr>
          <w:trHeight w:val="254"/>
        </w:trPr>
        <w:tc>
          <w:tcPr>
            <w:tcW w:w="2600" w:type="dxa"/>
            <w:vAlign w:val="bottom"/>
          </w:tcPr>
          <w:p>
            <w:pPr>
              <w:ind w:left="200"/>
              <w:spacing w:after="0" w:line="254" w:lineRule="exact"/>
              <w:rPr>
                <w:sz w:val="20"/>
                <w:szCs w:val="20"/>
                <w:color w:val="auto"/>
              </w:rPr>
            </w:pPr>
            <w:r>
              <w:rPr>
                <w:rFonts w:ascii="Arial" w:cs="Arial" w:eastAsia="Arial" w:hAnsi="Arial"/>
                <w:sz w:val="16"/>
                <w:szCs w:val="16"/>
                <w:i w:val="1"/>
                <w:iCs w:val="1"/>
                <w:color w:val="auto"/>
              </w:rPr>
              <w:t>Buildings and Real Estate</w:t>
            </w:r>
            <w:r>
              <w:rPr>
                <w:rFonts w:ascii="Arial" w:cs="Arial" w:eastAsia="Arial" w:hAnsi="Arial"/>
                <w:sz w:val="27"/>
                <w:szCs w:val="27"/>
                <w:color w:val="auto"/>
                <w:vertAlign w:val="superscript"/>
              </w:rPr>
              <w:t>(4)</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93"/>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Aspect Software,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475,696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480,071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478,224</w:t>
            </w: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7.0%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Asurion, LLC (fka Asurion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w w:val="99"/>
              </w:rPr>
              <w:t>Incremental Tranche B-1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991,584</w:t>
            </w: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color w:val="auto"/>
              </w:rPr>
              <w:t>Corporation)</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4.5% Cash, Due 5/19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Insurance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600" w:type="dxa"/>
            <w:vAlign w:val="bottom"/>
            <w:shd w:val="clear" w:color="auto" w:fill="CCFFCC"/>
          </w:tcPr>
          <w:p>
            <w:pPr>
              <w:ind w:left="20"/>
              <w:spacing w:after="0"/>
              <w:rPr>
                <w:sz w:val="20"/>
                <w:szCs w:val="20"/>
                <w:color w:val="auto"/>
              </w:rPr>
            </w:pPr>
            <w:r>
              <w:rPr>
                <w:rFonts w:ascii="Arial" w:cs="Arial" w:eastAsia="Arial" w:hAnsi="Arial"/>
                <w:sz w:val="16"/>
                <w:szCs w:val="16"/>
                <w:color w:val="auto"/>
              </w:rPr>
              <w:t>Aurora Diagnostics,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911,111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911,538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851,037</w:t>
            </w:r>
          </w:p>
        </w:tc>
      </w:tr>
      <w:tr>
        <w:trPr>
          <w:trHeight w:val="203"/>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r>
      <w:tr>
        <w:trPr>
          <w:trHeight w:val="212"/>
        </w:trPr>
        <w:tc>
          <w:tcPr>
            <w:tcW w:w="2600" w:type="dxa"/>
            <w:vAlign w:val="bottom"/>
            <w:shd w:val="clear" w:color="auto" w:fill="CCFFCC"/>
          </w:tcPr>
          <w:p>
            <w:pPr>
              <w:ind w:left="20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r>
      <w:tr>
        <w:trPr>
          <w:trHeight w:val="193"/>
        </w:trPr>
        <w:tc>
          <w:tcPr>
            <w:tcW w:w="2600" w:type="dxa"/>
            <w:vAlign w:val="bottom"/>
          </w:tcPr>
          <w:p>
            <w:pPr>
              <w:ind w:left="20"/>
              <w:spacing w:after="0"/>
              <w:rPr>
                <w:sz w:val="20"/>
                <w:szCs w:val="20"/>
                <w:color w:val="auto"/>
              </w:rPr>
            </w:pPr>
            <w:r>
              <w:rPr>
                <w:rFonts w:ascii="Arial" w:cs="Arial" w:eastAsia="Arial" w:hAnsi="Arial"/>
                <w:sz w:val="16"/>
                <w:szCs w:val="16"/>
                <w:color w:val="auto"/>
              </w:rPr>
              <w:t>Avis Budget Car Rental,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3,387,243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3,337,243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3,388,513</w:t>
            </w:r>
          </w:p>
        </w:tc>
      </w:tr>
      <w:tr>
        <w:trPr>
          <w:trHeight w:val="206"/>
        </w:trPr>
        <w:tc>
          <w:tcPr>
            <w:tcW w:w="2600" w:type="dxa"/>
            <w:vAlign w:val="bottom"/>
          </w:tcPr>
          <w:p>
            <w:pPr>
              <w:ind w:left="200"/>
              <w:spacing w:after="0"/>
              <w:rPr>
                <w:sz w:val="20"/>
                <w:szCs w:val="20"/>
                <w:color w:val="auto"/>
              </w:rPr>
            </w:pPr>
            <w:r>
              <w:rPr>
                <w:rFonts w:ascii="Arial" w:cs="Arial" w:eastAsia="Arial" w:hAnsi="Arial"/>
                <w:sz w:val="16"/>
                <w:szCs w:val="16"/>
                <w:i w:val="1"/>
                <w:iCs w:val="1"/>
                <w:color w:val="auto"/>
              </w:rPr>
              <w:t>Personal Transportation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0"/>
          <w:szCs w:val="20"/>
          <w:color w:val="auto"/>
        </w:rPr>
      </w:pPr>
    </w:p>
    <w:p>
      <w:pPr>
        <w:spacing w:after="0" w:line="3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478"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3"/>
              </w:rPr>
              <w:t>Axalta Coating Systems Dutch Holding</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B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$ 1,985,000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$ 2,015,000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2,002,270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B B.V. (Axalta Coating Systems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Retired 02/03/2014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U.S. Holdings,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Berry Plastics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C Loan Retired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2,845,333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2,690,439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2,846,912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Containers, Packaging and Glass</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01/06/2014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Biomet,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Dollar Term B-2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3,835,013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3,830,140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3,864,178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Burger King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w w:val="95"/>
              </w:rPr>
              <w:t>Tranche B Term Loan (2012)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4,888,125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4,875,750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4,917,307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9/19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Burlington Coat Factory Warehouse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2,592,000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2,562,375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2,619,540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Corporation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BWay Holding Company</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1,970,000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1,994,543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Containers, Packaging and Glass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Calpine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(3/11)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2,917,500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2,917,500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2,942,751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Calpine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(6/11)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2,925,000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2,902,613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2,950,316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Capital Automotive L.P.</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B-1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2,640,878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2,603,028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2,660,685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Facility — 4.0% Cash, Due</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4/19</w:t>
            </w: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Capsugel Holdings US,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1,592,058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1,582,083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1,595,051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Catalina Marketing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3,396,687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3,294,490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3,448,708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7"/>
              </w:rPr>
              <w:t>CBRE Services, Inc. (fka CB Richard</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2,382,000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2,352,150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2,395,399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80" w:type="dxa"/>
            <w:vAlign w:val="bottom"/>
            <w:gridSpan w:val="2"/>
          </w:tcPr>
          <w:p>
            <w:pPr>
              <w:ind w:left="180"/>
              <w:spacing w:after="0" w:line="242" w:lineRule="exact"/>
              <w:rPr>
                <w:sz w:val="20"/>
                <w:szCs w:val="20"/>
                <w:color w:val="auto"/>
              </w:rPr>
            </w:pPr>
            <w:r>
              <w:rPr>
                <w:rFonts w:ascii="Arial" w:cs="Arial" w:eastAsia="Arial" w:hAnsi="Arial"/>
                <w:sz w:val="16"/>
                <w:szCs w:val="16"/>
                <w:color w:val="auto"/>
              </w:rPr>
              <w:t>Ellis Services, Inc.).</w:t>
            </w:r>
            <w:r>
              <w:rPr>
                <w:rFonts w:ascii="Arial" w:cs="Arial" w:eastAsia="Arial" w:hAnsi="Arial"/>
                <w:sz w:val="27"/>
                <w:szCs w:val="27"/>
                <w:color w:val="auto"/>
                <w:vertAlign w:val="superscript"/>
              </w:rPr>
              <w:t>(4)</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2.9%</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3/21</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80" w:type="dxa"/>
            <w:vAlign w:val="bottom"/>
            <w:gridSpan w:val="2"/>
          </w:tcPr>
          <w:p>
            <w:pPr>
              <w:ind w:left="180"/>
              <w:spacing w:after="0" w:line="254" w:lineRule="exact"/>
              <w:rPr>
                <w:sz w:val="20"/>
                <w:szCs w:val="20"/>
                <w:color w:val="auto"/>
              </w:rPr>
            </w:pPr>
            <w:r>
              <w:rPr>
                <w:rFonts w:ascii="Arial" w:cs="Arial" w:eastAsia="Arial" w:hAnsi="Arial"/>
                <w:sz w:val="16"/>
                <w:szCs w:val="16"/>
                <w:i w:val="1"/>
                <w:iCs w:val="1"/>
                <w:color w:val="auto"/>
              </w:rPr>
              <w:t>Buildings and Real Estate</w:t>
            </w:r>
            <w:r>
              <w:rPr>
                <w:rFonts w:ascii="Arial" w:cs="Arial" w:eastAsia="Arial" w:hAnsi="Arial"/>
                <w:sz w:val="27"/>
                <w:szCs w:val="27"/>
                <w:color w:val="auto"/>
                <w:vertAlign w:val="superscript"/>
              </w:rPr>
              <w:t>(4)</w:t>
            </w: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Celanese US Holdings LLC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Dollar Term C-2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1,717,927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1,736,157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1,740,363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Commitment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Cequel Communications,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2,947,500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2,917,500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2,957,020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9"/>
              </w:rPr>
              <w:t>Charter Communications Operating,</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F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2,502,756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2,515,066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2,488,290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3.0% Cash, Due 12/20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Chrysler Group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B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3,414,944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3,170,994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3,444,107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4"/>
              </w:rPr>
              <w:t>CHS/Community Health Systems,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2017 Term E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3,028,681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2,988,440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3,056,832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CoActive Technologies LLC (fka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1,922,375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1,635,604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1,797,420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CoActive Technologies,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tcPr>
          <w:p>
            <w:pPr>
              <w:ind w:left="20"/>
              <w:spacing w:after="0"/>
              <w:rPr>
                <w:sz w:val="20"/>
                <w:szCs w:val="20"/>
                <w:color w:val="auto"/>
              </w:rPr>
            </w:pPr>
            <w:r>
              <w:rPr>
                <w:rFonts w:ascii="Arial" w:cs="Arial" w:eastAsia="Arial" w:hAnsi="Arial"/>
                <w:sz w:val="16"/>
                <w:szCs w:val="16"/>
                <w:color w:val="auto"/>
                <w:w w:val="96"/>
              </w:rPr>
              <w:t>Cash, 2.8% PIK, Due 7/14</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Machinery (Non-Agriculture,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7"/>
              </w:rPr>
              <w:t>Non-Construction, Non-Electronic)</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Colfax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Replacement Term A-1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3,007,500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3,005,625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7"/>
              </w:rPr>
              <w:t>Loan — 1.9% Cash, Due 11/18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Manufacturing</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Commscope,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3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349,125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347,140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350,724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Commscope,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4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523,688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520,710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526,468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Covanta Energy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1,984,650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Ecological</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-7945120</wp:posOffset>
            </wp:positionV>
            <wp:extent cx="521398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200" w:type="dxa"/>
            <w:vAlign w:val="bottom"/>
            <w:gridSpan w:val="2"/>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CPI International Acquisition, Inc.</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924,500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933,163</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931,434</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color w:val="auto"/>
              </w:rPr>
              <w:t>(f/k/a Catalyst Holdings, Inc.)</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Cricket Communications, Inc.</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1,980,625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1,989,900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FFCC"/>
          </w:tcPr>
          <w:p>
            <w:pPr>
              <w:spacing w:after="0"/>
              <w:rPr>
                <w:sz w:val="20"/>
                <w:szCs w:val="20"/>
                <w:color w:val="auto"/>
              </w:rPr>
            </w:pPr>
          </w:p>
        </w:tc>
        <w:tc>
          <w:tcPr>
            <w:tcW w:w="2740" w:type="dxa"/>
            <w:vAlign w:val="bottom"/>
            <w:gridSpan w:val="3"/>
            <w:shd w:val="clear" w:color="auto" w:fill="CCFFCC"/>
          </w:tcPr>
          <w:p>
            <w:pPr>
              <w:spacing w:after="0" w:line="235" w:lineRule="exact"/>
              <w:rPr>
                <w:sz w:val="20"/>
                <w:szCs w:val="20"/>
                <w:color w:val="auto"/>
              </w:rPr>
            </w:pPr>
            <w:r>
              <w:rPr>
                <w:rFonts w:ascii="Arial" w:cs="Arial" w:eastAsia="Arial" w:hAnsi="Arial"/>
                <w:sz w:val="16"/>
                <w:szCs w:val="16"/>
                <w:color w:val="auto"/>
              </w:rPr>
              <w:t>Crown Castle Operating Company</w:t>
            </w:r>
            <w:r>
              <w:rPr>
                <w:rFonts w:ascii="Arial" w:cs="Arial" w:eastAsia="Arial" w:hAnsi="Arial"/>
                <w:sz w:val="27"/>
                <w:szCs w:val="27"/>
                <w:color w:val="auto"/>
                <w:vertAlign w:val="superscript"/>
              </w:rPr>
              <w:t>(4)</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Non-Extended Incremental</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2,940,294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2,910,294</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2,950,555</w:t>
            </w:r>
          </w:p>
        </w:tc>
        <w:tc>
          <w:tcPr>
            <w:tcW w:w="0" w:type="dxa"/>
            <w:vAlign w:val="bottom"/>
          </w:tcPr>
          <w:p>
            <w:pPr>
              <w:spacing w:after="0"/>
              <w:rPr>
                <w:sz w:val="1"/>
                <w:szCs w:val="1"/>
                <w:color w:val="auto"/>
              </w:rPr>
            </w:pPr>
          </w:p>
        </w:tc>
      </w:tr>
      <w:tr>
        <w:trPr>
          <w:trHeight w:val="204"/>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line="203"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3.3%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David's Bridal, Inc.</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490,000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497,787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Retail Stores</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5.0%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DaVita HealthCare Partners Inc. (fka</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A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2,415,134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2,409,756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color w:val="auto"/>
              </w:rPr>
              <w:t>DaVita Inc.)</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2.9%</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10/15</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DaVita HealthCare Partners Inc. (fka</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1,940,000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1,961,196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1,956,248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color w:val="auto"/>
              </w:rPr>
              <w:t>DaVita Inc.)</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Childcare</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Dealer Computer Services, Inc.</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461,419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456,587</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463,288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color w:val="auto"/>
              </w:rPr>
              <w:t>(Reynolds &amp; Reynolds)</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2.2%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Del Monte Foods Company</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5,578,776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5,563,851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5,606,642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Delphi Corporation</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Trache A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4,906,250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4,931,250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4,904,410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1.4%</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DineEquity, Inc.</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291,528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291,528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293,093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Personal, Food and Miscellaneous</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Services</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Drumm Investors LLC (aka Golden</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5,281,013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5,226,294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5,193,876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color w:val="auto"/>
              </w:rPr>
              <w:t>Living)</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Ducommun Incorporated</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698,026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688,076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703,262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Dunkin' Brands, Inc.</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B-3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3,796,679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3,659,001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3,814,467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Personal, Food and Miscellaneous</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Services</w:t>
            </w: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Education Management LLC</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C-2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3,646,433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3,576,553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3,510,074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Childcare</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Emdeon Inc.</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1,472,634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1,457,634</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1,477,700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Endo Health Solutions Inc.</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2018 Term A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3,850,000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3,855,000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3,847,113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color w:val="auto"/>
                <w:w w:val="98"/>
              </w:rPr>
              <w:t>(fka Endo Pharmaceuticals Holdings</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1.9%</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color w:val="auto"/>
              </w:rPr>
              <w:t>Inc.)</w:t>
            </w: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Childcare</w:t>
            </w: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Endo Health Solutions Inc. (fka Endo</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B 2011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86,500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86,500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86,778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color w:val="auto"/>
              </w:rPr>
              <w:t>Pharmaceuticals Holdings Inc.)</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w w:val="98"/>
              </w:rPr>
              <w:t>Epicor Software Corporation (fka Eagle</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B-1 Loan Retired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4,815,586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4,763,318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4,846,286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color w:val="auto"/>
              </w:rPr>
              <w:t>Parent Inc.)</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01/17/2014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Electronics</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EquiPower Resources Holdings, LLC</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7"/>
              </w:rPr>
              <w:t>Term B Advance (First Lien)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1,463,010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1,440,510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1,471,240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4.3%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40" w:type="dxa"/>
            <w:vAlign w:val="bottom"/>
            <w:gridSpan w:val="3"/>
          </w:tcPr>
          <w:p>
            <w:pPr>
              <w:spacing w:after="0"/>
              <w:rPr>
                <w:sz w:val="20"/>
                <w:szCs w:val="20"/>
                <w:color w:val="auto"/>
              </w:rPr>
            </w:pPr>
            <w:r>
              <w:rPr>
                <w:rFonts w:ascii="Arial" w:cs="Arial" w:eastAsia="Arial" w:hAnsi="Arial"/>
                <w:sz w:val="16"/>
                <w:szCs w:val="16"/>
                <w:color w:val="auto"/>
              </w:rPr>
              <w:t>Essential Power, LLC</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952,196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937,196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923,630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gridSpan w:val="3"/>
          </w:tcPr>
          <w:p>
            <w:pPr>
              <w:ind w:left="180"/>
              <w:spacing w:after="0"/>
              <w:rPr>
                <w:sz w:val="20"/>
                <w:szCs w:val="20"/>
                <w:color w:val="auto"/>
              </w:rPr>
            </w:pPr>
            <w:r>
              <w:rPr>
                <w:rFonts w:ascii="Arial" w:cs="Arial" w:eastAsia="Arial" w:hAnsi="Arial"/>
                <w:sz w:val="16"/>
                <w:szCs w:val="16"/>
                <w:i w:val="1"/>
                <w:iCs w:val="1"/>
                <w:color w:val="auto"/>
              </w:rPr>
              <w:t>Utilities</w:t>
            </w:r>
          </w:p>
        </w:tc>
        <w:tc>
          <w:tcPr>
            <w:tcW w:w="440" w:type="dxa"/>
            <w:vAlign w:val="bottom"/>
          </w:tcPr>
          <w:p>
            <w:pPr>
              <w:ind w:left="10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8/19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74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Federal-Mogul Corporation</w:t>
            </w: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1,867,469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1,804,472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1,848,505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740" w:type="dxa"/>
            <w:vAlign w:val="bottom"/>
            <w:gridSpan w:val="3"/>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440" w:type="dxa"/>
            <w:vAlign w:val="bottom"/>
            <w:shd w:val="clear" w:color="auto" w:fill="CCFFCC"/>
          </w:tcPr>
          <w:p>
            <w:pPr>
              <w:ind w:left="100"/>
              <w:spacing w:after="0"/>
              <w:rPr>
                <w:sz w:val="20"/>
                <w:szCs w:val="20"/>
                <w:color w:val="auto"/>
              </w:rPr>
            </w:pPr>
            <w:r>
              <w:rPr>
                <w:rFonts w:ascii="Arial" w:cs="Arial" w:eastAsia="Arial" w:hAnsi="Arial"/>
                <w:sz w:val="16"/>
                <w:szCs w:val="16"/>
                <w:color w:val="auto"/>
                <w:w w:val="87"/>
              </w:rPr>
              <w:t>2.1%</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-8051800</wp:posOffset>
            </wp:positionV>
            <wp:extent cx="521398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Federal-Mogul Corporation</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327,819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320,705</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324,490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2.1%</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12/15</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5"/>
              </w:rPr>
              <w:t>Fidelity National Information Services,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A-4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8,981,052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8,971,899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9,003,504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1.7%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Generac Power Systems,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B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1,741,192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1,723,692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1,746,633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Machinery (Non-Agriculture,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7"/>
              </w:rPr>
              <w:t>Non-Construction, Non-Electronic)</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General Nutrition Centers,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Amended Tranche B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748,295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746,420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746,735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Retail Stores</w:t>
            </w: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3.3% Cash, Due 3/19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Gentiva Health Services,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1,696,118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1,696,118</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1,681,286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Getty Images,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2,970,000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2,940,000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2,778,287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FFCC"/>
          </w:tcPr>
          <w:p>
            <w:pPr>
              <w:spacing w:after="0"/>
              <w:rPr>
                <w:sz w:val="20"/>
                <w:szCs w:val="20"/>
                <w:color w:val="auto"/>
              </w:rPr>
            </w:pPr>
          </w:p>
        </w:tc>
        <w:tc>
          <w:tcPr>
            <w:tcW w:w="2580" w:type="dxa"/>
            <w:vAlign w:val="bottom"/>
            <w:gridSpan w:val="2"/>
            <w:shd w:val="clear" w:color="auto" w:fill="CCFFCC"/>
          </w:tcPr>
          <w:p>
            <w:pPr>
              <w:spacing w:after="0" w:line="236" w:lineRule="exact"/>
              <w:rPr>
                <w:sz w:val="20"/>
                <w:szCs w:val="20"/>
                <w:color w:val="auto"/>
              </w:rPr>
            </w:pPr>
            <w:r>
              <w:rPr>
                <w:rFonts w:ascii="Arial" w:cs="Arial" w:eastAsia="Arial" w:hAnsi="Arial"/>
                <w:sz w:val="16"/>
                <w:szCs w:val="16"/>
                <w:color w:val="auto"/>
              </w:rPr>
              <w:t>Graceway Pharmaceuticals, LLC</w:t>
            </w:r>
            <w:r>
              <w:rPr>
                <w:rFonts w:ascii="Arial" w:cs="Arial" w:eastAsia="Arial" w:hAnsi="Arial"/>
                <w:sz w:val="27"/>
                <w:szCs w:val="27"/>
                <w:color w:val="auto"/>
                <w:vertAlign w:val="superscript"/>
              </w:rPr>
              <w:t>(3)</w:t>
            </w:r>
          </w:p>
        </w:tc>
        <w:tc>
          <w:tcPr>
            <w:tcW w:w="160" w:type="dxa"/>
            <w:vAlign w:val="bottom"/>
            <w:shd w:val="clear" w:color="auto" w:fill="CCFFCC"/>
          </w:tcPr>
          <w:p>
            <w:pPr>
              <w:spacing w:after="0"/>
              <w:rPr>
                <w:sz w:val="20"/>
                <w:szCs w:val="20"/>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(First Lien)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19,554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20,500</w:t>
            </w:r>
          </w:p>
        </w:tc>
        <w:tc>
          <w:tcPr>
            <w:tcW w:w="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21,608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Sold Out 09/28/2012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600" w:type="dxa"/>
            <w:vAlign w:val="bottom"/>
            <w:gridSpan w:val="2"/>
            <w:vMerge w:val="restart"/>
            <w:shd w:val="clear" w:color="auto" w:fill="CCFFCC"/>
          </w:tcPr>
          <w:p>
            <w:pPr>
              <w:ind w:left="260"/>
              <w:spacing w:after="0"/>
              <w:rPr>
                <w:sz w:val="20"/>
                <w:szCs w:val="20"/>
                <w:color w:val="auto"/>
              </w:rPr>
            </w:pPr>
            <w:r>
              <w:rPr>
                <w:rFonts w:ascii="Arial" w:cs="Arial" w:eastAsia="Arial" w:hAnsi="Arial"/>
                <w:sz w:val="16"/>
                <w:szCs w:val="16"/>
                <w:color w:val="auto"/>
                <w:w w:val="87"/>
              </w:rPr>
              <w:t>7.0%</w:t>
            </w:r>
          </w:p>
        </w:tc>
        <w:tc>
          <w:tcPr>
            <w:tcW w:w="1840" w:type="dxa"/>
            <w:vAlign w:val="bottom"/>
            <w:vMerge w:val="restart"/>
            <w:shd w:val="clear" w:color="auto" w:fill="CCFFCC"/>
          </w:tcPr>
          <w:p>
            <w:pPr>
              <w:ind w:left="20"/>
              <w:spacing w:after="0"/>
              <w:rPr>
                <w:sz w:val="20"/>
                <w:szCs w:val="20"/>
                <w:color w:val="auto"/>
              </w:rPr>
            </w:pPr>
            <w:r>
              <w:rPr>
                <w:rFonts w:ascii="Arial" w:cs="Arial" w:eastAsia="Arial" w:hAnsi="Arial"/>
                <w:sz w:val="16"/>
                <w:szCs w:val="16"/>
                <w:color w:val="auto"/>
              </w:rPr>
              <w:t>Cash, Due 5/12</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vMerge w:val="continue"/>
            <w:shd w:val="clear" w:color="auto" w:fill="CCFFCC"/>
          </w:tcPr>
          <w:p>
            <w:pPr>
              <w:spacing w:after="0"/>
              <w:rPr>
                <w:sz w:val="18"/>
                <w:szCs w:val="18"/>
                <w:color w:val="auto"/>
              </w:rPr>
            </w:pPr>
          </w:p>
        </w:tc>
        <w:tc>
          <w:tcPr>
            <w:tcW w:w="1840" w:type="dxa"/>
            <w:vAlign w:val="bottom"/>
            <w:vMerge w:val="continue"/>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Grifols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U.S. Tranche B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969,247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959,297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976,865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4.3% Cash, Due 6/17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Gymboree Corporation., The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937,929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937,929</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879,309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Hamilton Lane Advisors,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1,725,814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1,705,814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1,738,757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9"/>
              </w:rPr>
              <w:t>Harlan Laboratories, Inc. (fka Harlan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3,401,830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3,025,671</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3,061,647</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Sprague Dawley,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7/14</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Harland Clarke Holdings Corp. (fka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9.500% – 05/2015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816,000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776,000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820,896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Clarke American Corp.)</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412690AB5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9.5%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Harland Clarke Holdings Corp. (fka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Floating – 05/2015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850,000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1,000,000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Clarke American Corp.)</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412690AA7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5/15</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Harland Clarke Holdings Corp. (fka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1,743,194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1,480,416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1,761,715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Clarke American Corp.)</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HCA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B-4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1,528,943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1,531,020</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1,531,650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HCA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B-5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2,230,173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2,233,202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2,233,886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2.9%</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HCR ManorCare, Inc. (fka HCR</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972,500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962,575</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959,736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Healthcare, LLC)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8"/>
              </w:rPr>
              <w:t>Health Management Associates,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Replacement B Term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1,929,875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1,909,875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1,932,635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Retired 01/27/2014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Hertz Corporation, The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B-2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2,917,950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2,903,063</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2,920,007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Personal Transportation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Hillman Group, Inc.,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965,555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970,327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971,889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Machinery (Non-Agriculture,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7"/>
              </w:rPr>
              <w:t>Non-Construction, Non-Electronic)</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Hubbard Radio,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1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1,708,522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1,726,022</w:t>
            </w:r>
          </w:p>
        </w:tc>
        <w:tc>
          <w:tcPr>
            <w:tcW w:w="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1,720,627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-7923530</wp:posOffset>
            </wp:positionV>
            <wp:extent cx="521398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Huntsman International LLC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Extended 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$ 6,722,670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$ 6,531,685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6,738,099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Huntsman International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Series 2 Extended Term B</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1,008,768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993,993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1,011,083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Dollar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3.2% Cash, Due 4/17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FFCC"/>
          </w:tcPr>
          <w:p>
            <w:pPr>
              <w:spacing w:after="0"/>
              <w:rPr>
                <w:sz w:val="20"/>
                <w:szCs w:val="20"/>
                <w:color w:val="auto"/>
              </w:rPr>
            </w:pPr>
          </w:p>
        </w:tc>
        <w:tc>
          <w:tcPr>
            <w:tcW w:w="2580" w:type="dxa"/>
            <w:vAlign w:val="bottom"/>
            <w:gridSpan w:val="2"/>
            <w:shd w:val="clear" w:color="auto" w:fill="CCFFCC"/>
          </w:tcPr>
          <w:p>
            <w:pPr>
              <w:spacing w:after="0" w:line="236" w:lineRule="exact"/>
              <w:rPr>
                <w:sz w:val="20"/>
                <w:szCs w:val="20"/>
                <w:color w:val="auto"/>
              </w:rPr>
            </w:pPr>
            <w:r>
              <w:rPr>
                <w:rFonts w:ascii="Arial" w:cs="Arial" w:eastAsia="Arial" w:hAnsi="Arial"/>
                <w:sz w:val="16"/>
                <w:szCs w:val="16"/>
                <w:color w:val="auto"/>
              </w:rPr>
              <w:t>IAP Worldwide Services, Inc.</w:t>
            </w:r>
            <w:r>
              <w:rPr>
                <w:rFonts w:ascii="Arial" w:cs="Arial" w:eastAsia="Arial" w:hAnsi="Arial"/>
                <w:sz w:val="27"/>
                <w:szCs w:val="27"/>
                <w:color w:val="auto"/>
                <w:vertAlign w:val="superscript"/>
              </w:rPr>
              <w:t>(3)</w:t>
            </w:r>
          </w:p>
        </w:tc>
        <w:tc>
          <w:tcPr>
            <w:tcW w:w="160" w:type="dxa"/>
            <w:vAlign w:val="bottom"/>
            <w:shd w:val="clear" w:color="auto" w:fill="CCFFCC"/>
          </w:tcPr>
          <w:p>
            <w:pPr>
              <w:spacing w:after="0"/>
              <w:rPr>
                <w:sz w:val="20"/>
                <w:szCs w:val="20"/>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(Second Lien)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1,830,193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1,828,818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54,906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8.3%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w w:val="96"/>
              </w:rPr>
              <w:t>Cash, 8.5% PIK, Due 6/16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Ina Beteiligungsgesellschaft Mit</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Facility C (USD)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5,500,000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5,596,250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5,556,128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Beschrankter Haftung (fka</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Schaeffler AG)</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Automobile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Ineos US Finance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Cash Dollar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2,951,341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2,906,341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2,966,717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Ineos US Finance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w w:val="99"/>
              </w:rPr>
              <w:t>Short-Dated Cash Dollar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1,988,945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2,013,945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2,000,541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2.2% Cash, Due 5/15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7"/>
              </w:rPr>
              <w:t>Infor (US), Inc. (fka Lawson Software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B-2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2,447,816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2,467,194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2,459,798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Retired 01/02/2014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Information Resources, Inc. (fka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977,555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972,580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984,481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Symphonyiri Group,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9/20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J. Crew Group,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4,875,000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4,875,000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4,911,538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Jarden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3,021,204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3,035,350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3,025,222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JBS USA,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1,950,300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1,940,350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1,951,470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JMC Steel Group,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1,945,060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1,935,135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1,954,367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KAR Auction Services,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4,717,489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4,760,787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4,747,704</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Key Safety Systems,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1,384,813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1,344,819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1,387,028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Kronos Incorporated</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Incremental Term Loan (First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2,969,029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2,972,779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3,000,589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7"/>
              </w:rPr>
              <w:t>Lien) — 4.5% Cash, Due 10/19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Lamar Media Corp.</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38,446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43,630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Retired 01/10/2014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Live Nation Entertainment,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965,107</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966,738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970,338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8/20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80" w:type="dxa"/>
            <w:vAlign w:val="bottom"/>
            <w:gridSpan w:val="2"/>
          </w:tcPr>
          <w:p>
            <w:pPr>
              <w:spacing w:after="0" w:line="233" w:lineRule="exact"/>
              <w:rPr>
                <w:sz w:val="20"/>
                <w:szCs w:val="20"/>
                <w:color w:val="auto"/>
              </w:rPr>
            </w:pPr>
            <w:r>
              <w:rPr>
                <w:rFonts w:ascii="Arial" w:cs="Arial" w:eastAsia="Arial" w:hAnsi="Arial"/>
                <w:sz w:val="16"/>
                <w:szCs w:val="16"/>
                <w:color w:val="auto"/>
              </w:rPr>
              <w:t>Longview Power, LLC</w:t>
            </w:r>
            <w:r>
              <w:rPr>
                <w:rFonts w:ascii="Arial" w:cs="Arial" w:eastAsia="Arial" w:hAnsi="Arial"/>
                <w:sz w:val="27"/>
                <w:szCs w:val="27"/>
                <w:color w:val="auto"/>
                <w:vertAlign w:val="superscript"/>
              </w:rPr>
              <w:t>(3)</w:t>
            </w:r>
          </w:p>
        </w:tc>
        <w:tc>
          <w:tcPr>
            <w:tcW w:w="160" w:type="dxa"/>
            <w:vAlign w:val="bottom"/>
          </w:tcPr>
          <w:p>
            <w:pPr>
              <w:spacing w:after="0"/>
              <w:rPr>
                <w:sz w:val="20"/>
                <w:szCs w:val="20"/>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2017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3,266,083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2,866,341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1,673,867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7.2%</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FFCC"/>
          </w:tcPr>
          <w:p>
            <w:pPr>
              <w:spacing w:after="0"/>
              <w:rPr>
                <w:sz w:val="20"/>
                <w:szCs w:val="20"/>
                <w:color w:val="auto"/>
              </w:rPr>
            </w:pPr>
          </w:p>
        </w:tc>
        <w:tc>
          <w:tcPr>
            <w:tcW w:w="2580" w:type="dxa"/>
            <w:vAlign w:val="bottom"/>
            <w:gridSpan w:val="2"/>
            <w:shd w:val="clear" w:color="auto" w:fill="CCFFCC"/>
          </w:tcPr>
          <w:p>
            <w:pPr>
              <w:spacing w:after="0" w:line="236" w:lineRule="exact"/>
              <w:rPr>
                <w:sz w:val="20"/>
                <w:szCs w:val="20"/>
                <w:color w:val="auto"/>
              </w:rPr>
            </w:pPr>
            <w:r>
              <w:rPr>
                <w:rFonts w:ascii="Arial" w:cs="Arial" w:eastAsia="Arial" w:hAnsi="Arial"/>
                <w:sz w:val="16"/>
                <w:szCs w:val="16"/>
                <w:color w:val="auto"/>
              </w:rPr>
              <w:t>Longview Power, LLC</w:t>
            </w:r>
            <w:r>
              <w:rPr>
                <w:rFonts w:ascii="Arial" w:cs="Arial" w:eastAsia="Arial" w:hAnsi="Arial"/>
                <w:sz w:val="27"/>
                <w:szCs w:val="27"/>
                <w:color w:val="auto"/>
                <w:vertAlign w:val="superscript"/>
              </w:rPr>
              <w:t>(3)</w:t>
            </w:r>
          </w:p>
        </w:tc>
        <w:tc>
          <w:tcPr>
            <w:tcW w:w="160" w:type="dxa"/>
            <w:vAlign w:val="bottom"/>
            <w:shd w:val="clear" w:color="auto" w:fill="CCFFCC"/>
          </w:tcPr>
          <w:p>
            <w:pPr>
              <w:spacing w:after="0"/>
              <w:rPr>
                <w:sz w:val="20"/>
                <w:szCs w:val="20"/>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Synthetic L/C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533,273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471,775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309,299</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7.2%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2/14</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LPL Holdings,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2013 Incremental Tranche B</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1,965,150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1,955,150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1,966,791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tcPr>
          <w:p>
            <w:pPr>
              <w:spacing w:after="0"/>
              <w:rPr>
                <w:sz w:val="17"/>
                <w:szCs w:val="17"/>
                <w:color w:val="auto"/>
              </w:rPr>
            </w:pPr>
          </w:p>
        </w:tc>
        <w:tc>
          <w:tcPr>
            <w:tcW w:w="440" w:type="dxa"/>
            <w:vAlign w:val="bottom"/>
          </w:tcPr>
          <w:p>
            <w:pPr>
              <w:ind w:left="100"/>
              <w:spacing w:after="0"/>
              <w:rPr>
                <w:sz w:val="20"/>
                <w:szCs w:val="20"/>
                <w:color w:val="auto"/>
              </w:rPr>
            </w:pPr>
            <w:r>
              <w:rPr>
                <w:rFonts w:ascii="Arial" w:cs="Arial" w:eastAsia="Arial" w:hAnsi="Arial"/>
                <w:sz w:val="16"/>
                <w:szCs w:val="16"/>
                <w:color w:val="auto"/>
                <w:w w:val="85"/>
              </w:rPr>
              <w:t>Term</w:t>
            </w: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3.3% Cash, Due 3/19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Mackinaw Power Holdings,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2,050,733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2,003,197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2,030,226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1.7%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6/15</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MCC Iowa LLC (Mediacom</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D-1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1,822,034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1,787,650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1,815,202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Broadband Group)</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1.9%</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1/15</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MCC Iowa LLC (Mediacom</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D-2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2,419,553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2,428,724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2,410,480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Broadband Group)</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1.9%</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1/15</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Michael Foods Group, Inc. (f/k/a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Facility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337,225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342,942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337,495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M-Foods Holdings,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-8357235</wp:posOffset>
            </wp:positionV>
            <wp:extent cx="521398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775"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MultiPlan, Inc.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$ 2,317,571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$ 2,352,641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2,336,401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4.0%</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8/17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Munder Capital Management</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Incremental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26,425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23,125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26,623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Finance</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6.0%</w:t>
            </w:r>
          </w:p>
        </w:tc>
        <w:tc>
          <w:tcPr>
            <w:tcW w:w="1820" w:type="dxa"/>
            <w:vAlign w:val="bottom"/>
          </w:tcPr>
          <w:p>
            <w:pPr>
              <w:spacing w:after="0"/>
              <w:rPr>
                <w:sz w:val="20"/>
                <w:szCs w:val="20"/>
                <w:color w:val="auto"/>
              </w:rPr>
            </w:pPr>
            <w:r>
              <w:rPr>
                <w:rFonts w:ascii="Arial" w:cs="Arial" w:eastAsia="Arial" w:hAnsi="Arial"/>
                <w:sz w:val="16"/>
                <w:szCs w:val="16"/>
                <w:color w:val="auto"/>
              </w:rPr>
              <w:t>Cash, Due 3/15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National CineMedia,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1,985,000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2.9%</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11/19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NBTY,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3,242,046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3,258,374</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3,268,096.00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3.5%</w:t>
            </w:r>
          </w:p>
        </w:tc>
        <w:tc>
          <w:tcPr>
            <w:tcW w:w="1820" w:type="dxa"/>
            <w:vAlign w:val="bottom"/>
          </w:tcPr>
          <w:p>
            <w:pPr>
              <w:spacing w:after="0"/>
              <w:rPr>
                <w:sz w:val="20"/>
                <w:szCs w:val="20"/>
                <w:color w:val="auto"/>
              </w:rPr>
            </w:pPr>
            <w:r>
              <w:rPr>
                <w:rFonts w:ascii="Arial" w:cs="Arial" w:eastAsia="Arial" w:hAnsi="Arial"/>
                <w:sz w:val="16"/>
                <w:szCs w:val="16"/>
                <w:color w:val="auto"/>
              </w:rPr>
              <w:t>Cash, Due 10/17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NEP/NCP Holdco,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Refinanced New Term Loan</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2,970,000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2,970,000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2,986,706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shd w:val="clear" w:color="auto" w:fill="CCFFCC"/>
          </w:tcPr>
          <w:p>
            <w:pPr>
              <w:spacing w:after="0"/>
              <w:rPr>
                <w:sz w:val="17"/>
                <w:szCs w:val="17"/>
                <w:color w:val="auto"/>
              </w:rPr>
            </w:pPr>
          </w:p>
        </w:tc>
        <w:tc>
          <w:tcPr>
            <w:tcW w:w="460" w:type="dxa"/>
            <w:vAlign w:val="bottom"/>
            <w:shd w:val="clear" w:color="auto" w:fill="CCFFCC"/>
          </w:tcPr>
          <w:p>
            <w:pPr>
              <w:ind w:left="100"/>
              <w:spacing w:after="0"/>
              <w:rPr>
                <w:sz w:val="20"/>
                <w:szCs w:val="20"/>
                <w:color w:val="auto"/>
              </w:rPr>
            </w:pPr>
            <w:r>
              <w:rPr>
                <w:rFonts w:ascii="Arial" w:cs="Arial" w:eastAsia="Arial" w:hAnsi="Arial"/>
                <w:sz w:val="16"/>
                <w:szCs w:val="16"/>
                <w:color w:val="auto"/>
                <w:w w:val="93"/>
              </w:rPr>
              <w:t>(First</w:t>
            </w:r>
          </w:p>
        </w:tc>
        <w:tc>
          <w:tcPr>
            <w:tcW w:w="1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Lien) — 4.8% Cash, Due 1/20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Newsday,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2,953,846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2,933,846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2,964,923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3.7%</w:t>
            </w:r>
          </w:p>
        </w:tc>
        <w:tc>
          <w:tcPr>
            <w:tcW w:w="1820" w:type="dxa"/>
            <w:vAlign w:val="bottom"/>
          </w:tcPr>
          <w:p>
            <w:pPr>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Novelis,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2,928,595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2,962,665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2,943,238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3.8%</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3/17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NPC International,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490,833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480,833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495,742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4.0%</w:t>
            </w:r>
          </w:p>
        </w:tc>
        <w:tc>
          <w:tcPr>
            <w:tcW w:w="1820" w:type="dxa"/>
            <w:vAlign w:val="bottom"/>
          </w:tcPr>
          <w:p>
            <w:pPr>
              <w:spacing w:after="0"/>
              <w:rPr>
                <w:sz w:val="20"/>
                <w:szCs w:val="20"/>
                <w:color w:val="auto"/>
              </w:rPr>
            </w:pPr>
            <w:r>
              <w:rPr>
                <w:rFonts w:ascii="Arial" w:cs="Arial" w:eastAsia="Arial" w:hAnsi="Arial"/>
                <w:sz w:val="16"/>
                <w:szCs w:val="16"/>
                <w:color w:val="auto"/>
              </w:rPr>
              <w:t>Cash, Due 12/18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NRG Energy,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7.625% – 01/2018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1,145,000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Utilities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629377BN1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4.0%</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1/18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NRG Energy,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3,900,525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3,890,575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3,896,781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2.8%</w:t>
            </w:r>
          </w:p>
        </w:tc>
        <w:tc>
          <w:tcPr>
            <w:tcW w:w="1820" w:type="dxa"/>
            <w:vAlign w:val="bottom"/>
          </w:tcPr>
          <w:p>
            <w:pPr>
              <w:spacing w:after="0"/>
              <w:rPr>
                <w:sz w:val="20"/>
                <w:szCs w:val="20"/>
                <w:color w:val="auto"/>
              </w:rPr>
            </w:pPr>
            <w:r>
              <w:rPr>
                <w:rFonts w:ascii="Arial" w:cs="Arial" w:eastAsia="Arial" w:hAnsi="Arial"/>
                <w:sz w:val="16"/>
                <w:szCs w:val="16"/>
                <w:color w:val="auto"/>
              </w:rPr>
              <w:t>Cash, Due 7/18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Nuveen Investments,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First-Lien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1,803,194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1,732,805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1,798,686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16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 4.2% Cash, Due 5/17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Omnova Solutions,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B-1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485,000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490,259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488,034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4.3%</w:t>
            </w:r>
          </w:p>
        </w:tc>
        <w:tc>
          <w:tcPr>
            <w:tcW w:w="1820" w:type="dxa"/>
            <w:vAlign w:val="bottom"/>
          </w:tcPr>
          <w:p>
            <w:pPr>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OSI Restaurant Partners,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Replacement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1,870,000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1,850,000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1,874,441</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Services</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3.5%</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10/19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Pantry, Inc.,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2,962,500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2,932,500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3,005,678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Grocery</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4.8%</w:t>
            </w:r>
          </w:p>
        </w:tc>
        <w:tc>
          <w:tcPr>
            <w:tcW w:w="1820" w:type="dxa"/>
            <w:vAlign w:val="bottom"/>
          </w:tcPr>
          <w:p>
            <w:pPr>
              <w:spacing w:after="0"/>
              <w:rPr>
                <w:sz w:val="20"/>
                <w:szCs w:val="20"/>
                <w:color w:val="auto"/>
              </w:rPr>
            </w:pPr>
            <w:r>
              <w:rPr>
                <w:rFonts w:ascii="Arial" w:cs="Arial" w:eastAsia="Arial" w:hAnsi="Arial"/>
                <w:sz w:val="16"/>
                <w:szCs w:val="16"/>
                <w:color w:val="auto"/>
              </w:rPr>
              <w:t>Cash, Due 8/19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Party City Holdings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Replacement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493,763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488,763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496,656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4.3%</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7/19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PetCo Animal Supplies,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Loans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3,404,798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3,404,798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3,427,423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Retail Stores</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4.0%</w:t>
            </w:r>
          </w:p>
        </w:tc>
        <w:tc>
          <w:tcPr>
            <w:tcW w:w="1820" w:type="dxa"/>
            <w:vAlign w:val="bottom"/>
          </w:tcPr>
          <w:p>
            <w:pPr>
              <w:spacing w:after="0"/>
              <w:rPr>
                <w:sz w:val="20"/>
                <w:szCs w:val="20"/>
                <w:color w:val="auto"/>
              </w:rPr>
            </w:pPr>
            <w:r>
              <w:rPr>
                <w:rFonts w:ascii="Arial" w:cs="Arial" w:eastAsia="Arial" w:hAnsi="Arial"/>
                <w:sz w:val="16"/>
                <w:szCs w:val="16"/>
                <w:color w:val="auto"/>
              </w:rPr>
              <w:t>Cash, Due 11/17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PQ Corporation (fka Niagara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2,970,000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2,947,500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2,995,616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Acquisition, Inc.)</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4.5%</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8/17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Progressive Waste Solutions Ltd.</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742,500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738,750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744,820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Ecological</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3.0%</w:t>
            </w:r>
          </w:p>
        </w:tc>
        <w:tc>
          <w:tcPr>
            <w:tcW w:w="1820" w:type="dxa"/>
            <w:vAlign w:val="bottom"/>
          </w:tcPr>
          <w:p>
            <w:pPr>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FFCC"/>
          </w:tcPr>
          <w:p>
            <w:pPr>
              <w:spacing w:after="0"/>
              <w:rPr>
                <w:sz w:val="20"/>
                <w:szCs w:val="20"/>
                <w:color w:val="auto"/>
              </w:rPr>
            </w:pPr>
          </w:p>
        </w:tc>
        <w:tc>
          <w:tcPr>
            <w:tcW w:w="2580" w:type="dxa"/>
            <w:vAlign w:val="bottom"/>
            <w:gridSpan w:val="2"/>
            <w:shd w:val="clear" w:color="auto" w:fill="CCFFCC"/>
          </w:tcPr>
          <w:p>
            <w:pPr>
              <w:spacing w:after="0" w:line="236" w:lineRule="exact"/>
              <w:rPr>
                <w:sz w:val="20"/>
                <w:szCs w:val="20"/>
                <w:color w:val="auto"/>
              </w:rPr>
            </w:pPr>
            <w:r>
              <w:rPr>
                <w:rFonts w:ascii="Arial" w:cs="Arial" w:eastAsia="Arial" w:hAnsi="Arial"/>
                <w:sz w:val="16"/>
                <w:szCs w:val="16"/>
                <w:color w:val="auto"/>
              </w:rPr>
              <w:t>QCE, LLC (Quiznos)</w:t>
            </w:r>
            <w:r>
              <w:rPr>
                <w:rFonts w:ascii="Arial" w:cs="Arial" w:eastAsia="Arial" w:hAnsi="Arial"/>
                <w:sz w:val="27"/>
                <w:szCs w:val="27"/>
                <w:color w:val="auto"/>
                <w:vertAlign w:val="superscript"/>
              </w:rPr>
              <w:t>(3)</w:t>
            </w:r>
          </w:p>
        </w:tc>
        <w:tc>
          <w:tcPr>
            <w:tcW w:w="160" w:type="dxa"/>
            <w:vAlign w:val="bottom"/>
            <w:shd w:val="clear" w:color="auto" w:fill="CCFFCC"/>
          </w:tcPr>
          <w:p>
            <w:pPr>
              <w:spacing w:after="0"/>
              <w:rPr>
                <w:sz w:val="20"/>
                <w:szCs w:val="20"/>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3,172,238</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2,793,987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1,386,268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9.0%</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1/17</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Regal Cinemas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4,443,146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4,480,021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4,467,339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2.7%</w:t>
            </w:r>
          </w:p>
        </w:tc>
        <w:tc>
          <w:tcPr>
            <w:tcW w:w="1820" w:type="dxa"/>
            <w:vAlign w:val="bottom"/>
          </w:tcPr>
          <w:p>
            <w:pPr>
              <w:spacing w:after="0"/>
              <w:rPr>
                <w:sz w:val="20"/>
                <w:szCs w:val="20"/>
                <w:color w:val="auto"/>
              </w:rPr>
            </w:pPr>
            <w:r>
              <w:rPr>
                <w:rFonts w:ascii="Arial" w:cs="Arial" w:eastAsia="Arial" w:hAnsi="Arial"/>
                <w:sz w:val="16"/>
                <w:szCs w:val="16"/>
                <w:color w:val="auto"/>
              </w:rPr>
              <w:t>Cash, Due 8/17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Remy International,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2013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947,029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954,454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954,728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Automobile</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4.3%</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3/20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Revlon Consumer Products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Replacement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843,750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838,775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850,344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Corporation</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4.0%</w:t>
            </w:r>
          </w:p>
        </w:tc>
        <w:tc>
          <w:tcPr>
            <w:tcW w:w="1820" w:type="dxa"/>
            <w:vAlign w:val="bottom"/>
          </w:tcPr>
          <w:p>
            <w:pPr>
              <w:spacing w:after="0"/>
              <w:rPr>
                <w:sz w:val="20"/>
                <w:szCs w:val="20"/>
                <w:color w:val="auto"/>
              </w:rPr>
            </w:pPr>
            <w:r>
              <w:rPr>
                <w:rFonts w:ascii="Arial" w:cs="Arial" w:eastAsia="Arial" w:hAnsi="Arial"/>
                <w:sz w:val="16"/>
                <w:szCs w:val="16"/>
                <w:color w:val="auto"/>
              </w:rPr>
              <w:t>Cash, Due 11/17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Personal and Non Durable</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Consumer Products (Mfg. Only)</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Reynolds Group Holdings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7"/>
              </w:rPr>
              <w:t>Incremental U.S.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2,841,300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2,841,300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2,871,318</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Containers, Packaging and Glass</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4.0%</w:t>
            </w:r>
          </w:p>
        </w:tc>
        <w:tc>
          <w:tcPr>
            <w:tcW w:w="1820" w:type="dxa"/>
            <w:vAlign w:val="bottom"/>
            <w:shd w:val="clear" w:color="auto" w:fill="CCFFCC"/>
          </w:tcPr>
          <w:p>
            <w:pPr>
              <w:spacing w:after="0"/>
              <w:rPr>
                <w:sz w:val="20"/>
                <w:szCs w:val="20"/>
                <w:color w:val="auto"/>
              </w:rPr>
            </w:pPr>
            <w:r>
              <w:rPr>
                <w:rFonts w:ascii="Arial" w:cs="Arial" w:eastAsia="Arial" w:hAnsi="Arial"/>
                <w:sz w:val="16"/>
                <w:szCs w:val="16"/>
                <w:color w:val="auto"/>
              </w:rPr>
              <w:t>Cash, Due 12/18</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RGIS Services,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Extended Initial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2,442,714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2,318,713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2,404,546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20" w:type="dxa"/>
            <w:vAlign w:val="bottom"/>
            <w:gridSpan w:val="2"/>
          </w:tcPr>
          <w:p>
            <w:pPr>
              <w:ind w:left="260"/>
              <w:spacing w:after="0"/>
              <w:rPr>
                <w:sz w:val="20"/>
                <w:szCs w:val="20"/>
                <w:color w:val="auto"/>
              </w:rPr>
            </w:pPr>
            <w:r>
              <w:rPr>
                <w:rFonts w:ascii="Arial" w:cs="Arial" w:eastAsia="Arial" w:hAnsi="Arial"/>
                <w:sz w:val="16"/>
                <w:szCs w:val="16"/>
                <w:color w:val="auto"/>
                <w:w w:val="93"/>
              </w:rPr>
              <w:t>4.5%</w:t>
            </w:r>
          </w:p>
        </w:tc>
        <w:tc>
          <w:tcPr>
            <w:tcW w:w="1820" w:type="dxa"/>
            <w:vAlign w:val="bottom"/>
          </w:tcPr>
          <w:p>
            <w:pPr>
              <w:spacing w:after="0"/>
              <w:rPr>
                <w:sz w:val="20"/>
                <w:szCs w:val="20"/>
                <w:color w:val="auto"/>
              </w:rPr>
            </w:pPr>
            <w:r>
              <w:rPr>
                <w:rFonts w:ascii="Arial" w:cs="Arial" w:eastAsia="Arial" w:hAnsi="Arial"/>
                <w:sz w:val="16"/>
                <w:szCs w:val="16"/>
                <w:color w:val="auto"/>
              </w:rPr>
              <w:t>Cash, Due 10/16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-8305800</wp:posOffset>
            </wp:positionV>
            <wp:extent cx="521398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856"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RGIS Services, LLC</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$ 2,977,273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$ 3,011,023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2,945,639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Roundy's Supermarkets,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3,062,066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3,002,066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3,066,858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Grocery</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2/19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Rovi Solutions Corporation/Rovi</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A-1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1,107,114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1,111,817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1,105,730</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Guides,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Rovi Solutions Corporation/Rovi</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A-2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781,276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767,526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780,045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Guides,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2.4%</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Rovi Solutions Corporation/Rovi</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B-3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448,150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445,650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441,562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Guides,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RPI Finance Trust</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B-2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3,860,522</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3,840,622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3,883,454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SBA Senior Finance II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Incremental Tranche B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91,643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91,018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92,368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Retired 02/07/2014 —</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9/19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SBA Senior Finance II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722,116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717,141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726,633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Retired 02/07/2014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6"/>
              </w:rPr>
              <w:t>Seaworld Parks &amp; Entertainment,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B-2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1,855,823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1,830,843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1,837,265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(f/k/a SW Acquisitions Co.,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Select Medical Corporation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Series C Tranche B Term</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2,274,479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2,224,729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2,284,441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4.0% Cash, Due 6/18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1"/>
              </w:rPr>
              <w:t>Semiconductor Components Industries,</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2,718,750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2,598,750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2,691,563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LLC (On Semiconductor)</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9"/>
              </w:rPr>
              <w:t>Sensata Technologies B.V./Sensata</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680,567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670,617</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687,492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w w:val="93"/>
              </w:rPr>
              <w:t>Technology Finance Company, LLC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Serena Software,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w w:val="97"/>
              </w:rPr>
              <w:t>2016 Term Loan (Extended)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2,831,884</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2,807,105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2,810,645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4.2%</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ServiceMaster Company, The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2,481,203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2,515,578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2,461,664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Sinclair Television Group,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New 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136,716</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116,716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136,032</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Six Flags Theme Parks,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1,675,481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1,696,106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1,683,105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Spirit Aerosystems, Inc. (fka Mid-</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3,438,750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3,421,250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3,461,858</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Western Aircraft Systems,Inc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4/19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Onex Wind Finance LP.)</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8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SRAM,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3,299,075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3,279,506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3,304,568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Leisure, Amusement, Motion</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Pictures, Entertainment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6"/>
              </w:rPr>
              <w:t>SS&amp;C Technologies Holdings Europe</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2013 Replacement Term B-2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265,900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268,149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266,772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S.A.R.L.</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 3.3% Cash, Due 6/19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SS&amp;C Technologies, Inc.,/Sunshine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2013 Replacement Term B-1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2,570,367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2,592,110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2,578,798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Acquisition II, Inc.</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 3.3% Cash, Due 6/19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SunCoke Energy,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303,340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298,365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302,764</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Mining, Steel, Iron and Non-</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7/18</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Precious Metals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-8026400</wp:posOffset>
            </wp:positionV>
            <wp:extent cx="521398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gridSpan w:val="2"/>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SunGard Data Systems Inc (Solar</w:t>
            </w:r>
          </w:p>
        </w:tc>
        <w:tc>
          <w:tcPr>
            <w:tcW w:w="160" w:type="dxa"/>
            <w:vAlign w:val="bottom"/>
            <w:shd w:val="clear" w:color="auto" w:fill="CCFFCC"/>
          </w:tcPr>
          <w:p>
            <w:pPr>
              <w:spacing w:after="0"/>
              <w:rPr>
                <w:sz w:val="16"/>
                <w:szCs w:val="16"/>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E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$ 6,989,880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$ 6,871,424</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7,046,673</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Capital Corp.)</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4.0%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Electronics</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SuperMedia Inc. (fka Idearc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511,708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316,622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383,464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Printing and Publishing</w:t>
            </w:r>
          </w:p>
        </w:tc>
        <w:tc>
          <w:tcPr>
            <w:tcW w:w="1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11.6% Cash, Due 12/16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Telesat Canada</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U.S. Term B-2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2,955,169</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2,940,169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2,966,856</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3/19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Tenneco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Tranche A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3,650,000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3,650,000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3,654,563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Automobile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Tesoro Corporation</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198,750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198,750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199,660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Oil and Gas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2.4%</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5/16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9"/>
              </w:rPr>
              <w:t>Texas Competitive Electric Holdings</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2014 Term Loan</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3,748,690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2,907,390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2,664,381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Company, LLC (TXU)</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(Non-Extending)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Toys 'R' Us-Delaware,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1,902,743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1,911,493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1,726,054</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Retail Stores</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9/16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TPF Generation Holdings, LLC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3,308,567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2,990,821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3,333,381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Utilities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4.8%</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12/17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TransDigm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C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3,890,551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3,890,551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3,906,035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Aerospace and Defense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2/20</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7"/>
              </w:rPr>
              <w:t>Tronox Pigments (Netherlands) B. V.</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New Term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777,877</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770,020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789,350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TUI University,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(First Lien)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411,933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372,562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403,695</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7.3%</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10/14</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8"/>
              </w:rPr>
              <w:t>TW Telecom Holdings Inc. (fka Time</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3,813,269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3,824,590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3,813,288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Warner Telecom Holdings Inc.)</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2.7%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4/20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TWCC Holding Corp.</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4,300,575</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4,300,575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4,323,067</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3.5%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2/17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2"/>
              </w:rPr>
              <w:t>U.S. Security Associates Holdings,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Delayed Draw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160,148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160,148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161,048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w w:val="92"/>
              </w:rPr>
              <w:t>U.S. Security Associates Holdings,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818,172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809,823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822,775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6.0%</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7/17</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Univar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5,435,165</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5,447,313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5,401,575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Chemicals, Plastics and Rubber</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5.0%</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6/17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Universal Health Services,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Tranche B-1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1,031,250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1,074,432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1,035,762</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Healthcare, Education and</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2.4%</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Childcare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Univision Communications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2013 Converted Extended</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4,855,196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4,567,418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4,885,929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Broadcasting and Entertainment</w:t>
            </w:r>
          </w:p>
        </w:tc>
        <w:tc>
          <w:tcPr>
            <w:tcW w:w="160" w:type="dxa"/>
            <w:vAlign w:val="bottom"/>
          </w:tcPr>
          <w:p>
            <w:pPr>
              <w:spacing w:after="0"/>
              <w:rPr>
                <w:sz w:val="17"/>
                <w:szCs w:val="17"/>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First-Lien Term Loan —</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4.5%</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3/20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Valleycrest Companies LLC (VCC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Term Loan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3,299,311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3,229,612</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3,324,056</w:t>
            </w:r>
          </w:p>
        </w:tc>
        <w:tc>
          <w:tcPr>
            <w:tcW w:w="0" w:type="dxa"/>
            <w:vAlign w:val="bottom"/>
          </w:tcPr>
          <w:p>
            <w:pPr>
              <w:spacing w:after="0"/>
              <w:rPr>
                <w:sz w:val="1"/>
                <w:szCs w:val="1"/>
                <w:color w:val="auto"/>
              </w:rPr>
            </w:pPr>
          </w:p>
        </w:tc>
      </w:tr>
      <w:tr>
        <w:trPr>
          <w:trHeight w:val="203"/>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Holdco II Inc.)</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5.5%</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6/19</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Diversified/Conglomerate Service</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Vertafore,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952,048</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952,048</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952,810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Electronics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4.3%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10/19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VFH Parent LLC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Term Loan (2013) —</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998,333</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1,013,308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1,007,483</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Finance</w:t>
            </w:r>
          </w:p>
        </w:tc>
        <w:tc>
          <w:tcPr>
            <w:tcW w:w="6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87"/>
              </w:rPr>
              <w:t>5.8%</w:t>
            </w:r>
          </w:p>
        </w:tc>
        <w:tc>
          <w:tcPr>
            <w:tcW w:w="184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Due 11/19</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w w:val="99"/>
              </w:rPr>
              <w:t>VML US Finance LLC (aka Venetian</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Loan US Dollar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3,675,250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3,647,686</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3,659,630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Macau)</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1.7%</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11/16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Hotels, Motels, Inns, and Gaming</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5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Weight Watchers International, Inc.</w:t>
            </w:r>
          </w:p>
        </w:tc>
        <w:tc>
          <w:tcPr>
            <w:tcW w:w="160" w:type="dxa"/>
            <w:vAlign w:val="bottom"/>
            <w:shd w:val="clear" w:color="auto" w:fill="CCFFCC"/>
          </w:tcPr>
          <w:p>
            <w:pPr>
              <w:spacing w:after="0"/>
              <w:rPr>
                <w:sz w:val="17"/>
                <w:szCs w:val="17"/>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Initial Tranche B-1 Term</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496,250</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491,250</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482,913</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58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Beverage, Food and Tobacco</w:t>
            </w:r>
          </w:p>
        </w:tc>
        <w:tc>
          <w:tcPr>
            <w:tcW w:w="16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ind w:left="100"/>
              <w:spacing w:after="0"/>
              <w:rPr>
                <w:sz w:val="20"/>
                <w:szCs w:val="20"/>
                <w:color w:val="auto"/>
              </w:rPr>
            </w:pPr>
            <w:r>
              <w:rPr>
                <w:rFonts w:ascii="Arial" w:cs="Arial" w:eastAsia="Arial" w:hAnsi="Arial"/>
                <w:sz w:val="16"/>
                <w:szCs w:val="16"/>
                <w:color w:val="auto"/>
              </w:rPr>
              <w:t>Loan — 2.9% Cash, Due 4/16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Wendy's International, Inc</w:t>
            </w:r>
          </w:p>
        </w:tc>
        <w:tc>
          <w:tcPr>
            <w:tcW w:w="160" w:type="dxa"/>
            <w:vAlign w:val="bottom"/>
          </w:tcPr>
          <w:p>
            <w:pPr>
              <w:spacing w:after="0"/>
              <w:rPr>
                <w:sz w:val="16"/>
                <w:szCs w:val="16"/>
                <w:color w:val="auto"/>
              </w:rPr>
            </w:pP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Term B Loan —</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1,360,939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1,340,939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1,364,709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w w:val="96"/>
              </w:rPr>
              <w:t>Personal, Food and Miscellaneous</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w w:val="87"/>
              </w:rPr>
              <w:t>3.3%</w:t>
            </w:r>
          </w:p>
        </w:tc>
        <w:tc>
          <w:tcPr>
            <w:tcW w:w="1840" w:type="dxa"/>
            <w:vAlign w:val="bottom"/>
          </w:tcPr>
          <w:p>
            <w:pPr>
              <w:ind w:left="20"/>
              <w:spacing w:after="0"/>
              <w:rPr>
                <w:sz w:val="20"/>
                <w:szCs w:val="20"/>
                <w:color w:val="auto"/>
              </w:rPr>
            </w:pPr>
            <w:r>
              <w:rPr>
                <w:rFonts w:ascii="Arial" w:cs="Arial" w:eastAsia="Arial" w:hAnsi="Arial"/>
                <w:sz w:val="16"/>
                <w:szCs w:val="16"/>
                <w:color w:val="auto"/>
              </w:rPr>
              <w:t>Cash, Due 5/19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gridSpan w:val="2"/>
          </w:tcPr>
          <w:p>
            <w:pPr>
              <w:ind w:left="180"/>
              <w:spacing w:after="0"/>
              <w:rPr>
                <w:sz w:val="20"/>
                <w:szCs w:val="20"/>
                <w:color w:val="auto"/>
              </w:rPr>
            </w:pPr>
            <w:r>
              <w:rPr>
                <w:rFonts w:ascii="Arial" w:cs="Arial" w:eastAsia="Arial" w:hAnsi="Arial"/>
                <w:sz w:val="16"/>
                <w:szCs w:val="16"/>
                <w:i w:val="1"/>
                <w:iCs w:val="1"/>
                <w:color w:val="auto"/>
              </w:rPr>
              <w:t>Services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-7636510</wp:posOffset>
            </wp:positionV>
            <wp:extent cx="521398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22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94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4"/>
                <w:szCs w:val="14"/>
                <w:color w:val="auto"/>
              </w:rPr>
            </w:pPr>
          </w:p>
        </w:tc>
        <w:tc>
          <w:tcPr>
            <w:tcW w:w="92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40" w:type="dxa"/>
            <w:vAlign w:val="bottom"/>
            <w:tcBorders>
              <w:top w:val="single" w:sz="8" w:color="0000EE"/>
            </w:tcBorders>
          </w:tcPr>
          <w:p>
            <w:pPr>
              <w:spacing w:after="0" w:line="119" w:lineRule="exact"/>
              <w:rPr>
                <w:sz w:val="20"/>
                <w:szCs w:val="20"/>
                <w:color w:val="auto"/>
              </w:rPr>
            </w:pPr>
            <w:r>
              <w:rPr>
                <w:rFonts w:ascii="Arial" w:cs="Arial" w:eastAsia="Arial" w:hAnsi="Arial"/>
                <w:sz w:val="13"/>
                <w:szCs w:val="13"/>
                <w:b w:val="1"/>
                <w:bCs w:val="1"/>
                <w:color w:val="auto"/>
              </w:rPr>
              <w:t>Portfolio Company/</w:t>
            </w: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60" w:type="dxa"/>
            <w:vAlign w:val="bottom"/>
          </w:tcPr>
          <w:p>
            <w:pPr>
              <w:spacing w:after="0"/>
              <w:rPr>
                <w:sz w:val="18"/>
                <w:szCs w:val="18"/>
                <w:color w:val="auto"/>
              </w:rPr>
            </w:pPr>
          </w:p>
        </w:tc>
        <w:tc>
          <w:tcPr>
            <w:tcW w:w="2280" w:type="dxa"/>
            <w:vAlign w:val="bottom"/>
            <w:tcBorders>
              <w:bottom w:val="single" w:sz="8" w:color="auto"/>
            </w:tcBorders>
          </w:tcPr>
          <w:p>
            <w:pPr>
              <w:ind w:left="380"/>
              <w:spacing w:after="0" w:line="21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/Maturity</w:t>
            </w: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West Corporation</w:t>
            </w:r>
          </w:p>
        </w:tc>
        <w:tc>
          <w:tcPr>
            <w:tcW w:w="160" w:type="dxa"/>
            <w:vAlign w:val="bottom"/>
            <w:shd w:val="clear" w:color="auto" w:fill="CCFFCC"/>
          </w:tcPr>
          <w:p>
            <w:pPr>
              <w:spacing w:after="0"/>
              <w:rPr>
                <w:sz w:val="16"/>
                <w:szCs w:val="16"/>
                <w:color w:val="auto"/>
              </w:rPr>
            </w:pPr>
          </w:p>
        </w:tc>
        <w:tc>
          <w:tcPr>
            <w:tcW w:w="2280" w:type="dxa"/>
            <w:vAlign w:val="bottom"/>
            <w:shd w:val="clear" w:color="auto" w:fill="CCFFCC"/>
          </w:tcPr>
          <w:p>
            <w:pPr>
              <w:ind w:left="100"/>
              <w:spacing w:after="0"/>
              <w:rPr>
                <w:sz w:val="20"/>
                <w:szCs w:val="20"/>
                <w:color w:val="auto"/>
              </w:rPr>
            </w:pPr>
            <w:r>
              <w:rPr>
                <w:rFonts w:ascii="Arial" w:cs="Arial" w:eastAsia="Arial" w:hAnsi="Arial"/>
                <w:sz w:val="16"/>
                <w:szCs w:val="16"/>
                <w:color w:val="auto"/>
              </w:rPr>
              <w:t>Term B-8 Loan —</w:t>
            </w:r>
          </w:p>
        </w:tc>
        <w:tc>
          <w:tcPr>
            <w:tcW w:w="11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  4,360,038</w:t>
            </w:r>
          </w:p>
        </w:tc>
        <w:tc>
          <w:tcPr>
            <w:tcW w:w="10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  4,381,867</w:t>
            </w:r>
          </w:p>
        </w:tc>
        <w:tc>
          <w:tcPr>
            <w:tcW w:w="11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   4,386,045</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w w:val="94"/>
              </w:rPr>
              <w:t>Diversified/Conglomerate Service</w:t>
            </w:r>
          </w:p>
        </w:tc>
        <w:tc>
          <w:tcPr>
            <w:tcW w:w="160" w:type="dxa"/>
            <w:vAlign w:val="bottom"/>
            <w:shd w:val="clear" w:color="auto" w:fill="CCFFCC"/>
          </w:tcPr>
          <w:p>
            <w:pPr>
              <w:spacing w:after="0"/>
              <w:rPr>
                <w:sz w:val="18"/>
                <w:szCs w:val="18"/>
                <w:color w:val="auto"/>
              </w:rPr>
            </w:pPr>
          </w:p>
        </w:tc>
        <w:tc>
          <w:tcPr>
            <w:tcW w:w="2280" w:type="dxa"/>
            <w:vAlign w:val="bottom"/>
            <w:shd w:val="clear" w:color="auto" w:fill="CCFFCC"/>
          </w:tcPr>
          <w:p>
            <w:pPr>
              <w:ind w:left="100"/>
              <w:spacing w:after="0"/>
              <w:rPr>
                <w:sz w:val="20"/>
                <w:szCs w:val="20"/>
                <w:color w:val="auto"/>
              </w:rPr>
            </w:pPr>
            <w:r>
              <w:rPr>
                <w:rFonts w:ascii="Arial" w:cs="Arial" w:eastAsia="Arial" w:hAnsi="Arial"/>
                <w:sz w:val="16"/>
                <w:szCs w:val="16"/>
                <w:color w:val="auto"/>
              </w:rPr>
              <w:t>3.8% Cash, Due 6/18</w:t>
            </w:r>
          </w:p>
        </w:tc>
        <w:tc>
          <w:tcPr>
            <w:tcW w:w="160" w:type="dxa"/>
            <w:vAlign w:val="bottom"/>
            <w:shd w:val="clear" w:color="auto" w:fill="CCFFCC"/>
          </w:tcPr>
          <w:p>
            <w:pPr>
              <w:spacing w:after="0"/>
              <w:rPr>
                <w:sz w:val="18"/>
                <w:szCs w:val="18"/>
                <w:color w:val="auto"/>
              </w:rPr>
            </w:pPr>
          </w:p>
        </w:tc>
        <w:tc>
          <w:tcPr>
            <w:tcW w:w="9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WideOpenWest Finance, LLC</w:t>
            </w:r>
          </w:p>
        </w:tc>
        <w:tc>
          <w:tcPr>
            <w:tcW w:w="16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color w:val="auto"/>
              </w:rPr>
              <w:t>Term B-1 Loan 2013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3,970,050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4,000,050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3,984,660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tcPr>
          <w:p>
            <w:pPr>
              <w:spacing w:after="0"/>
              <w:rPr>
                <w:sz w:val="18"/>
                <w:szCs w:val="18"/>
                <w:color w:val="auto"/>
              </w:rPr>
            </w:pPr>
          </w:p>
        </w:tc>
        <w:tc>
          <w:tcPr>
            <w:tcW w:w="2280" w:type="dxa"/>
            <w:vAlign w:val="bottom"/>
          </w:tcPr>
          <w:p>
            <w:pPr>
              <w:ind w:left="100"/>
              <w:spacing w:after="0"/>
              <w:rPr>
                <w:sz w:val="20"/>
                <w:szCs w:val="20"/>
                <w:color w:val="auto"/>
              </w:rPr>
            </w:pPr>
            <w:r>
              <w:rPr>
                <w:rFonts w:ascii="Arial" w:cs="Arial" w:eastAsia="Arial" w:hAnsi="Arial"/>
                <w:sz w:val="16"/>
                <w:szCs w:val="16"/>
                <w:color w:val="auto"/>
              </w:rPr>
              <w:t>3.8% Cash, Due 7/17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Windstream Corporation</w:t>
            </w:r>
          </w:p>
        </w:tc>
        <w:tc>
          <w:tcPr>
            <w:tcW w:w="160" w:type="dxa"/>
            <w:vAlign w:val="bottom"/>
            <w:shd w:val="clear" w:color="auto" w:fill="CCFFCC"/>
          </w:tcPr>
          <w:p>
            <w:pPr>
              <w:spacing w:after="0"/>
              <w:rPr>
                <w:sz w:val="17"/>
                <w:szCs w:val="17"/>
                <w:color w:val="auto"/>
              </w:rPr>
            </w:pPr>
          </w:p>
        </w:tc>
        <w:tc>
          <w:tcPr>
            <w:tcW w:w="2280" w:type="dxa"/>
            <w:vAlign w:val="bottom"/>
            <w:shd w:val="clear" w:color="auto" w:fill="CCFFCC"/>
          </w:tcPr>
          <w:p>
            <w:pPr>
              <w:ind w:left="100"/>
              <w:spacing w:after="0"/>
              <w:rPr>
                <w:sz w:val="20"/>
                <w:szCs w:val="20"/>
                <w:color w:val="auto"/>
              </w:rPr>
            </w:pPr>
            <w:r>
              <w:rPr>
                <w:rFonts w:ascii="Arial" w:cs="Arial" w:eastAsia="Arial" w:hAnsi="Arial"/>
                <w:sz w:val="16"/>
                <w:szCs w:val="16"/>
                <w:color w:val="auto"/>
              </w:rPr>
              <w:t>Tranche B-5 Term Loan —</w:t>
            </w:r>
          </w:p>
        </w:tc>
        <w:tc>
          <w:tcPr>
            <w:tcW w:w="11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493,750</w:t>
            </w:r>
          </w:p>
        </w:tc>
        <w:tc>
          <w:tcPr>
            <w:tcW w:w="108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488,750</w:t>
            </w:r>
          </w:p>
        </w:tc>
        <w:tc>
          <w:tcPr>
            <w:tcW w:w="11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495,330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2440" w:type="dxa"/>
            <w:vAlign w:val="bottom"/>
            <w:gridSpan w:val="2"/>
            <w:shd w:val="clear" w:color="auto" w:fill="CCFFCC"/>
          </w:tcPr>
          <w:p>
            <w:pPr>
              <w:ind w:left="180"/>
              <w:spacing w:after="0"/>
              <w:rPr>
                <w:sz w:val="20"/>
                <w:szCs w:val="20"/>
                <w:color w:val="auto"/>
              </w:rPr>
            </w:pPr>
            <w:r>
              <w:rPr>
                <w:rFonts w:ascii="Arial" w:cs="Arial" w:eastAsia="Arial" w:hAnsi="Arial"/>
                <w:sz w:val="16"/>
                <w:szCs w:val="16"/>
                <w:i w:val="1"/>
                <w:iCs w:val="1"/>
                <w:color w:val="auto"/>
              </w:rPr>
              <w:t>Telecommunications</w:t>
            </w:r>
          </w:p>
        </w:tc>
        <w:tc>
          <w:tcPr>
            <w:tcW w:w="160" w:type="dxa"/>
            <w:vAlign w:val="bottom"/>
            <w:shd w:val="clear" w:color="auto" w:fill="CCFFCC"/>
          </w:tcPr>
          <w:p>
            <w:pPr>
              <w:spacing w:after="0"/>
              <w:rPr>
                <w:sz w:val="18"/>
                <w:szCs w:val="18"/>
                <w:color w:val="auto"/>
              </w:rPr>
            </w:pPr>
          </w:p>
        </w:tc>
        <w:tc>
          <w:tcPr>
            <w:tcW w:w="2280" w:type="dxa"/>
            <w:vAlign w:val="bottom"/>
            <w:shd w:val="clear" w:color="auto" w:fill="CCFFCC"/>
          </w:tcPr>
          <w:p>
            <w:pPr>
              <w:ind w:left="100"/>
              <w:spacing w:after="0"/>
              <w:rPr>
                <w:sz w:val="20"/>
                <w:szCs w:val="20"/>
                <w:color w:val="auto"/>
              </w:rPr>
            </w:pPr>
            <w:r>
              <w:rPr>
                <w:rFonts w:ascii="Arial" w:cs="Arial" w:eastAsia="Arial" w:hAnsi="Arial"/>
                <w:sz w:val="16"/>
                <w:szCs w:val="16"/>
                <w:color w:val="auto"/>
              </w:rPr>
              <w:t>3.5% Cash, Due 8/19</w:t>
            </w:r>
          </w:p>
        </w:tc>
        <w:tc>
          <w:tcPr>
            <w:tcW w:w="160" w:type="dxa"/>
            <w:vAlign w:val="bottom"/>
            <w:shd w:val="clear" w:color="auto" w:fill="CCFFCC"/>
          </w:tcPr>
          <w:p>
            <w:pPr>
              <w:spacing w:after="0"/>
              <w:rPr>
                <w:sz w:val="18"/>
                <w:szCs w:val="18"/>
                <w:color w:val="auto"/>
              </w:rPr>
            </w:pPr>
          </w:p>
        </w:tc>
        <w:tc>
          <w:tcPr>
            <w:tcW w:w="94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2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WireCo WorldGroup Inc.</w:t>
            </w:r>
          </w:p>
        </w:tc>
        <w:tc>
          <w:tcPr>
            <w:tcW w:w="160" w:type="dxa"/>
            <w:vAlign w:val="bottom"/>
          </w:tcPr>
          <w:p>
            <w:pPr>
              <w:spacing w:after="0"/>
              <w:rPr>
                <w:sz w:val="16"/>
                <w:szCs w:val="16"/>
                <w:color w:val="auto"/>
              </w:rPr>
            </w:pPr>
          </w:p>
        </w:tc>
        <w:tc>
          <w:tcPr>
            <w:tcW w:w="2280" w:type="dxa"/>
            <w:vAlign w:val="bottom"/>
          </w:tcPr>
          <w:p>
            <w:pPr>
              <w:ind w:left="100"/>
              <w:spacing w:after="0"/>
              <w:rPr>
                <w:sz w:val="20"/>
                <w:szCs w:val="20"/>
                <w:color w:val="auto"/>
              </w:rPr>
            </w:pPr>
            <w:r>
              <w:rPr>
                <w:rFonts w:ascii="Arial" w:cs="Arial" w:eastAsia="Arial" w:hAnsi="Arial"/>
                <w:sz w:val="16"/>
                <w:szCs w:val="16"/>
                <w:color w:val="auto"/>
              </w:rPr>
              <w:t>Term Loan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1,975,000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1,955,000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1,993,516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w w:val="93"/>
              </w:rPr>
              <w:t>Machinery (Non-Agriculture, Non-</w:t>
            </w:r>
          </w:p>
        </w:tc>
        <w:tc>
          <w:tcPr>
            <w:tcW w:w="160" w:type="dxa"/>
            <w:vAlign w:val="bottom"/>
          </w:tcPr>
          <w:p>
            <w:pPr>
              <w:spacing w:after="0"/>
              <w:rPr>
                <w:sz w:val="17"/>
                <w:szCs w:val="17"/>
                <w:color w:val="auto"/>
              </w:rPr>
            </w:pPr>
          </w:p>
        </w:tc>
        <w:tc>
          <w:tcPr>
            <w:tcW w:w="2280" w:type="dxa"/>
            <w:vAlign w:val="bottom"/>
          </w:tcPr>
          <w:p>
            <w:pPr>
              <w:ind w:left="100"/>
              <w:spacing w:after="0"/>
              <w:rPr>
                <w:sz w:val="20"/>
                <w:szCs w:val="20"/>
                <w:color w:val="auto"/>
              </w:rPr>
            </w:pPr>
            <w:r>
              <w:rPr>
                <w:rFonts w:ascii="Arial" w:cs="Arial" w:eastAsia="Arial" w:hAnsi="Arial"/>
                <w:sz w:val="16"/>
                <w:szCs w:val="16"/>
                <w:color w:val="auto"/>
              </w:rPr>
              <w:t>6.0% Cash, Due 2/17</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2"/>
          </w:tcPr>
          <w:p>
            <w:pPr>
              <w:ind w:left="180"/>
              <w:spacing w:after="0"/>
              <w:rPr>
                <w:sz w:val="20"/>
                <w:szCs w:val="20"/>
                <w:color w:val="auto"/>
              </w:rPr>
            </w:pPr>
            <w:r>
              <w:rPr>
                <w:rFonts w:ascii="Arial" w:cs="Arial" w:eastAsia="Arial" w:hAnsi="Arial"/>
                <w:sz w:val="16"/>
                <w:szCs w:val="16"/>
                <w:i w:val="1"/>
                <w:iCs w:val="1"/>
                <w:color w:val="auto"/>
              </w:rPr>
              <w:t>Construction, Non-Electronic)</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FFCC"/>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w w:val="90"/>
              </w:rPr>
              <w:t>Total Investment in Debt Securities</w:t>
            </w:r>
          </w:p>
        </w:tc>
        <w:tc>
          <w:tcPr>
            <w:tcW w:w="160" w:type="dxa"/>
            <w:vAlign w:val="bottom"/>
            <w:shd w:val="clear" w:color="auto" w:fill="CCFFCC"/>
          </w:tcPr>
          <w:p>
            <w:pPr>
              <w:spacing w:after="0"/>
              <w:rPr>
                <w:sz w:val="17"/>
                <w:szCs w:val="17"/>
                <w:color w:val="auto"/>
              </w:rPr>
            </w:pPr>
          </w:p>
        </w:tc>
        <w:tc>
          <w:tcPr>
            <w:tcW w:w="22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8"/>
              </w:rPr>
              <w:t>398,726,561</w:t>
            </w:r>
          </w:p>
        </w:tc>
        <w:tc>
          <w:tcPr>
            <w:tcW w:w="160" w:type="dxa"/>
            <w:vAlign w:val="bottom"/>
            <w:shd w:val="clear" w:color="auto" w:fill="CCFFCC"/>
          </w:tcPr>
          <w:p>
            <w:pPr>
              <w:spacing w:after="0"/>
              <w:rPr>
                <w:sz w:val="17"/>
                <w:szCs w:val="17"/>
                <w:color w:val="auto"/>
              </w:rPr>
            </w:pP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98"/>
              </w:rPr>
              <w:t>392,855,444</w:t>
            </w:r>
          </w:p>
        </w:tc>
        <w:tc>
          <w:tcPr>
            <w:tcW w:w="11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392,391,636</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1540" w:type="dxa"/>
            <w:vAlign w:val="bottom"/>
            <w:shd w:val="clear" w:color="auto" w:fill="CCFFCC"/>
          </w:tcPr>
          <w:p>
            <w:pPr>
              <w:spacing w:after="0" w:line="20" w:lineRule="exact"/>
              <w:rPr>
                <w:sz w:val="1"/>
                <w:szCs w:val="1"/>
                <w:color w:val="auto"/>
              </w:rPr>
            </w:pPr>
          </w:p>
        </w:tc>
        <w:tc>
          <w:tcPr>
            <w:tcW w:w="9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4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2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-1611630</wp:posOffset>
            </wp:positionV>
            <wp:extent cx="521398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Securities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5"/>
          </w:tcPr>
          <w:p>
            <w:pPr>
              <w:ind w:left="20"/>
              <w:spacing w:after="0"/>
              <w:rPr>
                <w:sz w:val="20"/>
                <w:szCs w:val="20"/>
                <w:color w:val="auto"/>
              </w:rPr>
            </w:pPr>
            <w:r>
              <w:rPr>
                <w:rFonts w:ascii="Arial" w:cs="Arial" w:eastAsia="Arial" w:hAnsi="Arial"/>
                <w:sz w:val="14"/>
                <w:szCs w:val="14"/>
                <w:b w:val="1"/>
                <w:bCs w:val="1"/>
                <w:color w:val="auto"/>
              </w:rPr>
              <w:t>Portfolio Company/</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ind w:left="460"/>
              <w:spacing w:after="0"/>
              <w:rPr>
                <w:sz w:val="20"/>
                <w:szCs w:val="20"/>
                <w:color w:val="auto"/>
              </w:rPr>
            </w:pPr>
            <w:r>
              <w:rPr>
                <w:rFonts w:ascii="Arial" w:cs="Arial" w:eastAsia="Arial" w:hAnsi="Arial"/>
                <w:sz w:val="14"/>
                <w:szCs w:val="14"/>
                <w:b w:val="1"/>
                <w:bCs w:val="1"/>
                <w:color w:val="auto"/>
              </w:rPr>
              <w:t>Equity Investment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30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Principal Business</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380" w:type="dxa"/>
            <w:vAlign w:val="bottom"/>
            <w:gridSpan w:val="5"/>
            <w:shd w:val="clear" w:color="auto" w:fill="CCFFCC"/>
          </w:tcPr>
          <w:p>
            <w:pPr>
              <w:ind w:left="20"/>
              <w:spacing w:after="0" w:line="236" w:lineRule="exact"/>
              <w:rPr>
                <w:sz w:val="20"/>
                <w:szCs w:val="20"/>
                <w:color w:val="auto"/>
              </w:rPr>
            </w:pPr>
            <w:r>
              <w:rPr>
                <w:rFonts w:ascii="Arial" w:cs="Arial" w:eastAsia="Arial" w:hAnsi="Arial"/>
                <w:sz w:val="17"/>
                <w:szCs w:val="17"/>
                <w:color w:val="auto"/>
              </w:rPr>
              <w:t>Dex Media Inc.</w:t>
            </w:r>
            <w:r>
              <w:rPr>
                <w:rFonts w:ascii="Arial" w:cs="Arial" w:eastAsia="Arial" w:hAnsi="Arial"/>
                <w:sz w:val="27"/>
                <w:szCs w:val="27"/>
                <w:color w:val="auto"/>
                <w:vertAlign w:val="superscript"/>
              </w:rPr>
              <w:t>(2)</w:t>
            </w:r>
          </w:p>
        </w:tc>
        <w:tc>
          <w:tcPr>
            <w:tcW w:w="4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20" w:type="dxa"/>
            <w:vAlign w:val="bottom"/>
            <w:shd w:val="clear" w:color="auto" w:fill="CCFFCC"/>
          </w:tcPr>
          <w:p>
            <w:pPr>
              <w:ind w:left="80"/>
              <w:spacing w:after="0"/>
              <w:rPr>
                <w:sz w:val="20"/>
                <w:szCs w:val="20"/>
                <w:color w:val="auto"/>
              </w:rPr>
            </w:pPr>
            <w:r>
              <w:rPr>
                <w:rFonts w:ascii="Arial" w:cs="Arial" w:eastAsia="Arial" w:hAnsi="Arial"/>
                <w:sz w:val="18"/>
                <w:szCs w:val="18"/>
                <w:color w:val="auto"/>
              </w:rPr>
              <w:t>Common</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88"/>
              </w:rPr>
              <w:t>1,589</w:t>
            </w: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gridSpan w:val="3"/>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2360" w:type="dxa"/>
            <w:vAlign w:val="bottom"/>
            <w:gridSpan w:val="4"/>
            <w:shd w:val="clear" w:color="auto" w:fill="CCFFCC"/>
          </w:tcPr>
          <w:p>
            <w:pPr>
              <w:ind w:left="180"/>
              <w:spacing w:after="0"/>
              <w:rPr>
                <w:sz w:val="20"/>
                <w:szCs w:val="20"/>
                <w:color w:val="auto"/>
              </w:rPr>
            </w:pPr>
            <w:r>
              <w:rPr>
                <w:rFonts w:ascii="Arial" w:cs="Arial" w:eastAsia="Arial" w:hAnsi="Arial"/>
                <w:sz w:val="18"/>
                <w:szCs w:val="18"/>
                <w:i w:val="1"/>
                <w:iCs w:val="1"/>
                <w:color w:val="auto"/>
              </w:rPr>
              <w:t>Printing and Publishing</w:t>
            </w:r>
          </w:p>
        </w:tc>
        <w:tc>
          <w:tcPr>
            <w:tcW w:w="4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80" w:type="dxa"/>
            <w:vAlign w:val="bottom"/>
            <w:gridSpan w:val="5"/>
          </w:tcPr>
          <w:p>
            <w:pPr>
              <w:ind w:left="20"/>
              <w:spacing w:after="0" w:line="256" w:lineRule="exact"/>
              <w:rPr>
                <w:sz w:val="20"/>
                <w:szCs w:val="20"/>
                <w:color w:val="auto"/>
              </w:rPr>
            </w:pPr>
            <w:r>
              <w:rPr>
                <w:rFonts w:ascii="Arial" w:cs="Arial" w:eastAsia="Arial" w:hAnsi="Arial"/>
                <w:sz w:val="18"/>
                <w:szCs w:val="18"/>
                <w:color w:val="auto"/>
                <w:w w:val="91"/>
              </w:rPr>
              <w:t>IAP Worldwide Services, Inc.</w:t>
            </w:r>
            <w:r>
              <w:rPr>
                <w:rFonts w:ascii="Arial" w:cs="Arial" w:eastAsia="Arial" w:hAnsi="Arial"/>
                <w:sz w:val="29"/>
                <w:szCs w:val="29"/>
                <w:color w:val="auto"/>
                <w:w w:val="91"/>
                <w:vertAlign w:val="superscript"/>
              </w:rPr>
              <w:t>(2)</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w w:val="96"/>
              </w:rPr>
              <w:t>Series A Warrant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7"/>
          </w:tcPr>
          <w:p>
            <w:pPr>
              <w:jc w:val="right"/>
              <w:spacing w:after="0"/>
              <w:rPr>
                <w:sz w:val="20"/>
                <w:szCs w:val="20"/>
                <w:color w:val="auto"/>
              </w:rPr>
            </w:pPr>
            <w:r>
              <w:rPr>
                <w:rFonts w:ascii="Arial" w:cs="Arial" w:eastAsia="Arial" w:hAnsi="Arial"/>
                <w:sz w:val="18"/>
                <w:szCs w:val="18"/>
                <w:color w:val="auto"/>
              </w:rPr>
              <w:t>36,987</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5"/>
            <w:shd w:val="clear" w:color="auto" w:fill="CCFFCC"/>
          </w:tcPr>
          <w:p>
            <w:pPr>
              <w:ind w:left="20"/>
              <w:spacing w:after="0" w:line="256" w:lineRule="exact"/>
              <w:rPr>
                <w:sz w:val="20"/>
                <w:szCs w:val="20"/>
                <w:color w:val="auto"/>
              </w:rPr>
            </w:pPr>
            <w:r>
              <w:rPr>
                <w:rFonts w:ascii="Arial" w:cs="Arial" w:eastAsia="Arial" w:hAnsi="Arial"/>
                <w:sz w:val="18"/>
                <w:szCs w:val="18"/>
                <w:color w:val="auto"/>
                <w:w w:val="91"/>
              </w:rPr>
              <w:t>IAP Worldwide Services, Inc.</w:t>
            </w:r>
            <w:r>
              <w:rPr>
                <w:rFonts w:ascii="Arial" w:cs="Arial" w:eastAsia="Arial" w:hAnsi="Arial"/>
                <w:sz w:val="29"/>
                <w:szCs w:val="29"/>
                <w:color w:val="auto"/>
                <w:w w:val="91"/>
                <w:vertAlign w:val="superscript"/>
              </w:rPr>
              <w:t>(2)</w:t>
            </w:r>
          </w:p>
        </w:tc>
        <w:tc>
          <w:tcPr>
            <w:tcW w:w="4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420" w:type="dxa"/>
            <w:vAlign w:val="bottom"/>
            <w:shd w:val="clear" w:color="auto" w:fill="CCFFCC"/>
          </w:tcPr>
          <w:p>
            <w:pPr>
              <w:ind w:left="80"/>
              <w:spacing w:after="0"/>
              <w:rPr>
                <w:sz w:val="20"/>
                <w:szCs w:val="20"/>
                <w:color w:val="auto"/>
              </w:rPr>
            </w:pPr>
            <w:r>
              <w:rPr>
                <w:rFonts w:ascii="Arial" w:cs="Arial" w:eastAsia="Arial" w:hAnsi="Arial"/>
                <w:sz w:val="18"/>
                <w:szCs w:val="18"/>
                <w:color w:val="auto"/>
                <w:w w:val="96"/>
              </w:rPr>
              <w:t>Series B Warrant</w:t>
            </w:r>
          </w:p>
        </w:tc>
        <w:tc>
          <w:tcPr>
            <w:tcW w:w="1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340" w:type="dxa"/>
            <w:vAlign w:val="bottom"/>
            <w:gridSpan w:val="7"/>
            <w:shd w:val="clear" w:color="auto" w:fill="CCFFCC"/>
          </w:tcPr>
          <w:p>
            <w:pPr>
              <w:jc w:val="right"/>
              <w:spacing w:after="0"/>
              <w:rPr>
                <w:sz w:val="20"/>
                <w:szCs w:val="20"/>
                <w:color w:val="auto"/>
              </w:rPr>
            </w:pPr>
            <w:r>
              <w:rPr>
                <w:rFonts w:ascii="Arial" w:cs="Arial" w:eastAsia="Arial" w:hAnsi="Arial"/>
                <w:sz w:val="18"/>
                <w:szCs w:val="18"/>
                <w:color w:val="auto"/>
              </w:rPr>
              <w:t>10,833</w:t>
            </w:r>
          </w:p>
        </w:tc>
        <w:tc>
          <w:tcPr>
            <w:tcW w:w="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820" w:type="dxa"/>
            <w:vAlign w:val="bottom"/>
            <w:gridSpan w:val="3"/>
            <w:shd w:val="clear" w:color="auto" w:fill="CCFFCC"/>
          </w:tcPr>
          <w:p>
            <w:pPr>
              <w:ind w:lef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gridSpan w:val="5"/>
          </w:tcPr>
          <w:p>
            <w:pPr>
              <w:ind w:left="20"/>
              <w:spacing w:after="0" w:line="256" w:lineRule="exact"/>
              <w:rPr>
                <w:sz w:val="20"/>
                <w:szCs w:val="20"/>
                <w:color w:val="auto"/>
              </w:rPr>
            </w:pPr>
            <w:r>
              <w:rPr>
                <w:rFonts w:ascii="Arial" w:cs="Arial" w:eastAsia="Arial" w:hAnsi="Arial"/>
                <w:sz w:val="18"/>
                <w:szCs w:val="18"/>
                <w:color w:val="auto"/>
                <w:w w:val="91"/>
              </w:rPr>
              <w:t>IAP Worldwide Services, Inc.</w:t>
            </w:r>
            <w:r>
              <w:rPr>
                <w:rFonts w:ascii="Arial" w:cs="Arial" w:eastAsia="Arial" w:hAnsi="Arial"/>
                <w:sz w:val="29"/>
                <w:szCs w:val="29"/>
                <w:color w:val="auto"/>
                <w:w w:val="91"/>
                <w:vertAlign w:val="superscript"/>
              </w:rPr>
              <w:t>(2)</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w w:val="95"/>
              </w:rPr>
              <w:t>Series C Warrant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5,484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380" w:type="dxa"/>
            <w:vAlign w:val="bottom"/>
            <w:gridSpan w:val="5"/>
            <w:shd w:val="clear" w:color="auto" w:fill="CCFFCC"/>
          </w:tcPr>
          <w:p>
            <w:pPr>
              <w:ind w:left="20"/>
              <w:spacing w:after="0" w:line="206" w:lineRule="exact"/>
              <w:rPr>
                <w:sz w:val="20"/>
                <w:szCs w:val="20"/>
                <w:color w:val="auto"/>
              </w:rPr>
            </w:pPr>
            <w:r>
              <w:rPr>
                <w:rFonts w:ascii="Arial" w:cs="Arial" w:eastAsia="Arial" w:hAnsi="Arial"/>
                <w:sz w:val="18"/>
                <w:szCs w:val="18"/>
                <w:color w:val="auto"/>
                <w:w w:val="93"/>
              </w:rPr>
              <w:t>LandSource Holding Company,</w:t>
            </w:r>
          </w:p>
        </w:tc>
        <w:tc>
          <w:tcPr>
            <w:tcW w:w="4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20" w:type="dxa"/>
            <w:vAlign w:val="bottom"/>
            <w:shd w:val="clear" w:color="auto" w:fill="CCFFCC"/>
          </w:tcPr>
          <w:p>
            <w:pPr>
              <w:ind w:left="80"/>
              <w:spacing w:after="0" w:line="206" w:lineRule="exact"/>
              <w:rPr>
                <w:sz w:val="20"/>
                <w:szCs w:val="20"/>
                <w:color w:val="auto"/>
              </w:rPr>
            </w:pPr>
            <w:r>
              <w:rPr>
                <w:rFonts w:ascii="Arial" w:cs="Arial" w:eastAsia="Arial" w:hAnsi="Arial"/>
                <w:sz w:val="18"/>
                <w:szCs w:val="18"/>
                <w:color w:val="auto"/>
              </w:rPr>
              <w:t>Common</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340" w:type="dxa"/>
            <w:vAlign w:val="bottom"/>
            <w:gridSpan w:val="7"/>
            <w:shd w:val="clear" w:color="auto" w:fill="CCFFCC"/>
          </w:tcPr>
          <w:p>
            <w:pPr>
              <w:jc w:val="right"/>
              <w:spacing w:after="0" w:line="206" w:lineRule="exact"/>
              <w:rPr>
                <w:sz w:val="20"/>
                <w:szCs w:val="20"/>
                <w:color w:val="auto"/>
              </w:rPr>
            </w:pPr>
            <w:r>
              <w:rPr>
                <w:rFonts w:ascii="Arial" w:cs="Arial" w:eastAsia="Arial" w:hAnsi="Arial"/>
                <w:sz w:val="18"/>
                <w:szCs w:val="18"/>
                <w:color w:val="auto"/>
              </w:rPr>
              <w:t>390,426</w:t>
            </w: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gridSpan w:val="3"/>
            <w:shd w:val="clear" w:color="auto" w:fill="CCFFCC"/>
          </w:tcPr>
          <w:p>
            <w:pPr>
              <w:ind w:left="520"/>
              <w:spacing w:after="0" w:line="206" w:lineRule="exact"/>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gridSpan w:val="3"/>
            <w:shd w:val="clear" w:color="auto" w:fill="CCFFCC"/>
          </w:tcPr>
          <w:p>
            <w:pPr>
              <w:jc w:val="right"/>
              <w:ind w:right="60"/>
              <w:spacing w:after="0" w:line="206" w:lineRule="exact"/>
              <w:rPr>
                <w:sz w:val="20"/>
                <w:szCs w:val="20"/>
                <w:color w:val="auto"/>
              </w:rPr>
            </w:pPr>
            <w:r>
              <w:rPr>
                <w:rFonts w:ascii="Arial" w:cs="Arial" w:eastAsia="Arial" w:hAnsi="Arial"/>
                <w:sz w:val="18"/>
                <w:szCs w:val="18"/>
                <w:color w:val="auto"/>
              </w:rPr>
              <w:t>1,347,155</w:t>
            </w:r>
          </w:p>
        </w:tc>
        <w:tc>
          <w:tcPr>
            <w:tcW w:w="0" w:type="dxa"/>
            <w:vAlign w:val="bottom"/>
          </w:tcPr>
          <w:p>
            <w:pPr>
              <w:spacing w:after="0"/>
              <w:rPr>
                <w:sz w:val="1"/>
                <w:szCs w:val="1"/>
                <w:color w:val="auto"/>
              </w:rPr>
            </w:pPr>
          </w:p>
        </w:tc>
      </w:tr>
      <w:tr>
        <w:trPr>
          <w:trHeight w:val="267"/>
        </w:trPr>
        <w:tc>
          <w:tcPr>
            <w:tcW w:w="20" w:type="dxa"/>
            <w:vAlign w:val="bottom"/>
            <w:shd w:val="clear" w:color="auto" w:fill="CCFFCC"/>
          </w:tcPr>
          <w:p>
            <w:pPr>
              <w:spacing w:after="0"/>
              <w:rPr>
                <w:sz w:val="23"/>
                <w:szCs w:val="23"/>
                <w:color w:val="auto"/>
              </w:rPr>
            </w:pPr>
          </w:p>
        </w:tc>
        <w:tc>
          <w:tcPr>
            <w:tcW w:w="2360" w:type="dxa"/>
            <w:vAlign w:val="bottom"/>
            <w:gridSpan w:val="4"/>
            <w:shd w:val="clear" w:color="auto" w:fill="CCFFCC"/>
          </w:tcPr>
          <w:p>
            <w:pPr>
              <w:ind w:left="180"/>
              <w:spacing w:after="0" w:line="266" w:lineRule="exact"/>
              <w:rPr>
                <w:sz w:val="20"/>
                <w:szCs w:val="20"/>
                <w:color w:val="auto"/>
              </w:rPr>
            </w:pPr>
            <w:r>
              <w:rPr>
                <w:rFonts w:ascii="Arial" w:cs="Arial" w:eastAsia="Arial" w:hAnsi="Arial"/>
                <w:sz w:val="18"/>
                <w:szCs w:val="18"/>
                <w:color w:val="auto"/>
              </w:rPr>
              <w:t>LLC</w:t>
            </w:r>
            <w:r>
              <w:rPr>
                <w:rFonts w:ascii="Arial" w:cs="Arial" w:eastAsia="Arial" w:hAnsi="Arial"/>
                <w:sz w:val="30"/>
                <w:szCs w:val="30"/>
                <w:color w:val="auto"/>
                <w:vertAlign w:val="superscript"/>
              </w:rPr>
              <w:t>(2)</w:t>
            </w:r>
          </w:p>
        </w:tc>
        <w:tc>
          <w:tcPr>
            <w:tcW w:w="4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4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36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6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380" w:type="dxa"/>
            <w:vAlign w:val="bottom"/>
            <w:gridSpan w:val="5"/>
          </w:tcPr>
          <w:p>
            <w:pPr>
              <w:ind w:left="20"/>
              <w:spacing w:after="0" w:line="256" w:lineRule="exact"/>
              <w:rPr>
                <w:sz w:val="20"/>
                <w:szCs w:val="20"/>
                <w:color w:val="auto"/>
              </w:rPr>
            </w:pPr>
            <w:r>
              <w:rPr>
                <w:rFonts w:ascii="Arial" w:cs="Arial" w:eastAsia="Arial" w:hAnsi="Arial"/>
                <w:sz w:val="18"/>
                <w:szCs w:val="18"/>
                <w:color w:val="auto"/>
                <w:w w:val="92"/>
              </w:rPr>
              <w:t>Natural Products Group, Inc.</w:t>
            </w:r>
            <w:r>
              <w:rPr>
                <w:rFonts w:ascii="Arial" w:cs="Arial" w:eastAsia="Arial" w:hAnsi="Arial"/>
                <w:sz w:val="29"/>
                <w:szCs w:val="29"/>
                <w:color w:val="auto"/>
                <w:w w:val="92"/>
                <w:vertAlign w:val="superscript"/>
              </w:rPr>
              <w:t>(2)</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20" w:type="dxa"/>
            <w:vAlign w:val="bottom"/>
            <w:gridSpan w:val="7"/>
          </w:tcPr>
          <w:p>
            <w:pPr>
              <w:ind w:left="80"/>
              <w:spacing w:after="0"/>
              <w:rPr>
                <w:sz w:val="20"/>
                <w:szCs w:val="20"/>
                <w:color w:val="auto"/>
              </w:rPr>
            </w:pPr>
            <w:r>
              <w:rPr>
                <w:rFonts w:ascii="Arial" w:cs="Arial" w:eastAsia="Arial" w:hAnsi="Arial"/>
                <w:sz w:val="18"/>
                <w:szCs w:val="18"/>
                <w:color w:val="auto"/>
              </w:rPr>
              <w:t>Series A-1 Common Stock</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2,618</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170,157</w:t>
            </w:r>
          </w:p>
        </w:tc>
        <w:tc>
          <w:tcPr>
            <w:tcW w:w="0" w:type="dxa"/>
            <w:vAlign w:val="bottom"/>
          </w:tcPr>
          <w:p>
            <w:pPr>
              <w:spacing w:after="0"/>
              <w:rPr>
                <w:sz w:val="1"/>
                <w:szCs w:val="1"/>
                <w:color w:val="auto"/>
              </w:rPr>
            </w:pPr>
          </w:p>
        </w:tc>
      </w:tr>
      <w:tr>
        <w:trPr>
          <w:trHeight w:val="198"/>
        </w:trPr>
        <w:tc>
          <w:tcPr>
            <w:tcW w:w="2380" w:type="dxa"/>
            <w:vAlign w:val="bottom"/>
            <w:gridSpan w:val="5"/>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Total Investment in Equity</w:t>
            </w:r>
          </w:p>
        </w:tc>
        <w:tc>
          <w:tcPr>
            <w:tcW w:w="4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4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gridSpan w:val="3"/>
            <w:shd w:val="clear" w:color="auto" w:fill="CCFFCC"/>
          </w:tcPr>
          <w:p>
            <w:pPr>
              <w:ind w:left="520"/>
              <w:spacing w:after="0" w:line="198" w:lineRule="exact"/>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gridSpan w:val="3"/>
            <w:shd w:val="clear" w:color="auto" w:fill="CCFFCC"/>
          </w:tcPr>
          <w:p>
            <w:pPr>
              <w:jc w:val="right"/>
              <w:ind w:right="60"/>
              <w:spacing w:after="0" w:line="198" w:lineRule="exact"/>
              <w:rPr>
                <w:sz w:val="20"/>
                <w:szCs w:val="20"/>
                <w:color w:val="auto"/>
              </w:rPr>
            </w:pPr>
            <w:r>
              <w:rPr>
                <w:rFonts w:ascii="Arial" w:cs="Arial" w:eastAsia="Arial" w:hAnsi="Arial"/>
                <w:sz w:val="18"/>
                <w:szCs w:val="18"/>
                <w:color w:val="auto"/>
              </w:rPr>
              <w:t>1,528,067</w:t>
            </w:r>
          </w:p>
        </w:tc>
        <w:tc>
          <w:tcPr>
            <w:tcW w:w="0" w:type="dxa"/>
            <w:vAlign w:val="bottom"/>
          </w:tcPr>
          <w:p>
            <w:pPr>
              <w:spacing w:after="0"/>
              <w:rPr>
                <w:sz w:val="1"/>
                <w:szCs w:val="1"/>
                <w:color w:val="auto"/>
              </w:rPr>
            </w:pPr>
          </w:p>
        </w:tc>
      </w:tr>
      <w:tr>
        <w:trPr>
          <w:trHeight w:val="234"/>
        </w:trPr>
        <w:tc>
          <w:tcPr>
            <w:tcW w:w="20" w:type="dxa"/>
            <w:vAlign w:val="bottom"/>
            <w:shd w:val="clear" w:color="auto" w:fill="CCFFCC"/>
          </w:tcPr>
          <w:p>
            <w:pPr>
              <w:spacing w:after="0"/>
              <w:rPr>
                <w:sz w:val="20"/>
                <w:szCs w:val="20"/>
                <w:color w:val="auto"/>
              </w:rPr>
            </w:pPr>
          </w:p>
        </w:tc>
        <w:tc>
          <w:tcPr>
            <w:tcW w:w="2360" w:type="dxa"/>
            <w:vAlign w:val="bottom"/>
            <w:gridSpan w:val="4"/>
            <w:shd w:val="clear" w:color="auto" w:fill="CCFFCC"/>
          </w:tcPr>
          <w:p>
            <w:pPr>
              <w:ind w:left="180"/>
              <w:spacing w:after="0"/>
              <w:rPr>
                <w:sz w:val="20"/>
                <w:szCs w:val="20"/>
                <w:color w:val="auto"/>
              </w:rPr>
            </w:pPr>
            <w:r>
              <w:rPr>
                <w:rFonts w:ascii="Arial" w:cs="Arial" w:eastAsia="Arial" w:hAnsi="Arial"/>
                <w:sz w:val="18"/>
                <w:szCs w:val="18"/>
                <w:b w:val="1"/>
                <w:bCs w:val="1"/>
                <w:color w:val="auto"/>
              </w:rPr>
              <w:t>Securities</w:t>
            </w:r>
          </w:p>
        </w:tc>
        <w:tc>
          <w:tcPr>
            <w:tcW w:w="4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4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60" w:type="dxa"/>
            <w:vAlign w:val="bottom"/>
            <w:gridSpan w:val="4"/>
          </w:tcPr>
          <w:p>
            <w:pPr>
              <w:ind w:left="40"/>
              <w:spacing w:after="0"/>
              <w:rPr>
                <w:sz w:val="20"/>
                <w:szCs w:val="20"/>
                <w:color w:val="auto"/>
              </w:rPr>
            </w:pPr>
            <w:r>
              <w:rPr>
                <w:rFonts w:ascii="Arial" w:cs="Arial" w:eastAsia="Arial" w:hAnsi="Arial"/>
                <w:sz w:val="18"/>
                <w:szCs w:val="18"/>
                <w:b w:val="1"/>
                <w:bCs w:val="1"/>
                <w:color w:val="auto"/>
              </w:rPr>
              <w:t>CLO Securities Portfolio</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03"/>
        </w:trPr>
        <w:tc>
          <w:tcPr>
            <w:tcW w:w="2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CLO Investment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Principal</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80" w:type="dxa"/>
            <w:vAlign w:val="bottom"/>
            <w:gridSpan w:val="5"/>
            <w:shd w:val="clear" w:color="auto" w:fill="CCFFCC"/>
          </w:tcPr>
          <w:p>
            <w:pPr>
              <w:ind w:left="20"/>
              <w:spacing w:after="0" w:line="236" w:lineRule="exact"/>
              <w:rPr>
                <w:sz w:val="20"/>
                <w:szCs w:val="20"/>
                <w:color w:val="auto"/>
              </w:rPr>
            </w:pPr>
            <w:r>
              <w:rPr>
                <w:rFonts w:ascii="Arial" w:cs="Arial" w:eastAsia="Arial" w:hAnsi="Arial"/>
                <w:sz w:val="17"/>
                <w:szCs w:val="17"/>
                <w:color w:val="auto"/>
              </w:rPr>
              <w:t>Duane 2006-3A</w:t>
            </w:r>
            <w:r>
              <w:rPr>
                <w:rFonts w:ascii="Arial" w:cs="Arial" w:eastAsia="Arial" w:hAnsi="Arial"/>
                <w:sz w:val="27"/>
                <w:szCs w:val="27"/>
                <w:color w:val="auto"/>
                <w:vertAlign w:val="superscript"/>
              </w:rPr>
              <w:t>(1)</w:t>
            </w:r>
          </w:p>
        </w:tc>
        <w:tc>
          <w:tcPr>
            <w:tcW w:w="2000" w:type="dxa"/>
            <w:vAlign w:val="bottom"/>
            <w:gridSpan w:val="3"/>
            <w:shd w:val="clear" w:color="auto" w:fill="CCFFCC"/>
          </w:tcPr>
          <w:p>
            <w:pPr>
              <w:ind w:left="40"/>
              <w:spacing w:after="0"/>
              <w:rPr>
                <w:sz w:val="20"/>
                <w:szCs w:val="20"/>
                <w:color w:val="auto"/>
              </w:rPr>
            </w:pPr>
            <w:r>
              <w:rPr>
                <w:rFonts w:ascii="Arial" w:cs="Arial" w:eastAsia="Arial" w:hAnsi="Arial"/>
                <w:sz w:val="18"/>
                <w:szCs w:val="18"/>
                <w:color w:val="auto"/>
                <w:w w:val="98"/>
              </w:rPr>
              <w:t>Floating – 01/2021 – C –</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2,000,000</w:t>
            </w:r>
          </w:p>
        </w:tc>
        <w:tc>
          <w:tcPr>
            <w:tcW w:w="4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w w:val="97"/>
              </w:rPr>
              <w:t>1,473,125</w:t>
            </w:r>
          </w:p>
        </w:tc>
        <w:tc>
          <w:tcPr>
            <w:tcW w:w="160" w:type="dxa"/>
            <w:vAlign w:val="bottom"/>
            <w:shd w:val="clear" w:color="auto" w:fill="CCFFCC"/>
          </w:tcPr>
          <w:p>
            <w:pPr>
              <w:spacing w:after="0"/>
              <w:rPr>
                <w:sz w:val="20"/>
                <w:szCs w:val="20"/>
                <w:color w:val="auto"/>
              </w:rPr>
            </w:pPr>
          </w:p>
        </w:tc>
        <w:tc>
          <w:tcPr>
            <w:tcW w:w="14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1,900,106</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2360" w:type="dxa"/>
            <w:vAlign w:val="bottom"/>
            <w:gridSpan w:val="4"/>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2000" w:type="dxa"/>
            <w:vAlign w:val="bottom"/>
            <w:gridSpan w:val="3"/>
            <w:shd w:val="clear" w:color="auto" w:fill="CCFFCC"/>
          </w:tcPr>
          <w:p>
            <w:pPr>
              <w:ind w:left="40"/>
              <w:spacing w:after="0"/>
              <w:rPr>
                <w:sz w:val="20"/>
                <w:szCs w:val="20"/>
                <w:color w:val="auto"/>
              </w:rPr>
            </w:pPr>
            <w:r>
              <w:rPr>
                <w:rFonts w:ascii="Arial" w:cs="Arial" w:eastAsia="Arial" w:hAnsi="Arial"/>
                <w:sz w:val="18"/>
                <w:szCs w:val="18"/>
                <w:color w:val="auto"/>
              </w:rPr>
              <w:t>26358BAJ7</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380" w:type="dxa"/>
            <w:vAlign w:val="bottom"/>
            <w:gridSpan w:val="5"/>
          </w:tcPr>
          <w:p>
            <w:pPr>
              <w:ind w:left="20"/>
              <w:spacing w:after="0" w:line="242" w:lineRule="exact"/>
              <w:rPr>
                <w:sz w:val="20"/>
                <w:szCs w:val="20"/>
                <w:color w:val="auto"/>
              </w:rPr>
            </w:pPr>
            <w:r>
              <w:rPr>
                <w:rFonts w:ascii="Arial" w:cs="Arial" w:eastAsia="Arial" w:hAnsi="Arial"/>
                <w:sz w:val="17"/>
                <w:szCs w:val="17"/>
                <w:color w:val="auto"/>
              </w:rPr>
              <w:t>DUANE 2006-2A</w:t>
            </w:r>
            <w:r>
              <w:rPr>
                <w:rFonts w:ascii="Arial" w:cs="Arial" w:eastAsia="Arial" w:hAnsi="Arial"/>
                <w:sz w:val="28"/>
                <w:szCs w:val="28"/>
                <w:color w:val="auto"/>
                <w:vertAlign w:val="superscript"/>
              </w:rPr>
              <w:t>(1)</w:t>
            </w:r>
          </w:p>
        </w:tc>
        <w:tc>
          <w:tcPr>
            <w:tcW w:w="2000" w:type="dxa"/>
            <w:vAlign w:val="bottom"/>
            <w:gridSpan w:val="3"/>
          </w:tcPr>
          <w:p>
            <w:pPr>
              <w:ind w:left="40"/>
              <w:spacing w:after="0"/>
              <w:rPr>
                <w:sz w:val="20"/>
                <w:szCs w:val="20"/>
                <w:color w:val="auto"/>
              </w:rPr>
            </w:pPr>
            <w:r>
              <w:rPr>
                <w:rFonts w:ascii="Arial" w:cs="Arial" w:eastAsia="Arial" w:hAnsi="Arial"/>
                <w:sz w:val="18"/>
                <w:szCs w:val="18"/>
                <w:color w:val="auto"/>
                <w:w w:val="98"/>
              </w:rPr>
              <w:t>Floating – 08/2018 – C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4,000,000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3,392,110</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3,889,935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4"/>
          </w:tcPr>
          <w:p>
            <w:pPr>
              <w:ind w:left="180"/>
              <w:spacing w:after="0"/>
              <w:rPr>
                <w:sz w:val="20"/>
                <w:szCs w:val="20"/>
                <w:color w:val="auto"/>
              </w:rPr>
            </w:pPr>
            <w:r>
              <w:rPr>
                <w:rFonts w:ascii="Arial" w:cs="Arial" w:eastAsia="Arial" w:hAnsi="Arial"/>
                <w:sz w:val="18"/>
                <w:szCs w:val="18"/>
                <w:i w:val="1"/>
                <w:iCs w:val="1"/>
                <w:color w:val="auto"/>
              </w:rPr>
              <w:t>CLO Equity</w:t>
            </w:r>
          </w:p>
        </w:tc>
        <w:tc>
          <w:tcPr>
            <w:tcW w:w="2000" w:type="dxa"/>
            <w:vAlign w:val="bottom"/>
            <w:gridSpan w:val="3"/>
          </w:tcPr>
          <w:p>
            <w:pPr>
              <w:ind w:left="40"/>
              <w:spacing w:after="0"/>
              <w:rPr>
                <w:sz w:val="20"/>
                <w:szCs w:val="20"/>
                <w:color w:val="auto"/>
              </w:rPr>
            </w:pPr>
            <w:r>
              <w:rPr>
                <w:rFonts w:ascii="Arial" w:cs="Arial" w:eastAsia="Arial" w:hAnsi="Arial"/>
                <w:sz w:val="18"/>
                <w:szCs w:val="18"/>
                <w:color w:val="auto"/>
              </w:rPr>
              <w:t>26357XAD3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380" w:type="dxa"/>
            <w:vAlign w:val="bottom"/>
            <w:gridSpan w:val="5"/>
            <w:shd w:val="clear" w:color="auto" w:fill="CCFFCC"/>
          </w:tcPr>
          <w:p>
            <w:pPr>
              <w:ind w:left="20"/>
              <w:spacing w:after="0" w:line="242" w:lineRule="exact"/>
              <w:rPr>
                <w:sz w:val="20"/>
                <w:szCs w:val="20"/>
                <w:color w:val="auto"/>
              </w:rPr>
            </w:pPr>
            <w:r>
              <w:rPr>
                <w:rFonts w:ascii="Arial" w:cs="Arial" w:eastAsia="Arial" w:hAnsi="Arial"/>
                <w:sz w:val="17"/>
                <w:szCs w:val="17"/>
                <w:color w:val="auto"/>
              </w:rPr>
              <w:t xml:space="preserve">EAGLC 2006-1A </w:t>
            </w:r>
            <w:r>
              <w:rPr>
                <w:rFonts w:ascii="Arial" w:cs="Arial" w:eastAsia="Arial" w:hAnsi="Arial"/>
                <w:sz w:val="28"/>
                <w:szCs w:val="28"/>
                <w:color w:val="auto"/>
                <w:vertAlign w:val="superscript"/>
              </w:rPr>
              <w:t>(1)</w:t>
            </w:r>
          </w:p>
        </w:tc>
        <w:tc>
          <w:tcPr>
            <w:tcW w:w="2000" w:type="dxa"/>
            <w:vAlign w:val="bottom"/>
            <w:gridSpan w:val="3"/>
            <w:shd w:val="clear" w:color="auto" w:fill="CCFFCC"/>
          </w:tcPr>
          <w:p>
            <w:pPr>
              <w:ind w:left="40"/>
              <w:spacing w:after="0"/>
              <w:rPr>
                <w:sz w:val="20"/>
                <w:szCs w:val="20"/>
                <w:color w:val="auto"/>
              </w:rPr>
            </w:pPr>
            <w:r>
              <w:rPr>
                <w:rFonts w:ascii="Arial" w:cs="Arial" w:eastAsia="Arial" w:hAnsi="Arial"/>
                <w:sz w:val="18"/>
                <w:szCs w:val="18"/>
                <w:color w:val="auto"/>
                <w:w w:val="94"/>
              </w:rPr>
              <w:t>Floating – 02/2018 – A2 –</w:t>
            </w: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2,000,000</w:t>
            </w: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w w:val="97"/>
              </w:rPr>
              <w:t>1,666,794</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1,976,154</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2360" w:type="dxa"/>
            <w:vAlign w:val="bottom"/>
            <w:gridSpan w:val="4"/>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2000" w:type="dxa"/>
            <w:vAlign w:val="bottom"/>
            <w:gridSpan w:val="3"/>
            <w:vMerge w:val="restart"/>
            <w:shd w:val="clear" w:color="auto" w:fill="CCFFCC"/>
          </w:tcPr>
          <w:p>
            <w:pPr>
              <w:ind w:left="40"/>
              <w:spacing w:after="0"/>
              <w:rPr>
                <w:sz w:val="20"/>
                <w:szCs w:val="20"/>
                <w:color w:val="auto"/>
              </w:rPr>
            </w:pPr>
            <w:r>
              <w:rPr>
                <w:rFonts w:ascii="Arial" w:cs="Arial" w:eastAsia="Arial" w:hAnsi="Arial"/>
                <w:sz w:val="18"/>
                <w:szCs w:val="18"/>
                <w:color w:val="auto"/>
              </w:rPr>
              <w:t>269491AC0</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000" w:type="dxa"/>
            <w:vAlign w:val="bottom"/>
            <w:gridSpan w:val="3"/>
            <w:vMerge w:val="continue"/>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380" w:type="dxa"/>
            <w:vAlign w:val="bottom"/>
            <w:gridSpan w:val="5"/>
          </w:tcPr>
          <w:p>
            <w:pPr>
              <w:ind w:left="20"/>
              <w:spacing w:after="0" w:line="242" w:lineRule="exact"/>
              <w:rPr>
                <w:sz w:val="20"/>
                <w:szCs w:val="20"/>
                <w:color w:val="auto"/>
              </w:rPr>
            </w:pPr>
            <w:r>
              <w:rPr>
                <w:rFonts w:ascii="Arial" w:cs="Arial" w:eastAsia="Arial" w:hAnsi="Arial"/>
                <w:sz w:val="17"/>
                <w:szCs w:val="17"/>
                <w:color w:val="auto"/>
              </w:rPr>
              <w:t>FRASR 2006-2X</w:t>
            </w:r>
            <w:r>
              <w:rPr>
                <w:rFonts w:ascii="Arial" w:cs="Arial" w:eastAsia="Arial" w:hAnsi="Arial"/>
                <w:sz w:val="28"/>
                <w:szCs w:val="28"/>
                <w:color w:val="auto"/>
                <w:vertAlign w:val="superscript"/>
              </w:rPr>
              <w:t>(1)</w:t>
            </w:r>
          </w:p>
        </w:tc>
        <w:tc>
          <w:tcPr>
            <w:tcW w:w="2000" w:type="dxa"/>
            <w:vAlign w:val="bottom"/>
            <w:gridSpan w:val="3"/>
          </w:tcPr>
          <w:p>
            <w:pPr>
              <w:ind w:left="40"/>
              <w:spacing w:after="0"/>
              <w:rPr>
                <w:sz w:val="20"/>
                <w:szCs w:val="20"/>
                <w:color w:val="auto"/>
              </w:rPr>
            </w:pPr>
            <w:r>
              <w:rPr>
                <w:rFonts w:ascii="Arial" w:cs="Arial" w:eastAsia="Arial" w:hAnsi="Arial"/>
                <w:sz w:val="18"/>
                <w:szCs w:val="18"/>
                <w:color w:val="auto"/>
                <w:w w:val="98"/>
              </w:rPr>
              <w:t>Floating – 12/2020 – B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2,000,000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1,536,087</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1,877,249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4"/>
          </w:tcPr>
          <w:p>
            <w:pPr>
              <w:ind w:left="180"/>
              <w:spacing w:after="0"/>
              <w:rPr>
                <w:sz w:val="20"/>
                <w:szCs w:val="20"/>
                <w:color w:val="auto"/>
              </w:rPr>
            </w:pPr>
            <w:r>
              <w:rPr>
                <w:rFonts w:ascii="Arial" w:cs="Arial" w:eastAsia="Arial" w:hAnsi="Arial"/>
                <w:sz w:val="18"/>
                <w:szCs w:val="18"/>
                <w:i w:val="1"/>
                <w:iCs w:val="1"/>
                <w:color w:val="auto"/>
              </w:rPr>
              <w:t>CLO Equity</w:t>
            </w:r>
          </w:p>
        </w:tc>
        <w:tc>
          <w:tcPr>
            <w:tcW w:w="2000" w:type="dxa"/>
            <w:vAlign w:val="bottom"/>
            <w:gridSpan w:val="3"/>
          </w:tcPr>
          <w:p>
            <w:pPr>
              <w:ind w:left="40"/>
              <w:spacing w:after="0"/>
              <w:rPr>
                <w:sz w:val="20"/>
                <w:szCs w:val="20"/>
                <w:color w:val="auto"/>
              </w:rPr>
            </w:pPr>
            <w:r>
              <w:rPr>
                <w:rFonts w:ascii="Arial" w:cs="Arial" w:eastAsia="Arial" w:hAnsi="Arial"/>
                <w:sz w:val="18"/>
                <w:szCs w:val="18"/>
                <w:color w:val="auto"/>
              </w:rPr>
              <w:t>USG3661CAC40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380" w:type="dxa"/>
            <w:vAlign w:val="bottom"/>
            <w:gridSpan w:val="5"/>
            <w:shd w:val="clear" w:color="auto" w:fill="CCFFCC"/>
          </w:tcPr>
          <w:p>
            <w:pPr>
              <w:ind w:left="20"/>
              <w:spacing w:after="0" w:line="242" w:lineRule="exact"/>
              <w:rPr>
                <w:sz w:val="20"/>
                <w:szCs w:val="20"/>
                <w:color w:val="auto"/>
              </w:rPr>
            </w:pPr>
            <w:r>
              <w:rPr>
                <w:rFonts w:ascii="Arial" w:cs="Arial" w:eastAsia="Arial" w:hAnsi="Arial"/>
                <w:sz w:val="17"/>
                <w:szCs w:val="17"/>
                <w:color w:val="auto"/>
              </w:rPr>
              <w:t>HICDO 2007-6A</w:t>
            </w:r>
            <w:r>
              <w:rPr>
                <w:rFonts w:ascii="Arial" w:cs="Arial" w:eastAsia="Arial" w:hAnsi="Arial"/>
                <w:sz w:val="28"/>
                <w:szCs w:val="28"/>
                <w:color w:val="auto"/>
                <w:vertAlign w:val="superscript"/>
              </w:rPr>
              <w:t>(1)</w:t>
            </w:r>
          </w:p>
        </w:tc>
        <w:tc>
          <w:tcPr>
            <w:tcW w:w="2000" w:type="dxa"/>
            <w:vAlign w:val="bottom"/>
            <w:gridSpan w:val="3"/>
            <w:shd w:val="clear" w:color="auto" w:fill="CCFFCC"/>
          </w:tcPr>
          <w:p>
            <w:pPr>
              <w:ind w:left="40"/>
              <w:spacing w:after="0"/>
              <w:rPr>
                <w:sz w:val="20"/>
                <w:szCs w:val="20"/>
                <w:color w:val="auto"/>
              </w:rPr>
            </w:pPr>
            <w:r>
              <w:rPr>
                <w:rFonts w:ascii="Arial" w:cs="Arial" w:eastAsia="Arial" w:hAnsi="Arial"/>
                <w:sz w:val="18"/>
                <w:szCs w:val="18"/>
                <w:color w:val="auto"/>
                <w:w w:val="98"/>
              </w:rPr>
              <w:t>Floating – 06/2019 – B –</w:t>
            </w: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1,500,000</w:t>
            </w: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w w:val="97"/>
              </w:rPr>
              <w:t>1,209,867</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1,437,382</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2360" w:type="dxa"/>
            <w:vAlign w:val="bottom"/>
            <w:gridSpan w:val="4"/>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2000" w:type="dxa"/>
            <w:vAlign w:val="bottom"/>
            <w:gridSpan w:val="3"/>
            <w:shd w:val="clear" w:color="auto" w:fill="CCFFCC"/>
          </w:tcPr>
          <w:p>
            <w:pPr>
              <w:ind w:left="40"/>
              <w:spacing w:after="0"/>
              <w:rPr>
                <w:sz w:val="20"/>
                <w:szCs w:val="20"/>
                <w:color w:val="auto"/>
              </w:rPr>
            </w:pPr>
            <w:r>
              <w:rPr>
                <w:rFonts w:ascii="Arial" w:cs="Arial" w:eastAsia="Arial" w:hAnsi="Arial"/>
                <w:sz w:val="18"/>
                <w:szCs w:val="18"/>
                <w:color w:val="auto"/>
              </w:rPr>
              <w:t>42823CAC4</w:t>
            </w: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380" w:type="dxa"/>
            <w:vAlign w:val="bottom"/>
            <w:gridSpan w:val="5"/>
          </w:tcPr>
          <w:p>
            <w:pPr>
              <w:ind w:left="20"/>
              <w:spacing w:after="0" w:line="242" w:lineRule="exact"/>
              <w:rPr>
                <w:sz w:val="20"/>
                <w:szCs w:val="20"/>
                <w:color w:val="auto"/>
              </w:rPr>
            </w:pPr>
            <w:r>
              <w:rPr>
                <w:rFonts w:ascii="Arial" w:cs="Arial" w:eastAsia="Arial" w:hAnsi="Arial"/>
                <w:sz w:val="17"/>
                <w:szCs w:val="17"/>
                <w:color w:val="auto"/>
              </w:rPr>
              <w:t>HLMK 2006-1X</w:t>
            </w:r>
            <w:r>
              <w:rPr>
                <w:rFonts w:ascii="Arial" w:cs="Arial" w:eastAsia="Arial" w:hAnsi="Arial"/>
                <w:sz w:val="28"/>
                <w:szCs w:val="28"/>
                <w:color w:val="auto"/>
                <w:vertAlign w:val="superscript"/>
              </w:rPr>
              <w:t>(1)</w:t>
            </w:r>
          </w:p>
        </w:tc>
        <w:tc>
          <w:tcPr>
            <w:tcW w:w="2000" w:type="dxa"/>
            <w:vAlign w:val="bottom"/>
            <w:gridSpan w:val="3"/>
          </w:tcPr>
          <w:p>
            <w:pPr>
              <w:ind w:left="40"/>
              <w:spacing w:after="0"/>
              <w:rPr>
                <w:sz w:val="20"/>
                <w:szCs w:val="20"/>
                <w:color w:val="auto"/>
              </w:rPr>
            </w:pPr>
            <w:r>
              <w:rPr>
                <w:rFonts w:ascii="Arial" w:cs="Arial" w:eastAsia="Arial" w:hAnsi="Arial"/>
                <w:sz w:val="18"/>
                <w:szCs w:val="18"/>
                <w:color w:val="auto"/>
                <w:w w:val="94"/>
              </w:rPr>
              <w:t>Floating – 05/2021 – A2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2,000,000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1,539,763</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1,864,342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4"/>
          </w:tcPr>
          <w:p>
            <w:pPr>
              <w:ind w:left="180"/>
              <w:spacing w:after="0"/>
              <w:rPr>
                <w:sz w:val="20"/>
                <w:szCs w:val="20"/>
                <w:color w:val="auto"/>
              </w:rPr>
            </w:pPr>
            <w:r>
              <w:rPr>
                <w:rFonts w:ascii="Arial" w:cs="Arial" w:eastAsia="Arial" w:hAnsi="Arial"/>
                <w:sz w:val="18"/>
                <w:szCs w:val="18"/>
                <w:i w:val="1"/>
                <w:iCs w:val="1"/>
                <w:color w:val="auto"/>
              </w:rPr>
              <w:t>CLO Equity</w:t>
            </w:r>
          </w:p>
        </w:tc>
        <w:tc>
          <w:tcPr>
            <w:tcW w:w="2000" w:type="dxa"/>
            <w:vAlign w:val="bottom"/>
            <w:gridSpan w:val="3"/>
            <w:vMerge w:val="restart"/>
          </w:tcPr>
          <w:p>
            <w:pPr>
              <w:ind w:left="40"/>
              <w:spacing w:after="0"/>
              <w:rPr>
                <w:sz w:val="20"/>
                <w:szCs w:val="20"/>
                <w:color w:val="auto"/>
              </w:rPr>
            </w:pPr>
            <w:r>
              <w:rPr>
                <w:rFonts w:ascii="Arial" w:cs="Arial" w:eastAsia="Arial" w:hAnsi="Arial"/>
                <w:sz w:val="18"/>
                <w:szCs w:val="18"/>
                <w:color w:val="auto"/>
              </w:rPr>
              <w:t>USG4493LAB83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380" w:type="dxa"/>
            <w:vAlign w:val="bottom"/>
            <w:gridSpan w:val="5"/>
            <w:shd w:val="clear" w:color="auto" w:fill="CCFFCC"/>
          </w:tcPr>
          <w:p>
            <w:pPr>
              <w:ind w:left="20"/>
              <w:spacing w:after="0" w:line="242" w:lineRule="exact"/>
              <w:rPr>
                <w:sz w:val="20"/>
                <w:szCs w:val="20"/>
                <w:color w:val="auto"/>
              </w:rPr>
            </w:pPr>
            <w:r>
              <w:rPr>
                <w:rFonts w:ascii="Arial" w:cs="Arial" w:eastAsia="Arial" w:hAnsi="Arial"/>
                <w:sz w:val="17"/>
                <w:szCs w:val="17"/>
                <w:color w:val="auto"/>
              </w:rPr>
              <w:t>VENTR 2006-7A</w:t>
            </w:r>
            <w:r>
              <w:rPr>
                <w:rFonts w:ascii="Arial" w:cs="Arial" w:eastAsia="Arial" w:hAnsi="Arial"/>
                <w:sz w:val="28"/>
                <w:szCs w:val="28"/>
                <w:color w:val="auto"/>
                <w:vertAlign w:val="superscript"/>
              </w:rPr>
              <w:t>(1)</w:t>
            </w:r>
          </w:p>
        </w:tc>
        <w:tc>
          <w:tcPr>
            <w:tcW w:w="2000" w:type="dxa"/>
            <w:vAlign w:val="bottom"/>
            <w:gridSpan w:val="3"/>
            <w:shd w:val="clear" w:color="auto" w:fill="CCFFCC"/>
          </w:tcPr>
          <w:p>
            <w:pPr>
              <w:ind w:left="40"/>
              <w:spacing w:after="0"/>
              <w:rPr>
                <w:sz w:val="20"/>
                <w:szCs w:val="20"/>
                <w:color w:val="auto"/>
              </w:rPr>
            </w:pPr>
            <w:r>
              <w:rPr>
                <w:rFonts w:ascii="Arial" w:cs="Arial" w:eastAsia="Arial" w:hAnsi="Arial"/>
                <w:sz w:val="18"/>
                <w:szCs w:val="18"/>
                <w:color w:val="auto"/>
                <w:w w:val="98"/>
              </w:rPr>
              <w:t>Floating – 01/2022 – C –</w:t>
            </w:r>
          </w:p>
        </w:tc>
        <w:tc>
          <w:tcPr>
            <w:tcW w:w="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rPr>
              <w:t>2,000,000</w:t>
            </w: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gridSpan w:val="4"/>
            <w:shd w:val="clear" w:color="auto" w:fill="CCFFCC"/>
          </w:tcPr>
          <w:p>
            <w:pPr>
              <w:jc w:val="right"/>
              <w:ind w:right="80"/>
              <w:spacing w:after="0"/>
              <w:rPr>
                <w:sz w:val="20"/>
                <w:szCs w:val="20"/>
                <w:color w:val="auto"/>
              </w:rPr>
            </w:pPr>
            <w:r>
              <w:rPr>
                <w:rFonts w:ascii="Arial" w:cs="Arial" w:eastAsia="Arial" w:hAnsi="Arial"/>
                <w:sz w:val="18"/>
                <w:szCs w:val="18"/>
                <w:color w:val="auto"/>
                <w:w w:val="97"/>
              </w:rPr>
              <w:t>1,463,419</w:t>
            </w:r>
          </w:p>
        </w:tc>
        <w:tc>
          <w:tcPr>
            <w:tcW w:w="1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1,833,943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FFCC"/>
            </w:tcBorders>
            <w:shd w:val="clear" w:color="auto" w:fill="CCFFCC"/>
          </w:tcPr>
          <w:p>
            <w:pPr>
              <w:spacing w:after="0"/>
              <w:rPr>
                <w:sz w:val="20"/>
                <w:szCs w:val="20"/>
                <w:color w:val="auto"/>
              </w:rPr>
            </w:pPr>
          </w:p>
        </w:tc>
        <w:tc>
          <w:tcPr>
            <w:tcW w:w="2360" w:type="dxa"/>
            <w:vAlign w:val="bottom"/>
            <w:tcBorders>
              <w:bottom w:val="single" w:sz="8" w:color="CCFFCC"/>
            </w:tcBorders>
            <w:gridSpan w:val="4"/>
            <w:shd w:val="clear" w:color="auto" w:fill="CCFFCC"/>
          </w:tcPr>
          <w:p>
            <w:pPr>
              <w:ind w:left="180"/>
              <w:spacing w:after="0"/>
              <w:rPr>
                <w:sz w:val="20"/>
                <w:szCs w:val="20"/>
                <w:color w:val="auto"/>
              </w:rPr>
            </w:pPr>
            <w:r>
              <w:rPr>
                <w:rFonts w:ascii="Arial" w:cs="Arial" w:eastAsia="Arial" w:hAnsi="Arial"/>
                <w:sz w:val="18"/>
                <w:szCs w:val="18"/>
                <w:i w:val="1"/>
                <w:iCs w:val="1"/>
                <w:color w:val="auto"/>
              </w:rPr>
              <w:t>CLO Equity</w:t>
            </w:r>
          </w:p>
        </w:tc>
        <w:tc>
          <w:tcPr>
            <w:tcW w:w="20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8"/>
                <w:szCs w:val="18"/>
                <w:color w:val="auto"/>
              </w:rPr>
              <w:t>92328WAG6</w:t>
            </w:r>
          </w:p>
        </w:tc>
        <w:tc>
          <w:tcPr>
            <w:tcW w:w="1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38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360" w:type="dxa"/>
            <w:vAlign w:val="bottom"/>
            <w:tcBorders>
              <w:bottom w:val="single" w:sz="8" w:color="auto"/>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580" w:type="dxa"/>
            <w:vAlign w:val="bottom"/>
            <w:tcBorders>
              <w:bottom w:val="single" w:sz="8" w:color="auto"/>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4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80" w:type="dxa"/>
            <w:vAlign w:val="bottom"/>
            <w:gridSpan w:val="5"/>
          </w:tcPr>
          <w:p>
            <w:pPr>
              <w:ind w:left="20"/>
              <w:spacing w:after="0" w:line="191" w:lineRule="exact"/>
              <w:rPr>
                <w:sz w:val="20"/>
                <w:szCs w:val="20"/>
                <w:color w:val="auto"/>
              </w:rPr>
            </w:pPr>
            <w:r>
              <w:rPr>
                <w:rFonts w:ascii="Arial" w:cs="Arial" w:eastAsia="Arial" w:hAnsi="Arial"/>
                <w:sz w:val="18"/>
                <w:szCs w:val="18"/>
                <w:b w:val="1"/>
                <w:bCs w:val="1"/>
                <w:color w:val="auto"/>
              </w:rPr>
              <w:t>Total Investment in CLO</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4"/>
          </w:tcPr>
          <w:p>
            <w:pPr>
              <w:jc w:val="right"/>
              <w:ind w:right="20"/>
              <w:spacing w:after="0" w:line="191" w:lineRule="exact"/>
              <w:rPr>
                <w:sz w:val="20"/>
                <w:szCs w:val="20"/>
                <w:color w:val="auto"/>
              </w:rPr>
            </w:pPr>
            <w:r>
              <w:rPr>
                <w:rFonts w:ascii="Arial" w:cs="Arial" w:eastAsia="Arial" w:hAnsi="Arial"/>
                <w:sz w:val="18"/>
                <w:szCs w:val="18"/>
                <w:color w:val="auto"/>
                <w:w w:val="97"/>
              </w:rPr>
              <w:t>15,500,000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4"/>
          </w:tcPr>
          <w:p>
            <w:pPr>
              <w:jc w:val="right"/>
              <w:ind w:right="80"/>
              <w:spacing w:after="0" w:line="191" w:lineRule="exact"/>
              <w:rPr>
                <w:sz w:val="20"/>
                <w:szCs w:val="20"/>
                <w:color w:val="auto"/>
              </w:rPr>
            </w:pPr>
            <w:r>
              <w:rPr>
                <w:rFonts w:ascii="Arial" w:cs="Arial" w:eastAsia="Arial" w:hAnsi="Arial"/>
                <w:sz w:val="18"/>
                <w:szCs w:val="18"/>
                <w:color w:val="auto"/>
                <w:w w:val="86"/>
              </w:rPr>
              <w:t>12,281,165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60"/>
              <w:spacing w:after="0" w:line="191" w:lineRule="exact"/>
              <w:rPr>
                <w:sz w:val="20"/>
                <w:szCs w:val="20"/>
                <w:color w:val="auto"/>
              </w:rPr>
            </w:pPr>
            <w:r>
              <w:rPr>
                <w:rFonts w:ascii="Arial" w:cs="Arial" w:eastAsia="Arial" w:hAnsi="Arial"/>
                <w:sz w:val="18"/>
                <w:szCs w:val="18"/>
                <w:color w:val="auto"/>
              </w:rPr>
              <w:t>14,779,111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gridSpan w:val="4"/>
          </w:tcPr>
          <w:p>
            <w:pPr>
              <w:ind w:left="180"/>
              <w:spacing w:after="0"/>
              <w:rPr>
                <w:sz w:val="20"/>
                <w:szCs w:val="20"/>
                <w:color w:val="auto"/>
              </w:rPr>
            </w:pPr>
            <w:r>
              <w:rPr>
                <w:rFonts w:ascii="Arial" w:cs="Arial" w:eastAsia="Arial" w:hAnsi="Arial"/>
                <w:sz w:val="18"/>
                <w:szCs w:val="18"/>
                <w:b w:val="1"/>
                <w:bCs w:val="1"/>
                <w:color w:val="auto"/>
              </w:rPr>
              <w:t>Equity Securities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80" w:type="dxa"/>
            <w:vAlign w:val="bottom"/>
            <w:gridSpan w:val="5"/>
            <w:shd w:val="clear" w:color="auto" w:fill="CCFFCC"/>
          </w:tcPr>
          <w:p>
            <w:pPr>
              <w:ind w:left="20"/>
              <w:spacing w:after="0"/>
              <w:rPr>
                <w:sz w:val="20"/>
                <w:szCs w:val="20"/>
                <w:color w:val="auto"/>
              </w:rPr>
            </w:pPr>
            <w:r>
              <w:rPr>
                <w:rFonts w:ascii="Arial" w:cs="Arial" w:eastAsia="Arial" w:hAnsi="Arial"/>
                <w:sz w:val="18"/>
                <w:szCs w:val="18"/>
                <w:b w:val="1"/>
                <w:bCs w:val="1"/>
                <w:color w:val="auto"/>
              </w:rPr>
              <w:t>Total Investments</w:t>
            </w:r>
          </w:p>
        </w:tc>
        <w:tc>
          <w:tcPr>
            <w:tcW w:w="4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20" w:type="dxa"/>
            <w:vAlign w:val="bottom"/>
            <w:shd w:val="clear" w:color="auto" w:fill="CCFFCC"/>
          </w:tcPr>
          <w:p>
            <w:pPr>
              <w:spacing w:after="0"/>
              <w:rPr>
                <w:sz w:val="21"/>
                <w:szCs w:val="21"/>
                <w:color w:val="auto"/>
              </w:rPr>
            </w:pP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4"/>
            <w:shd w:val="clear" w:color="auto" w:fill="CCFFCC"/>
          </w:tcPr>
          <w:p>
            <w:pPr>
              <w:jc w:val="right"/>
              <w:ind w:right="20"/>
              <w:spacing w:after="0"/>
              <w:rPr>
                <w:sz w:val="20"/>
                <w:szCs w:val="20"/>
                <w:color w:val="auto"/>
              </w:rPr>
            </w:pPr>
            <w:r>
              <w:rPr>
                <w:rFonts w:ascii="Arial" w:cs="Arial" w:eastAsia="Arial" w:hAnsi="Arial"/>
                <w:sz w:val="18"/>
                <w:szCs w:val="18"/>
                <w:color w:val="auto"/>
                <w:w w:val="87"/>
              </w:rPr>
              <w:t>414,226,561</w:t>
            </w:r>
          </w:p>
        </w:tc>
        <w:tc>
          <w:tcPr>
            <w:tcW w:w="1300" w:type="dxa"/>
            <w:vAlign w:val="bottom"/>
            <w:gridSpan w:val="7"/>
            <w:shd w:val="clear" w:color="auto" w:fill="CCFFCC"/>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405,136,609</w:t>
            </w:r>
          </w:p>
        </w:tc>
        <w:tc>
          <w:tcPr>
            <w:tcW w:w="160" w:type="dxa"/>
            <w:vAlign w:val="bottom"/>
            <w:shd w:val="clear" w:color="auto" w:fill="CCFFCC"/>
          </w:tcPr>
          <w:p>
            <w:pPr>
              <w:spacing w:after="0"/>
              <w:rPr>
                <w:sz w:val="21"/>
                <w:szCs w:val="21"/>
                <w:color w:val="auto"/>
              </w:rPr>
            </w:pPr>
          </w:p>
        </w:tc>
        <w:tc>
          <w:tcPr>
            <w:tcW w:w="14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w w:val="95"/>
              </w:rPr>
              <w:t>408,698,814</w:t>
            </w:r>
          </w:p>
        </w:tc>
        <w:tc>
          <w:tcPr>
            <w:tcW w:w="0" w:type="dxa"/>
            <w:vAlign w:val="bottom"/>
          </w:tcPr>
          <w:p>
            <w:pPr>
              <w:spacing w:after="0"/>
              <w:rPr>
                <w:sz w:val="1"/>
                <w:szCs w:val="1"/>
                <w:color w:val="auto"/>
              </w:rPr>
            </w:pP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118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4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4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tcBorders>
              <w:top w:val="single" w:sz="8" w:color="CCFFCC"/>
            </w:tcBorders>
          </w:tcPr>
          <w:p>
            <w:pPr>
              <w:spacing w:after="0"/>
              <w:rPr>
                <w:sz w:val="22"/>
                <w:szCs w:val="22"/>
                <w:color w:val="auto"/>
              </w:rPr>
            </w:pPr>
          </w:p>
        </w:tc>
        <w:tc>
          <w:tcPr>
            <w:tcW w:w="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6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-642620</wp:posOffset>
            </wp:positionV>
            <wp:extent cx="5213985" cy="291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-3232785</wp:posOffset>
            </wp:positionV>
            <wp:extent cx="521398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Investment in a Collateralized Loan Obligation Fund</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Equity investment in common stock</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Loan on non-accrual status</w:t>
      </w:r>
    </w:p>
    <w:p>
      <w:pPr>
        <w:spacing w:after="0" w:line="117" w:lineRule="exact"/>
        <w:rPr>
          <w:rFonts w:ascii="Arial" w:cs="Arial" w:eastAsia="Arial" w:hAnsi="Arial"/>
          <w:sz w:val="18"/>
          <w:szCs w:val="18"/>
          <w:color w:val="auto"/>
        </w:rPr>
      </w:pPr>
    </w:p>
    <w:p>
      <w:pPr>
        <w:ind w:left="300" w:right="1199" w:hanging="272"/>
        <w:spacing w:after="0" w:line="277" w:lineRule="auto"/>
        <w:tabs>
          <w:tab w:leader="none" w:pos="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Buildings and real estate relate to real estate ownership, builders, managers and developers and excludes mortgage debt investments and mortgage lenders or originators.</w:t>
      </w: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accompanying notes to the financial statements.</w:t>
      </w:r>
    </w:p>
    <w:p>
      <w:pPr>
        <w:spacing w:after="0" w:line="200" w:lineRule="exact"/>
        <w:rPr>
          <w:sz w:val="20"/>
          <w:szCs w:val="20"/>
          <w:color w:val="auto"/>
        </w:rPr>
      </w:pPr>
    </w:p>
    <w:p>
      <w:pPr>
        <w:spacing w:after="0" w:line="37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40" w:right="579" w:firstLine="270"/>
        <w:spacing w:after="0" w:line="286" w:lineRule="auto"/>
        <w:rPr>
          <w:sz w:val="20"/>
          <w:szCs w:val="20"/>
          <w:color w:val="auto"/>
        </w:rPr>
      </w:pPr>
      <w:r>
        <w:rPr>
          <w:rFonts w:ascii="Arial" w:cs="Arial" w:eastAsia="Arial" w:hAnsi="Arial"/>
          <w:sz w:val="17"/>
          <w:szCs w:val="17"/>
          <w:color w:val="auto"/>
        </w:rPr>
        <w:t>Katonah X CLO LTD. (the “Fund”) is an exempted company incorporated in September 7, 2006 with limited liability under the laws of the Cayman Islands for the sole purpose of investing in broadly syndicated loans, high-yield bonds and other credit instruments. The Fund is what is commonly known as a collateralized loan obligation fund (“CLO Fund”).</w:t>
      </w:r>
    </w:p>
    <w:p>
      <w:pPr>
        <w:spacing w:after="0" w:line="57" w:lineRule="exact"/>
        <w:rPr>
          <w:sz w:val="20"/>
          <w:szCs w:val="20"/>
          <w:color w:val="auto"/>
        </w:rPr>
      </w:pPr>
    </w:p>
    <w:p>
      <w:pPr>
        <w:ind w:left="40" w:right="579" w:firstLine="270"/>
        <w:spacing w:after="0" w:line="257" w:lineRule="auto"/>
        <w:rPr>
          <w:sz w:val="20"/>
          <w:szCs w:val="20"/>
          <w:color w:val="auto"/>
        </w:rPr>
      </w:pPr>
      <w:r>
        <w:rPr>
          <w:rFonts w:ascii="Arial" w:cs="Arial" w:eastAsia="Arial" w:hAnsi="Arial"/>
          <w:sz w:val="18"/>
          <w:szCs w:val="18"/>
          <w:color w:val="auto"/>
        </w:rPr>
        <w:t>A CLO Fund generally refers to a special purpose vehicle that owns a portfolio of investments and issues various tranches of debt and subordinated note securities to finance the purchase of those investments. Investments purchased by a CLO Fund are governed by extensive investment guidelines, including limits on exposure to any single industry or issuer and limits on the ratings of the CLO Fund’s assets. A CLO Fund has a defined investment period during which it is allowed to make investments or reinvest capital as it becomes available.</w:t>
      </w:r>
    </w:p>
    <w:p>
      <w:pPr>
        <w:spacing w:after="0" w:line="80"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A CLO Fund typically issues multiple tranches of debt and subordinated note securities with varying ratings and levels of subordination to finance the purchase of their underlying investments. Interest and principal payments (net of designated CLO Fund expenses) from the CLO Fund are paid to each issued security in accordance with an agreed upon priority of payments, commonly referred to as the “waterfall.” The most senior notes, generally rated AAA/Aaa, commonly represent the majority of the total liabilities of the CLO Fund. AAA/Aaa notes are issued at a specified spread over LIBOR and normally have the first claim on the earnings on the CLO Fund’s investments after payment of certain fees and expenses. Lower subordinated “mezzanine” tranches of rated notes generally have ratings ranging from AA/Aa to BB/Ba and are usually issued at a specified spread over LIBOR with higher spreads paid on the tranches with lower ratings. Each tranche is typically only entitled to a share of the earnings on the CLO Fund’s investments if the required interest and principal payments have been made on the more senior tranches in the waterfall. The most junior tranche can take the form of either subordinated notes or preferred shares. The subordinated notes or preferred shares generally do not have a stated coupon but are entitled to residual cash flows from the CLO Fund’s investments after all of the other tranches of notes and certain other fees and expenses are paid.</w:t>
      </w:r>
    </w:p>
    <w:p>
      <w:pPr>
        <w:spacing w:after="0" w:line="72" w:lineRule="exact"/>
        <w:rPr>
          <w:sz w:val="20"/>
          <w:szCs w:val="20"/>
          <w:color w:val="auto"/>
        </w:rPr>
      </w:pPr>
    </w:p>
    <w:p>
      <w:pPr>
        <w:ind w:left="40" w:right="619" w:firstLine="270"/>
        <w:spacing w:after="0" w:line="271" w:lineRule="auto"/>
        <w:rPr>
          <w:sz w:val="20"/>
          <w:szCs w:val="20"/>
          <w:color w:val="auto"/>
        </w:rPr>
      </w:pPr>
      <w:r>
        <w:rPr>
          <w:rFonts w:ascii="Arial" w:cs="Arial" w:eastAsia="Arial" w:hAnsi="Arial"/>
          <w:sz w:val="17"/>
          <w:szCs w:val="17"/>
          <w:color w:val="auto"/>
        </w:rPr>
        <w:t>On May 15, 2007, the Fund issued $500.0 million of notes or debt securities, consisting of the Class A-1a Floating Rate Notes, the Class A-1b Floating Rate Notes, the Class A-2a Floating Rate Notes, the Class A-2b Floating Rate Notes, the Class B Floating Rate Notes, the Class C Floating Rate Notes, the Class D Floating Rate Notes, the Class E Floating Rate Notes and the Subordinated Securities. The notes were issued pursuant to an indenture, dated May 15, 2007 (the “Indenture”), with U.S. Bank National Association servicing as the trustee thereunder. KCAP Financial, Inc. (“KCAP Financial”) owns 12,500,000 of the subordinated securities of Katonah X CLO LTD. The Fund’s defined investment period ended on May 27, 2013. Following the defined investment period, proceeds from principal payments in the investment portfolio of the Fund will be used to pay down its outstanding notes, starting with Class A notes.</w:t>
      </w:r>
    </w:p>
    <w:p>
      <w:pPr>
        <w:spacing w:after="0" w:line="71" w:lineRule="exact"/>
        <w:rPr>
          <w:sz w:val="20"/>
          <w:szCs w:val="20"/>
          <w:color w:val="auto"/>
        </w:rPr>
      </w:pPr>
    </w:p>
    <w:p>
      <w:pPr>
        <w:ind w:left="40" w:right="539" w:firstLine="270"/>
        <w:spacing w:after="0" w:line="257" w:lineRule="auto"/>
        <w:rPr>
          <w:sz w:val="20"/>
          <w:szCs w:val="20"/>
          <w:color w:val="auto"/>
        </w:rPr>
      </w:pPr>
      <w:r>
        <w:rPr>
          <w:rFonts w:ascii="Arial" w:cs="Arial" w:eastAsia="Arial" w:hAnsi="Arial"/>
          <w:sz w:val="18"/>
          <w:szCs w:val="18"/>
          <w:color w:val="auto"/>
        </w:rPr>
        <w:t>Pursuant to a collateral management agreement (the “Collateral Management Agreement”), Katonah Debt Advisors, L.L.C. (the “Manager”), which is a wholly-owned portfolio company of KCAP Financial, provides investment management services to the Fund, and makes day-to-day investment decisions concerning the assets of the Fund. The Manager also performs certain administrative services on behalf of the Fund under the Collateral Management Agreement. The Manager is a registered investment adviser under the Investment Advisers Act of 1940.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Accounting and Combination</w:t>
      </w:r>
    </w:p>
    <w:p>
      <w:pPr>
        <w:spacing w:after="0" w:line="121" w:lineRule="exact"/>
        <w:rPr>
          <w:sz w:val="20"/>
          <w:szCs w:val="20"/>
          <w:color w:val="auto"/>
        </w:rPr>
      </w:pPr>
    </w:p>
    <w:p>
      <w:pPr>
        <w:ind w:left="40" w:right="939" w:firstLine="270"/>
        <w:spacing w:after="0" w:line="257" w:lineRule="auto"/>
        <w:rPr>
          <w:sz w:val="20"/>
          <w:szCs w:val="20"/>
          <w:color w:val="auto"/>
        </w:rPr>
      </w:pPr>
      <w:r>
        <w:rPr>
          <w:rFonts w:ascii="Arial" w:cs="Arial" w:eastAsia="Arial" w:hAnsi="Arial"/>
          <w:sz w:val="18"/>
          <w:szCs w:val="18"/>
          <w:color w:val="auto"/>
        </w:rPr>
        <w:t>The financial statements of the Fund have been prepared in accordance with U.S. generally accepted accounting principles (“U.S. GAAP”). In the opinion of the Manager’s management, the financial statements of the Fund reflect all adjustments, consisting of normal recurring accruals, which are necessary for the fair presentation of the financial condition and results of operations for the periods presented. Furthermore, the preparation of the financial statements requires management to make significant estimates and assumptions</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including the fair value of investments that do not have a readily available market value. Actual results could differ from those estimates, and the differences could be material.</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of the investments held and notes issued by the Fund are presented at fair value in the Fund’s Statement of Net Assets.</w:t>
      </w:r>
    </w:p>
    <w:p>
      <w:pPr>
        <w:spacing w:after="0" w:line="140" w:lineRule="exact"/>
        <w:rPr>
          <w:sz w:val="20"/>
          <w:szCs w:val="20"/>
          <w:color w:val="auto"/>
        </w:rPr>
      </w:pPr>
    </w:p>
    <w:p>
      <w:pPr>
        <w:ind w:left="40" w:right="539" w:firstLine="270"/>
        <w:spacing w:after="0" w:line="259" w:lineRule="auto"/>
        <w:rPr>
          <w:sz w:val="20"/>
          <w:szCs w:val="20"/>
          <w:color w:val="auto"/>
        </w:rPr>
      </w:pPr>
      <w:r>
        <w:rPr>
          <w:rFonts w:ascii="Arial" w:cs="Arial" w:eastAsia="Arial" w:hAnsi="Arial"/>
          <w:sz w:val="18"/>
          <w:szCs w:val="18"/>
          <w:i w:val="1"/>
          <w:iCs w:val="1"/>
          <w:color w:val="auto"/>
        </w:rPr>
        <w:t>Investments of the Fund at Fair Value</w:t>
      </w:r>
      <w:r>
        <w:rPr>
          <w:rFonts w:ascii="Arial" w:cs="Arial" w:eastAsia="Arial" w:hAnsi="Arial"/>
          <w:sz w:val="18"/>
          <w:szCs w:val="18"/>
          <w:color w:val="auto"/>
        </w:rPr>
        <w:t>. Investment transactions are recorded on the applicable trade date. Realized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are determined using the specific identification method. Investments held by the Fund are stated at fair value. ASC 820-10, Fair Value Measurements and Disclosures (“ASC 820-10”), requires among other things, disclosures about assets and liabilities that are measured and reported at fair value.</w:t>
      </w:r>
    </w:p>
    <w:p>
      <w:pPr>
        <w:spacing w:after="0" w:line="79" w:lineRule="exact"/>
        <w:rPr>
          <w:sz w:val="20"/>
          <w:szCs w:val="20"/>
          <w:color w:val="auto"/>
        </w:rPr>
      </w:pPr>
    </w:p>
    <w:p>
      <w:pPr>
        <w:ind w:left="40" w:right="559" w:firstLine="270"/>
        <w:spacing w:after="0" w:line="272" w:lineRule="auto"/>
        <w:rPr>
          <w:sz w:val="20"/>
          <w:szCs w:val="20"/>
          <w:color w:val="auto"/>
        </w:rPr>
      </w:pPr>
      <w:r>
        <w:rPr>
          <w:rFonts w:ascii="Arial" w:cs="Arial" w:eastAsia="Arial" w:hAnsi="Arial"/>
          <w:sz w:val="17"/>
          <w:szCs w:val="17"/>
          <w:i w:val="1"/>
          <w:iCs w:val="1"/>
          <w:color w:val="auto"/>
        </w:rPr>
        <w:t>Hierarchy of Fair Value Inputs</w:t>
      </w:r>
      <w:r>
        <w:rPr>
          <w:rFonts w:ascii="Arial" w:cs="Arial" w:eastAsia="Arial" w:hAnsi="Arial"/>
          <w:sz w:val="17"/>
          <w:szCs w:val="17"/>
          <w:color w:val="auto"/>
        </w:rPr>
        <w:t>. The provisions of ASC 820-10 establish a hierarchy that prioritizes inputs to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used to measure fair value and require companies to disclose the fair value of their financial instruments according to the fair value hierarchy (i.e., Level 1, 2 and 3 inputs, as defined). The fair value hierarchy gives the highest priority to quoted prices (unadjusted) in active markets for identical assets or liabilities and the lowest priority to unobservable inputs. Additionally, companies are required to provide additional disclosure regarding instruments in the Level 3 category (which have inputs to the valuation techniques that are unobservable and require significant management judgment), including a reconciliation of the beginning and ending balances separately for each major category of assets and liabilities.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Assets and liabilities measured and reported at fair value are classified and disclosed in one of the following categories: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1 Inputs: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Quoted prices (unadjusted) in active markets for identical assets or liabilities at the reporting date.</w:t>
      </w:r>
    </w:p>
    <w:p>
      <w:pPr>
        <w:spacing w:after="0" w:line="117" w:lineRule="exact"/>
        <w:rPr>
          <w:sz w:val="20"/>
          <w:szCs w:val="20"/>
          <w:color w:val="auto"/>
        </w:rPr>
      </w:pPr>
    </w:p>
    <w:p>
      <w:pPr>
        <w:ind w:left="600" w:right="539" w:hanging="322"/>
        <w:spacing w:after="0" w:line="312" w:lineRule="auto"/>
        <w:tabs>
          <w:tab w:leader="none" w:pos="6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Level 1 assets may include listed mutual funds (including those accounted for under the equity method of accounting as these mutual funds are investment companies, that have publicly available net asset values which in accordance with GAAP are calculated under fair value measures and are equal to the earnings of such funds), ETFs, equities and certain derivatives.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2 Inputs:</w:t>
      </w:r>
    </w:p>
    <w:p>
      <w:pPr>
        <w:spacing w:after="0" w:line="117" w:lineRule="exact"/>
        <w:rPr>
          <w:sz w:val="20"/>
          <w:szCs w:val="20"/>
          <w:color w:val="auto"/>
        </w:rPr>
      </w:pPr>
    </w:p>
    <w:p>
      <w:pPr>
        <w:ind w:left="320" w:right="599"/>
        <w:spacing w:after="0" w:line="259" w:lineRule="auto"/>
        <w:rPr>
          <w:sz w:val="20"/>
          <w:szCs w:val="20"/>
          <w:color w:val="auto"/>
        </w:rPr>
      </w:pPr>
      <w:r>
        <w:rPr>
          <w:rFonts w:ascii="Arial" w:cs="Arial" w:eastAsia="Arial" w:hAnsi="Arial"/>
          <w:sz w:val="18"/>
          <w:szCs w:val="18"/>
          <w:color w:val="auto"/>
        </w:rPr>
        <w:t>Quoted prices for similar assets or liabilities in active markets; quoted prices for identical or similar assets or liabilities that are not active; quotes from pricing services or brokers, for which the Manager can determine that orderly transactions took place at the quoted price or that the inputs used to arrive at the price were observable; and inputs other than quoted prices that are observable, such as models or other valuation methodologies.</w:t>
      </w:r>
    </w:p>
    <w:p>
      <w:pPr>
        <w:spacing w:after="0" w:line="79" w:lineRule="exact"/>
        <w:rPr>
          <w:sz w:val="20"/>
          <w:szCs w:val="20"/>
          <w:color w:val="auto"/>
        </w:rPr>
      </w:pPr>
    </w:p>
    <w:p>
      <w:pPr>
        <w:ind w:left="600" w:right="859" w:hanging="322"/>
        <w:spacing w:after="0" w:line="259"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Level 2 assets in this category may include debt securities, bank loans, short-term floating rate notes and asset-backed securities, restricted public securities valued at a discount, as well as over the counter derivatives, including interest and inflation rate swaps and foreign currency exchange contracts that have inputs to the valuations that generally can be corroborated by observable market data.</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SIGNIFICANT ACCOUNTING POLICIES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Level 3 Inputs:</w:t>
      </w:r>
    </w:p>
    <w:p>
      <w:pPr>
        <w:spacing w:after="0" w:line="117" w:lineRule="exact"/>
        <w:rPr>
          <w:sz w:val="20"/>
          <w:szCs w:val="20"/>
          <w:color w:val="auto"/>
        </w:rPr>
      </w:pPr>
    </w:p>
    <w:p>
      <w:pPr>
        <w:ind w:left="320" w:right="739"/>
        <w:spacing w:after="0" w:line="264" w:lineRule="auto"/>
        <w:rPr>
          <w:sz w:val="20"/>
          <w:szCs w:val="20"/>
          <w:color w:val="auto"/>
        </w:rPr>
      </w:pPr>
      <w:r>
        <w:rPr>
          <w:rFonts w:ascii="Arial" w:cs="Arial" w:eastAsia="Arial" w:hAnsi="Arial"/>
          <w:sz w:val="18"/>
          <w:szCs w:val="18"/>
          <w:color w:val="auto"/>
        </w:rPr>
        <w:t>Unobservable inputs for the valuation of the asset or liability, which may include non-binding broker quotes. Level 3 assets include investments for which there is little, if any, market activity. These inputs require significant management judgment or estimation.</w:t>
      </w:r>
    </w:p>
    <w:p>
      <w:pPr>
        <w:spacing w:after="0" w:line="73" w:lineRule="exact"/>
        <w:rPr>
          <w:sz w:val="20"/>
          <w:szCs w:val="20"/>
          <w:color w:val="auto"/>
        </w:rPr>
      </w:pPr>
    </w:p>
    <w:p>
      <w:pPr>
        <w:ind w:left="600" w:right="559" w:hanging="322"/>
        <w:spacing w:after="0" w:line="312" w:lineRule="auto"/>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Level 3 assets in this category may include general and limited partnership interests in private equity funds, funds of private equity funds, real estate funds, hedge funds, and funds of hedge funds, direct private equity investments held within consolidated funds, bank loans, bonds issued by CLO Funds and certain held for sale real estate disposal assets.</w:t>
      </w:r>
    </w:p>
    <w:p>
      <w:pPr>
        <w:spacing w:after="0" w:line="38" w:lineRule="exact"/>
        <w:rPr>
          <w:rFonts w:ascii="Arial" w:cs="Arial" w:eastAsia="Arial" w:hAnsi="Arial"/>
          <w:sz w:val="16"/>
          <w:szCs w:val="16"/>
          <w:color w:val="auto"/>
        </w:rPr>
      </w:pPr>
    </w:p>
    <w:p>
      <w:pPr>
        <w:ind w:left="600" w:right="619" w:hanging="322"/>
        <w:spacing w:after="0" w:line="308" w:lineRule="auto"/>
        <w:tabs>
          <w:tab w:leader="none" w:pos="6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Level 3 liabilities included in this category include borrowings of consolidated collateralized loan obligations valued based upon non-binding broker quotes or discounted cash flow model based on a discount margin calculation.</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Significance of Inputs:</w:t>
      </w:r>
    </w:p>
    <w:p>
      <w:pPr>
        <w:spacing w:after="0" w:line="117" w:lineRule="exact"/>
        <w:rPr>
          <w:sz w:val="20"/>
          <w:szCs w:val="20"/>
          <w:color w:val="auto"/>
        </w:rPr>
      </w:pPr>
    </w:p>
    <w:p>
      <w:pPr>
        <w:ind w:left="320" w:right="1179"/>
        <w:spacing w:after="0" w:line="277" w:lineRule="auto"/>
        <w:rPr>
          <w:sz w:val="20"/>
          <w:szCs w:val="20"/>
          <w:color w:val="auto"/>
        </w:rPr>
      </w:pPr>
      <w:r>
        <w:rPr>
          <w:rFonts w:ascii="Arial" w:cs="Arial" w:eastAsia="Arial" w:hAnsi="Arial"/>
          <w:sz w:val="18"/>
          <w:szCs w:val="18"/>
          <w:color w:val="auto"/>
        </w:rPr>
        <w:t>The Manager’s assessment of the significance of a particular input to the fair value measurement in its entirety requires judgment and considers factors specific to the financial instrument.</w:t>
      </w:r>
    </w:p>
    <w:p>
      <w:pPr>
        <w:spacing w:after="0" w:line="62"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i w:val="1"/>
          <w:iCs w:val="1"/>
          <w:color w:val="auto"/>
        </w:rPr>
        <w:t>Valuation of Portfolio Investments</w:t>
      </w:r>
      <w:r>
        <w:rPr>
          <w:rFonts w:ascii="Arial" w:cs="Arial" w:eastAsia="Arial" w:hAnsi="Arial"/>
          <w:sz w:val="16"/>
          <w:szCs w:val="16"/>
          <w:color w:val="auto"/>
        </w:rPr>
        <w:t>. Debt and equity securities for which market quotations are readily available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valued at such market quotations. Debt and equity securities that are not publicly traded or whose market price is not readily available are valued based on detailed analyses prepared by management, and, in certain circumstances, may utilize third parties with valuation expertise. The Manager follows the provisions of ASC 820-10 with respect to preparing the Fund’s financial statements. This standard defines fair value, establishes a framework for measuring fair value, and expands disclosures about assets and liabilities measured at fair value. ASC 820-10 defines “fair value” as the price that would be received to sell an asset or paid to transfer a liability in an orderly transaction between market participants at the measurement date. Subsequent to the adoption of ASC 820-10, the FASB has issued various staff positions clarifying the initial standard as noted below.</w:t>
      </w:r>
    </w:p>
    <w:p>
      <w:pPr>
        <w:spacing w:after="0" w:line="58" w:lineRule="exact"/>
        <w:rPr>
          <w:sz w:val="20"/>
          <w:szCs w:val="20"/>
          <w:color w:val="auto"/>
        </w:rPr>
      </w:pPr>
    </w:p>
    <w:p>
      <w:pPr>
        <w:ind w:left="40" w:right="619" w:firstLine="270"/>
        <w:spacing w:after="0" w:line="286" w:lineRule="auto"/>
        <w:rPr>
          <w:sz w:val="20"/>
          <w:szCs w:val="20"/>
          <w:color w:val="auto"/>
        </w:rPr>
      </w:pPr>
      <w:r>
        <w:rPr>
          <w:rFonts w:ascii="Arial" w:cs="Arial" w:eastAsia="Arial" w:hAnsi="Arial"/>
          <w:sz w:val="17"/>
          <w:szCs w:val="17"/>
          <w:color w:val="auto"/>
        </w:rPr>
        <w:t>In January 2010, the FASB issued guidance that clarifies and requires new disclosures about fair value measurements. The clarifications and requirement to disclose the amounts and reasons for significant transfers between Level 1 and Level 2, as well as significant transfers in and out of Level 3 of the fair value hierarchy, were adopted by the Fund in 2010.</w:t>
      </w:r>
    </w:p>
    <w:p>
      <w:pPr>
        <w:spacing w:after="0" w:line="57" w:lineRule="exact"/>
        <w:rPr>
          <w:sz w:val="20"/>
          <w:szCs w:val="20"/>
          <w:color w:val="auto"/>
        </w:rPr>
      </w:pPr>
    </w:p>
    <w:p>
      <w:pPr>
        <w:ind w:left="40" w:right="759" w:firstLine="270"/>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of the inputs and valuation techniques used to measure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a discussion of changes in valuation techniques and related inputs, if any, during the period.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Manager’s valuation methodology and procedures for investments held by the Fund are generally as follows:</w:t>
      </w:r>
    </w:p>
    <w:p>
      <w:pPr>
        <w:spacing w:after="0" w:line="117" w:lineRule="exact"/>
        <w:rPr>
          <w:sz w:val="20"/>
          <w:szCs w:val="20"/>
          <w:color w:val="auto"/>
        </w:rPr>
      </w:pPr>
    </w:p>
    <w:p>
      <w:pPr>
        <w:ind w:left="540" w:right="699" w:hanging="262"/>
        <w:spacing w:after="0" w:line="27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any asset which is also held by KCAP Financial on the applicable date, the KCAP Financial fair value mark as of such applicable date is used.</w:t>
      </w:r>
    </w:p>
    <w:p>
      <w:pPr>
        <w:spacing w:after="0" w:line="62" w:lineRule="exact"/>
        <w:rPr>
          <w:rFonts w:ascii="Arial" w:cs="Arial" w:eastAsia="Arial" w:hAnsi="Arial"/>
          <w:sz w:val="18"/>
          <w:szCs w:val="18"/>
          <w:color w:val="auto"/>
        </w:rPr>
      </w:pPr>
    </w:p>
    <w:p>
      <w:pPr>
        <w:ind w:left="540" w:right="599" w:hanging="262"/>
        <w:spacing w:after="0" w:line="297"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the Manager’s management within the framework of ASC 820-10.</w:t>
      </w: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220" w:hanging="172"/>
        <w:spacing w:after="0"/>
        <w:tabs>
          <w:tab w:leader="none" w:pos="2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 (continued)</w:t>
      </w:r>
    </w:p>
    <w:p>
      <w:pPr>
        <w:spacing w:after="0" w:line="121" w:lineRule="exact"/>
        <w:rPr>
          <w:rFonts w:ascii="Arial" w:cs="Arial" w:eastAsia="Arial" w:hAnsi="Arial"/>
          <w:sz w:val="18"/>
          <w:szCs w:val="18"/>
          <w:b w:val="1"/>
          <w:bCs w:val="1"/>
          <w:color w:val="auto"/>
        </w:rPr>
      </w:pPr>
    </w:p>
    <w:p>
      <w:pPr>
        <w:ind w:left="540" w:right="519" w:hanging="262"/>
        <w:spacing w:after="0" w:line="287" w:lineRule="auto"/>
        <w:tabs>
          <w:tab w:leader="none" w:pos="5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an investment does not have a market quotation on either a broad market exchange or from an independent pricing service, the investment is initially valued by the Manager’s investment professionals responsible for the portfolio investment in conjunction with the portfolio management team. Generally, such fair values are determined by reference to public market or private transactions or valuations for comparable companies or assets in the relevant asset class and 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60" w:lineRule="exact"/>
        <w:rPr>
          <w:rFonts w:ascii="Arial" w:cs="Arial" w:eastAsia="Arial" w:hAnsi="Arial"/>
          <w:sz w:val="16"/>
          <w:szCs w:val="16"/>
          <w:color w:val="auto"/>
        </w:rPr>
      </w:pPr>
    </w:p>
    <w:p>
      <w:pPr>
        <w:ind w:left="540" w:hanging="262"/>
        <w:spacing w:after="0"/>
        <w:tabs>
          <w:tab w:leader="none" w:pos="5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Preliminary valuation conclusions are discussed and documented by the Manager’s management.</w:t>
      </w:r>
    </w:p>
    <w:p>
      <w:pPr>
        <w:spacing w:after="0" w:line="117" w:lineRule="exact"/>
        <w:rPr>
          <w:rFonts w:ascii="Arial" w:cs="Arial" w:eastAsia="Arial" w:hAnsi="Arial"/>
          <w:sz w:val="18"/>
          <w:szCs w:val="18"/>
          <w:color w:val="auto"/>
        </w:rPr>
      </w:pPr>
    </w:p>
    <w:p>
      <w:pPr>
        <w:ind w:left="540" w:right="659" w:hanging="262"/>
        <w:spacing w:after="0" w:line="277" w:lineRule="auto"/>
        <w:tabs>
          <w:tab w:leader="none" w:pos="5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Illiquid loans, junior and mezzanine securities and investments in other CLO bonds are fair valued using models developed by the Manager’s management with applicable market assumptions.</w:t>
      </w:r>
    </w:p>
    <w:p>
      <w:pPr>
        <w:spacing w:after="0" w:line="62" w:lineRule="exact"/>
        <w:rPr>
          <w:rFonts w:ascii="Arial" w:cs="Arial" w:eastAsia="Arial" w:hAnsi="Arial"/>
          <w:sz w:val="18"/>
          <w:szCs w:val="18"/>
          <w:color w:val="auto"/>
        </w:rPr>
      </w:pPr>
    </w:p>
    <w:p>
      <w:pPr>
        <w:jc w:val="both"/>
        <w:ind w:left="540" w:right="599" w:hanging="262"/>
        <w:spacing w:after="0" w:line="264" w:lineRule="auto"/>
        <w:tabs>
          <w:tab w:leader="none" w:pos="5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Manager’s management discusses the valuations and determines in good faith that the fair values of each investment in the portfolio is reasonable based upon any applicable independent pricing service, input of management, and estimates from independent valuation firms (if any).</w:t>
      </w:r>
    </w:p>
    <w:p>
      <w:pPr>
        <w:spacing w:after="0" w:line="73" w:lineRule="exact"/>
        <w:rPr>
          <w:sz w:val="20"/>
          <w:szCs w:val="20"/>
          <w:color w:val="auto"/>
        </w:rPr>
      </w:pPr>
    </w:p>
    <w:p>
      <w:pPr>
        <w:ind w:left="40" w:right="679" w:firstLine="270"/>
        <w:spacing w:after="0" w:line="255"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Most of the Fund’s investment portfolio is composed of broadly syndicated debt securities for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quote is available. To the extent that the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w:t>
      </w:r>
    </w:p>
    <w:p>
      <w:pPr>
        <w:spacing w:after="0" w:line="85"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i w:val="1"/>
          <w:iCs w:val="1"/>
          <w:color w:val="auto"/>
        </w:rPr>
        <w:t>CLO Fund Securities</w:t>
      </w:r>
      <w:r>
        <w:rPr>
          <w:rFonts w:ascii="Arial" w:cs="Arial" w:eastAsia="Arial" w:hAnsi="Arial"/>
          <w:sz w:val="17"/>
          <w:szCs w:val="17"/>
          <w:color w:val="auto"/>
        </w:rPr>
        <w:t>. The Fund may selectively invest in securities issued by CLO Funds managed by other asset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For bond rated tranches of CLO Funds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70" w:lineRule="exact"/>
        <w:rPr>
          <w:sz w:val="20"/>
          <w:szCs w:val="20"/>
          <w:color w:val="auto"/>
        </w:rPr>
      </w:pPr>
    </w:p>
    <w:p>
      <w:pPr>
        <w:ind w:left="40" w:right="1099" w:firstLine="27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Cash is defined as demand deposits. The Fund holds its cash with financial institutions and, at times, cash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checking accounts may exceed the Federal Deposit Insurance Corporation insured limit.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Debt at Fair Value</w:t>
      </w:r>
      <w:r>
        <w:rPr>
          <w:rFonts w:ascii="Arial" w:cs="Arial" w:eastAsia="Arial" w:hAnsi="Arial"/>
          <w:sz w:val="17"/>
          <w:szCs w:val="17"/>
          <w:color w:val="auto"/>
        </w:rPr>
        <w:t>. The Fund has issued rated and unrated bonds to finance its operations. Debt is presented at fair value.</w:t>
      </w:r>
    </w:p>
    <w:p>
      <w:pPr>
        <w:spacing w:after="0" w:line="129"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is recorded on the accrual basis on interest-bearing assets. The Fund generally places a loan or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on non-accrual status and ceases recognizing cash interest income on such loan or security when a loan or security becomes 90 days or more past due or if Manager otherwise does not expect the debtor to be able to service its debt obligations.</w:t>
      </w:r>
    </w:p>
    <w:p>
      <w:pPr>
        <w:spacing w:after="0" w:line="200" w:lineRule="exact"/>
        <w:rPr>
          <w:sz w:val="20"/>
          <w:szCs w:val="20"/>
          <w:color w:val="auto"/>
        </w:rPr>
      </w:pPr>
    </w:p>
    <w:p>
      <w:pPr>
        <w:spacing w:after="0" w:line="2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40" w:right="3699" w:firstLine="3114"/>
        <w:spacing w:after="0" w:line="393" w:lineRule="auto"/>
        <w:rPr>
          <w:sz w:val="20"/>
          <w:szCs w:val="20"/>
          <w:color w:val="auto"/>
        </w:rPr>
      </w:pPr>
      <w:r>
        <w:rPr>
          <w:rFonts w:ascii="Arial" w:cs="Arial" w:eastAsia="Arial" w:hAnsi="Arial"/>
          <w:sz w:val="18"/>
          <w:szCs w:val="18"/>
          <w:b w:val="1"/>
          <w:bCs w:val="1"/>
          <w:color w:val="auto"/>
        </w:rPr>
        <w:t>NOTES TO FINANCIAL STATEMENTS 2. SIGNIFICANT ACCOUNTING POLICIES – (continued)</w:t>
      </w:r>
    </w:p>
    <w:p>
      <w:pPr>
        <w:spacing w:after="0" w:line="1" w:lineRule="exact"/>
        <w:rPr>
          <w:sz w:val="20"/>
          <w:szCs w:val="20"/>
          <w:color w:val="auto"/>
        </w:rPr>
      </w:pPr>
    </w:p>
    <w:p>
      <w:pPr>
        <w:ind w:left="40" w:right="539" w:firstLine="270"/>
        <w:spacing w:after="0" w:line="287" w:lineRule="auto"/>
        <w:rPr>
          <w:sz w:val="20"/>
          <w:szCs w:val="20"/>
          <w:color w:val="auto"/>
        </w:rPr>
      </w:pPr>
      <w:r>
        <w:rPr>
          <w:rFonts w:ascii="Arial" w:cs="Arial" w:eastAsia="Arial" w:hAnsi="Arial"/>
          <w:sz w:val="16"/>
          <w:szCs w:val="16"/>
          <w:i w:val="1"/>
          <w:iCs w:val="1"/>
          <w:color w:val="auto"/>
        </w:rPr>
        <w:t>Management Fees</w:t>
      </w:r>
      <w:r>
        <w:rPr>
          <w:rFonts w:ascii="Arial" w:cs="Arial" w:eastAsia="Arial" w:hAnsi="Arial"/>
          <w:sz w:val="16"/>
          <w:szCs w:val="16"/>
          <w:color w:val="auto"/>
        </w:rPr>
        <w:t>. The Fund is externally managed by the Manager pursuant to the Collateral Management Agreement.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the performance of its obligations under the Collateral Management Agreement, the Manager is entitled to receive from the Fund a senior collateral management fee (the “Senior Collateral Management Fee”), a subordinated collateral management fee (the “Subordinated Collateral Management Fee”) and an incentive collateral management fee (the “Incentive Collateral Management Fee”).The Senior Collateral Management Fee is payable in arrears quarterly (subject to availability of funds and to the satisfaction of payment obligations on the debt obligations of the Fund (the “Priority of Payments”)) in an amount equal to 0.15% per annum of the aggregate principal amount of the Fund’s investments. The Subordinated Collateral Management Fee is payable in arrears quarterly (subject to availability of funds and to the Priority of Payments) in an amount equal to 0.35% per annum of the aggregate principal amount of the Fund’s investments. The Incentive Collateral Management Fee equals 20% of the amount of interest and principal payments remaining available for distribution to the holders of the Fund’s subordinated securities under the Priority of Payments at which the Incentive Collateral Management Fee may be paid. For the year ended December 31, 2013 Incentive Fees were approximately $1.1 million.</w:t>
      </w:r>
    </w:p>
    <w:p>
      <w:pPr>
        <w:spacing w:after="0" w:line="61" w:lineRule="exact"/>
        <w:rPr>
          <w:sz w:val="20"/>
          <w:szCs w:val="20"/>
          <w:color w:val="auto"/>
        </w:rPr>
      </w:pPr>
    </w:p>
    <w:p>
      <w:pPr>
        <w:ind w:left="40" w:right="719" w:firstLine="270"/>
        <w:spacing w:after="0" w:line="277" w:lineRule="auto"/>
        <w:rPr>
          <w:sz w:val="20"/>
          <w:szCs w:val="20"/>
          <w:color w:val="auto"/>
        </w:rPr>
      </w:pPr>
      <w:r>
        <w:rPr>
          <w:rFonts w:ascii="Arial" w:cs="Arial" w:eastAsia="Arial" w:hAnsi="Arial"/>
          <w:sz w:val="18"/>
          <w:szCs w:val="18"/>
          <w:i w:val="1"/>
          <w:iCs w:val="1"/>
          <w:color w:val="auto"/>
        </w:rPr>
        <w:t>Interest Expenses</w:t>
      </w:r>
      <w:r>
        <w:rPr>
          <w:rFonts w:ascii="Arial" w:cs="Arial" w:eastAsia="Arial" w:hAnsi="Arial"/>
          <w:sz w:val="18"/>
          <w:szCs w:val="18"/>
          <w:color w:val="auto"/>
        </w:rPr>
        <w:t>. The Fund has issued rated and unrated bonds to finance its operations. Interest on debt is calculated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party trustee of the Fund. Interest is accrued and generally paid quarterly.</w:t>
      </w:r>
    </w:p>
    <w:p>
      <w:pPr>
        <w:spacing w:after="0" w:line="62" w:lineRule="exact"/>
        <w:rPr>
          <w:sz w:val="20"/>
          <w:szCs w:val="20"/>
          <w:color w:val="auto"/>
        </w:rPr>
      </w:pPr>
    </w:p>
    <w:p>
      <w:pPr>
        <w:ind w:left="40" w:right="579" w:firstLine="270"/>
        <w:spacing w:after="0" w:line="342" w:lineRule="auto"/>
        <w:rPr>
          <w:sz w:val="20"/>
          <w:szCs w:val="20"/>
          <w:color w:val="auto"/>
        </w:rPr>
      </w:pPr>
      <w:r>
        <w:rPr>
          <w:rFonts w:ascii="Arial" w:cs="Arial" w:eastAsia="Arial" w:hAnsi="Arial"/>
          <w:sz w:val="16"/>
          <w:szCs w:val="16"/>
          <w:i w:val="1"/>
          <w:iCs w:val="1"/>
          <w:color w:val="auto"/>
        </w:rPr>
        <w:t>Trustee Fees</w:t>
      </w:r>
      <w:r>
        <w:rPr>
          <w:rFonts w:ascii="Arial" w:cs="Arial" w:eastAsia="Arial" w:hAnsi="Arial"/>
          <w:sz w:val="16"/>
          <w:szCs w:val="16"/>
          <w:color w:val="auto"/>
        </w:rPr>
        <w:t>. The Fund has a third party trustee that is the custodian for all investments of the Fund and receives and disburses</w:t>
      </w:r>
      <w:r>
        <w:rPr>
          <w:rFonts w:ascii="Arial" w:cs="Arial" w:eastAsia="Arial" w:hAnsi="Arial"/>
          <w:sz w:val="16"/>
          <w:szCs w:val="16"/>
          <w:i w:val="1"/>
          <w:iCs w:val="1"/>
          <w:color w:val="auto"/>
        </w:rPr>
        <w:t xml:space="preserve"> </w:t>
      </w:r>
      <w:r>
        <w:rPr>
          <w:rFonts w:ascii="Arial" w:cs="Arial" w:eastAsia="Arial" w:hAnsi="Arial"/>
          <w:sz w:val="16"/>
          <w:szCs w:val="16"/>
          <w:color w:val="auto"/>
        </w:rPr>
        <w:t>all cash in accordance to the trustee and custodial agreements. Trustee fees are accrued and paid quarterly by the Fund.</w:t>
      </w:r>
    </w:p>
    <w:p>
      <w:pPr>
        <w:spacing w:after="0" w:line="16" w:lineRule="exact"/>
        <w:rPr>
          <w:sz w:val="20"/>
          <w:szCs w:val="20"/>
          <w:color w:val="auto"/>
        </w:rPr>
      </w:pPr>
    </w:p>
    <w:p>
      <w:pPr>
        <w:ind w:left="40" w:right="939" w:firstLine="270"/>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The Fund is not subject to net income taxation in the United States or the Cayman Islands. Accordingly, no</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taxes has been made in the accompanying financial statements.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40" w:right="559" w:firstLine="270"/>
        <w:spacing w:after="0" w:line="267" w:lineRule="auto"/>
        <w:rPr>
          <w:sz w:val="20"/>
          <w:szCs w:val="20"/>
          <w:color w:val="auto"/>
        </w:rPr>
      </w:pPr>
      <w:r>
        <w:rPr>
          <w:rFonts w:ascii="Arial" w:cs="Arial" w:eastAsia="Arial" w:hAnsi="Arial"/>
          <w:sz w:val="17"/>
          <w:szCs w:val="17"/>
          <w:color w:val="auto"/>
        </w:rPr>
        <w:t>The investments held by the Fund are primarily invested in senior secured bank loans (typically syndicated by banks), bonds, and equity securities. Bank loan investments, which comprise the majority of the Fund’s portfolio, are senior secured corporate loans from a variety of industries, including but not limited to the aerospace and defense, broadcasting, technology, utilities, household products, healthcare, oil and gas, and finance industries. The investments mature at various dates between 2014 and 2022, pay interest at Libor or Prime plus a spread of up to 8.5%, and typically range in credit rating categories from BBB down to unrated. Non-accrual loans represented less than 1% of investments at fair value as of December 31, 2013. The aggregate unpaid principal value of loans past due as of December 31, 2013 was approximately $8.8 million and the difference between fair value and the unpaid principal balance was approximately $881,000. The Fund’s investments are valued based on price quotations provided by an independent third-party pricing source which are indicative of traded prices and/or dealer price quotations. In the event that a third-party pricing source is unable to price an investment, other relevant factors, data and information are considered, including: i) information relating to the market for the investment, including price quotations for and trading in the investment and interest in similar investments and the market environment and investor attitudes towards the investment and interests in similar investments; ii) the characteristics of and fundamental analytical data relating to the investment, including the cost, size, current interest rate, period until next interest rate reset, maturity and base lending rate, the terms and conditions of the loan and any related agreements, and the position of the loan in the issuer’s debt structure; iii) the nature, adequacy and value of the senior secured corporate loan’s collateral, including the CLO’s rights, remedies and interests with respect to the collateral; iv) the creditworthiness of the borrower, based on an evaluation of its financial condition, financial statements and information about the business, cash flows, capital structure and future prospects; v) the reputation and financial condition of the agent and any intermediate participants in the senior secured corporate loan; and vi) general economic and market conditions affecting the fair value of the senior secured corporate loan.</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3" w:name="page194"/>
    <w:bookmarkEnd w:id="193"/>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60" w:right="980" w:firstLine="270"/>
        <w:spacing w:after="0" w:line="269" w:lineRule="auto"/>
        <w:rPr>
          <w:sz w:val="20"/>
          <w:szCs w:val="20"/>
          <w:color w:val="auto"/>
        </w:rPr>
      </w:pPr>
      <w:r>
        <w:rPr>
          <w:rFonts w:ascii="Arial" w:cs="Arial" w:eastAsia="Arial" w:hAnsi="Arial"/>
          <w:sz w:val="17"/>
          <w:szCs w:val="17"/>
          <w:color w:val="auto"/>
        </w:rPr>
        <w:t>The debt issued by the Fund has a stated maturity date of April 17, 2020. The Fund’s debt was issued in various tranches with different risk profiles and ratings. The interest rates are variable rates based on Libor plus a pre-defined spread, which varies from 0.225% for the more senior tranches to 4% for the more subordinated tranches. The debt issued by the Fund is recorded at fair value using an income approach, driven by cash flows expected to be received from the portfolio collateral assets. Fair value is determined using current information, notably market yields and projected cash flows of collateral assets based on forecasted default and recovery rates that a market participant would use in determining the current fair value of the liabilities, taking into account the overall credit quality of the issuers and the Manager’s past experience in managing similar securities. Market yields, default rates and recovery rates used in the Manager’s estimate of fair value vary based on the nature of the investments in the underlying collateral pools. In periods of rising market yields, default rates and lower debt recovery rates, the fair value, and therefore the carrying value, of the liabilities may be adversely affected. Once the undiscounted cash flows of the collateral assets have been determined, the Manager applies appropriate discount rates that a market participant would use to determine the discounted cash flow valuation of the notes.</w:t>
      </w:r>
    </w:p>
    <w:p>
      <w:pPr>
        <w:spacing w:after="0" w:line="72" w:lineRule="exact"/>
        <w:rPr>
          <w:sz w:val="20"/>
          <w:szCs w:val="20"/>
          <w:color w:val="auto"/>
        </w:rPr>
      </w:pPr>
    </w:p>
    <w:p>
      <w:pPr>
        <w:jc w:val="both"/>
        <w:ind w:left="60" w:right="880" w:firstLine="270"/>
        <w:spacing w:after="0" w:line="302" w:lineRule="auto"/>
        <w:rPr>
          <w:sz w:val="20"/>
          <w:szCs w:val="20"/>
          <w:color w:val="auto"/>
        </w:rPr>
      </w:pPr>
      <w:r>
        <w:rPr>
          <w:rFonts w:ascii="Arial" w:cs="Arial" w:eastAsia="Arial" w:hAnsi="Arial"/>
          <w:sz w:val="16"/>
          <w:szCs w:val="16"/>
          <w:color w:val="auto"/>
        </w:rPr>
        <w:t>The carrying value of investments held and debt issued by the Fund is also their fair value. The following table presents the fair value hierarchy levels of investments held and debt issued by the Fund, which are measured at fair value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21398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60"/>
        </w:trPr>
        <w:tc>
          <w:tcPr>
            <w:tcW w:w="308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 in millions)</w:t>
            </w:r>
          </w:p>
        </w:tc>
        <w:tc>
          <w:tcPr>
            <w:tcW w:w="1080" w:type="dxa"/>
            <w:vAlign w:val="bottom"/>
          </w:tcPr>
          <w:p>
            <w:pPr>
              <w:jc w:val="right"/>
              <w:ind w:right="116"/>
              <w:spacing w:after="0" w:line="160"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2"/>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Unobservable</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(Level 3)</w:t>
            </w:r>
          </w:p>
        </w:tc>
      </w:tr>
      <w:tr>
        <w:trPr>
          <w:trHeight w:val="171"/>
        </w:trPr>
        <w:tc>
          <w:tcPr>
            <w:tcW w:w="2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10"/>
        </w:trPr>
        <w:tc>
          <w:tcPr>
            <w:tcW w:w="2920" w:type="dxa"/>
            <w:vAlign w:val="bottom"/>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Investments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6"/>
              </w:rPr>
              <w:t>$ 408,698,814</w:t>
            </w: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408,698,814</w:t>
            </w:r>
          </w:p>
        </w:tc>
      </w:tr>
      <w:tr>
        <w:trPr>
          <w:trHeight w:val="216"/>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0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CLO Fund Liabilities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6"/>
              </w:rPr>
              <w:t>$ 416,405,403</w:t>
            </w: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416,405,403</w:t>
            </w:r>
          </w:p>
        </w:tc>
      </w:tr>
    </w:tbl>
    <w:p>
      <w:pPr>
        <w:spacing w:after="0" w:line="94" w:lineRule="exact"/>
        <w:rPr>
          <w:sz w:val="20"/>
          <w:szCs w:val="20"/>
          <w:color w:val="auto"/>
        </w:rPr>
      </w:pPr>
    </w:p>
    <w:p>
      <w:pPr>
        <w:ind w:left="60" w:right="1380" w:firstLine="270"/>
        <w:spacing w:after="0" w:line="269" w:lineRule="auto"/>
        <w:rPr>
          <w:sz w:val="20"/>
          <w:szCs w:val="20"/>
          <w:color w:val="auto"/>
        </w:rPr>
      </w:pPr>
      <w:r>
        <w:rPr>
          <w:rFonts w:ascii="Arial" w:cs="Arial" w:eastAsia="Arial" w:hAnsi="Arial"/>
          <w:sz w:val="18"/>
          <w:szCs w:val="18"/>
          <w:color w:val="auto"/>
        </w:rPr>
        <w:t>The following table shows a reconciliation of the beginning and ending fair value measurements for Level 3 assets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167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For the year ended</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90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r>
      <w:tr>
        <w:trPr>
          <w:trHeight w:val="210"/>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474,249,149</w:t>
            </w:r>
          </w:p>
        </w:tc>
        <w:tc>
          <w:tcPr>
            <w:tcW w:w="2900" w:type="dxa"/>
            <w:vAlign w:val="bottom"/>
          </w:tcPr>
          <w:p>
            <w:pPr>
              <w:spacing w:after="0"/>
              <w:rPr>
                <w:sz w:val="18"/>
                <w:szCs w:val="18"/>
                <w:color w:val="auto"/>
              </w:rPr>
            </w:pP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Transfers to Level 3</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6"/>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Transfers from Level 3</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99,242,299</w:t>
            </w:r>
          </w:p>
        </w:tc>
        <w:tc>
          <w:tcPr>
            <w:tcW w:w="2900" w:type="dxa"/>
            <w:vAlign w:val="bottom"/>
          </w:tcPr>
          <w:p>
            <w:pPr>
              <w:spacing w:after="0"/>
              <w:rPr>
                <w:sz w:val="18"/>
                <w:szCs w:val="18"/>
                <w:color w:val="auto"/>
              </w:rPr>
            </w:pPr>
          </w:p>
        </w:tc>
      </w:tr>
      <w:tr>
        <w:trPr>
          <w:trHeight w:val="216"/>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Proceeds from sale and redemption of investments</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2"/>
              </w:rPr>
              <w:t>(163,957,914)</w:t>
            </w:r>
          </w:p>
        </w:tc>
        <w:tc>
          <w:tcPr>
            <w:tcW w:w="2900" w:type="dxa"/>
            <w:vAlign w:val="bottom"/>
          </w:tcPr>
          <w:p>
            <w:pPr>
              <w:spacing w:after="0"/>
              <w:rPr>
                <w:sz w:val="18"/>
                <w:szCs w:val="18"/>
                <w:color w:val="auto"/>
              </w:rPr>
            </w:pPr>
          </w:p>
        </w:tc>
      </w:tr>
      <w:tr>
        <w:trPr>
          <w:trHeight w:val="216"/>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realized and unrealized gains/(losses)</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(834,721)</w:t>
            </w:r>
          </w:p>
        </w:tc>
        <w:tc>
          <w:tcPr>
            <w:tcW w:w="29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0"/>
        </w:trPr>
        <w:tc>
          <w:tcPr>
            <w:tcW w:w="62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7"/>
              </w:rPr>
              <w:t>408,698,814</w:t>
            </w:r>
          </w:p>
        </w:tc>
        <w:tc>
          <w:tcPr>
            <w:tcW w:w="290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54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5"/>
        </w:trPr>
        <w:tc>
          <w:tcPr>
            <w:tcW w:w="624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6"/>
              </w:rPr>
              <w:t>Changes in unrealized appreciation (depreciation) included in earnings related to</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(7,017,345)</w:t>
            </w:r>
          </w:p>
        </w:tc>
        <w:tc>
          <w:tcPr>
            <w:tcW w:w="2900" w:type="dxa"/>
            <w:vAlign w:val="bottom"/>
          </w:tcPr>
          <w:p>
            <w:pPr>
              <w:spacing w:after="0"/>
              <w:rPr>
                <w:sz w:val="16"/>
                <w:szCs w:val="16"/>
                <w:color w:val="auto"/>
              </w:rPr>
            </w:pPr>
          </w:p>
        </w:tc>
      </w:tr>
      <w:tr>
        <w:trPr>
          <w:trHeight w:val="230"/>
        </w:trPr>
        <w:tc>
          <w:tcPr>
            <w:tcW w:w="6240" w:type="dxa"/>
            <w:vAlign w:val="bottom"/>
            <w:gridSpan w:val="2"/>
          </w:tcPr>
          <w:p>
            <w:pPr>
              <w:ind w:left="200"/>
              <w:spacing w:after="0"/>
              <w:rPr>
                <w:sz w:val="20"/>
                <w:szCs w:val="20"/>
                <w:color w:val="auto"/>
              </w:rPr>
            </w:pPr>
            <w:r>
              <w:rPr>
                <w:rFonts w:ascii="Arial" w:cs="Arial" w:eastAsia="Arial" w:hAnsi="Arial"/>
                <w:sz w:val="18"/>
                <w:szCs w:val="18"/>
                <w:color w:val="auto"/>
              </w:rPr>
              <w:t>investments still held at reporting date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783"/>
        </w:trPr>
        <w:tc>
          <w:tcPr>
            <w:tcW w:w="800" w:type="dxa"/>
            <w:vAlign w:val="bottom"/>
          </w:tcPr>
          <w:p>
            <w:pPr>
              <w:spacing w:after="0"/>
              <w:rPr>
                <w:sz w:val="24"/>
                <w:szCs w:val="24"/>
                <w:color w:val="auto"/>
              </w:rPr>
            </w:pPr>
          </w:p>
        </w:tc>
        <w:tc>
          <w:tcPr>
            <w:tcW w:w="5440" w:type="dxa"/>
            <w:vAlign w:val="bottom"/>
          </w:tcPr>
          <w:p>
            <w:pPr>
              <w:ind w:left="3700"/>
              <w:spacing w:after="0"/>
              <w:rPr>
                <w:sz w:val="20"/>
                <w:szCs w:val="20"/>
                <w:color w:val="auto"/>
              </w:rPr>
            </w:pPr>
            <w:r>
              <w:rPr>
                <w:rFonts w:ascii="Arial" w:cs="Arial" w:eastAsia="Arial" w:hAnsi="Arial"/>
                <w:sz w:val="18"/>
                <w:szCs w:val="18"/>
                <w:color w:val="auto"/>
              </w:rPr>
              <w:t>S-74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54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54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-942975</wp:posOffset>
            </wp:positionV>
            <wp:extent cx="4751070" cy="30861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751070" cy="30861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94" w:name="page195"/>
    <w:bookmarkEnd w:id="194"/>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 – (continued)</w:t>
      </w:r>
    </w:p>
    <w:p>
      <w:pPr>
        <w:spacing w:after="0" w:line="121" w:lineRule="exact"/>
        <w:rPr>
          <w:sz w:val="20"/>
          <w:szCs w:val="20"/>
          <w:color w:val="auto"/>
        </w:rPr>
      </w:pPr>
    </w:p>
    <w:p>
      <w:pPr>
        <w:ind w:left="60" w:right="659" w:firstLine="270"/>
        <w:spacing w:after="0" w:line="277" w:lineRule="auto"/>
        <w:rPr>
          <w:sz w:val="20"/>
          <w:szCs w:val="20"/>
          <w:color w:val="auto"/>
        </w:rPr>
      </w:pPr>
      <w:r>
        <w:rPr>
          <w:rFonts w:ascii="Arial" w:cs="Arial" w:eastAsia="Arial" w:hAnsi="Arial"/>
          <w:sz w:val="18"/>
          <w:szCs w:val="18"/>
          <w:color w:val="auto"/>
        </w:rPr>
        <w:t>As of December 31, 2013, the Manager’s Level 3 portfolio investments had the following valuation techniques and significant inputs:</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68"/>
        </w:trPr>
        <w:tc>
          <w:tcPr>
            <w:tcW w:w="1760" w:type="dxa"/>
            <w:vAlign w:val="bottom"/>
            <w:tcBorders>
              <w:top w:val="single" w:sz="8" w:color="auto"/>
              <w:bottom w:val="single" w:sz="8" w:color="auto"/>
            </w:tcBorders>
          </w:tcPr>
          <w:p>
            <w:pPr>
              <w:spacing w:after="0"/>
              <w:rPr>
                <w:sz w:val="5"/>
                <w:szCs w:val="5"/>
                <w:color w:val="auto"/>
              </w:rPr>
            </w:pPr>
          </w:p>
        </w:tc>
        <w:tc>
          <w:tcPr>
            <w:tcW w:w="1140" w:type="dxa"/>
            <w:vAlign w:val="bottom"/>
            <w:tcBorders>
              <w:top w:val="single" w:sz="8" w:color="auto"/>
              <w:bottom w:val="single" w:sz="8" w:color="auto"/>
            </w:tcBorders>
          </w:tcPr>
          <w:p>
            <w:pPr>
              <w:spacing w:after="0"/>
              <w:rPr>
                <w:sz w:val="5"/>
                <w:szCs w:val="5"/>
                <w:color w:val="auto"/>
              </w:rPr>
            </w:pPr>
          </w:p>
        </w:tc>
        <w:tc>
          <w:tcPr>
            <w:tcW w:w="1720" w:type="dxa"/>
            <w:vAlign w:val="bottom"/>
            <w:tcBorders>
              <w:top w:val="single" w:sz="8" w:color="auto"/>
              <w:bottom w:val="single" w:sz="8" w:color="auto"/>
            </w:tcBorders>
          </w:tcPr>
          <w:p>
            <w:pPr>
              <w:spacing w:after="0"/>
              <w:rPr>
                <w:sz w:val="5"/>
                <w:szCs w:val="5"/>
                <w:color w:val="auto"/>
              </w:rPr>
            </w:pPr>
          </w:p>
        </w:tc>
        <w:tc>
          <w:tcPr>
            <w:tcW w:w="2400" w:type="dxa"/>
            <w:vAlign w:val="bottom"/>
            <w:tcBorders>
              <w:top w:val="single" w:sz="8" w:color="auto"/>
              <w:bottom w:val="single" w:sz="8" w:color="auto"/>
            </w:tcBorders>
          </w:tcPr>
          <w:p>
            <w:pPr>
              <w:spacing w:after="0"/>
              <w:rPr>
                <w:sz w:val="5"/>
                <w:szCs w:val="5"/>
                <w:color w:val="auto"/>
              </w:rPr>
            </w:pPr>
          </w:p>
        </w:tc>
        <w:tc>
          <w:tcPr>
            <w:tcW w:w="1200" w:type="dxa"/>
            <w:vAlign w:val="bottom"/>
            <w:tcBorders>
              <w:top w:val="single" w:sz="8" w:color="auto"/>
              <w:bottom w:val="single" w:sz="8" w:color="auto"/>
              <w:right w:val="single" w:sz="8" w:color="auto"/>
            </w:tcBorders>
          </w:tcPr>
          <w:p>
            <w:pPr>
              <w:spacing w:after="0"/>
              <w:rPr>
                <w:sz w:val="5"/>
                <w:szCs w:val="5"/>
                <w:color w:val="auto"/>
              </w:rPr>
            </w:pPr>
          </w:p>
        </w:tc>
      </w:tr>
      <w:tr>
        <w:trPr>
          <w:trHeight w:val="210"/>
        </w:trPr>
        <w:tc>
          <w:tcPr>
            <w:tcW w:w="1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1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Range of Inputs</w:t>
            </w:r>
          </w:p>
        </w:tc>
      </w:tr>
      <w:tr>
        <w:trPr>
          <w:trHeight w:val="22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Debt Securities</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$ 6,961,021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Income Approach</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Implied Effective Discount Rate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2.73% – 8.80%</w:t>
            </w:r>
          </w:p>
        </w:tc>
      </w:tr>
      <w:tr>
        <w:trPr>
          <w:trHeight w:val="43"/>
        </w:trPr>
        <w:tc>
          <w:tcPr>
            <w:tcW w:w="1760" w:type="dxa"/>
            <w:vAlign w:val="bottom"/>
            <w:tcBorders>
              <w:left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$ 385,430,614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Quote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Third-Party Bid-Ask Mid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3.0% – 114.5%</w:t>
            </w:r>
          </w:p>
        </w:tc>
      </w:tr>
      <w:tr>
        <w:trPr>
          <w:trHeight w:val="43"/>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$ 1,528,066</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Quote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Third-Party Bid-Ask Mid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$3.45 – $65.00</w:t>
            </w:r>
          </w:p>
        </w:tc>
      </w:tr>
      <w:tr>
        <w:trPr>
          <w:trHeight w:val="43"/>
        </w:trPr>
        <w:tc>
          <w:tcPr>
            <w:tcW w:w="1760" w:type="dxa"/>
            <w:vAlign w:val="bottom"/>
            <w:tcBorders>
              <w:left w:val="single" w:sz="8" w:color="auto"/>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Listed Exchange Quote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$6.77</w:t>
            </w:r>
          </w:p>
        </w:tc>
      </w:tr>
      <w:tr>
        <w:trPr>
          <w:trHeight w:val="43"/>
        </w:trPr>
        <w:tc>
          <w:tcPr>
            <w:tcW w:w="176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$ 14,779,111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Market Quote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Third-Party Bid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93.0% – 98.0%</w:t>
            </w:r>
          </w:p>
        </w:tc>
      </w:tr>
      <w:tr>
        <w:trPr>
          <w:trHeight w:val="43"/>
        </w:trPr>
        <w:tc>
          <w:tcPr>
            <w:tcW w:w="1760" w:type="dxa"/>
            <w:vAlign w:val="bottom"/>
            <w:tcBorders>
              <w:left w:val="single" w:sz="8" w:color="auto"/>
              <w:right w:val="single" w:sz="8" w:color="auto"/>
            </w:tcBorders>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220"/>
        </w:trPr>
        <w:tc>
          <w:tcPr>
            <w:tcW w:w="1760" w:type="dxa"/>
            <w:vAlign w:val="bottom"/>
            <w:tcBorders>
              <w:left w:val="single" w:sz="8" w:color="auto"/>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Discounted Cash Flow</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Discount Rate</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1.76% – 2.55%</w:t>
            </w:r>
          </w:p>
        </w:tc>
      </w:tr>
      <w:tr>
        <w:trPr>
          <w:trHeight w:val="30"/>
        </w:trPr>
        <w:tc>
          <w:tcPr>
            <w:tcW w:w="176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48"/>
        </w:trPr>
        <w:tc>
          <w:tcPr>
            <w:tcW w:w="17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bl>
    <w:p>
      <w:pPr>
        <w:spacing w:after="0" w:line="36" w:lineRule="exact"/>
        <w:rPr>
          <w:sz w:val="20"/>
          <w:szCs w:val="20"/>
          <w:color w:val="auto"/>
        </w:rPr>
      </w:pPr>
    </w:p>
    <w:p>
      <w:pPr>
        <w:ind w:left="60" w:right="819" w:firstLine="270"/>
        <w:spacing w:after="0" w:line="269" w:lineRule="auto"/>
        <w:rPr>
          <w:sz w:val="20"/>
          <w:szCs w:val="20"/>
          <w:color w:val="auto"/>
        </w:rPr>
      </w:pPr>
      <w:r>
        <w:rPr>
          <w:rFonts w:ascii="Arial" w:cs="Arial" w:eastAsia="Arial" w:hAnsi="Arial"/>
          <w:sz w:val="18"/>
          <w:szCs w:val="18"/>
          <w:color w:val="auto"/>
        </w:rPr>
        <w:t>The following table shows a reconciliation of the beginning and ending fair value measurements for Level 3 liabilities using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167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For the year ended</w:t>
            </w:r>
          </w:p>
        </w:tc>
      </w:tr>
      <w:tr>
        <w:trPr>
          <w:trHeight w:val="149"/>
        </w:trPr>
        <w:tc>
          <w:tcPr>
            <w:tcW w:w="6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4"/>
                <w:szCs w:val="14"/>
                <w:color w:val="auto"/>
              </w:rPr>
            </w:pPr>
          </w:p>
        </w:tc>
      </w:tr>
      <w:tr>
        <w:trPr>
          <w:trHeight w:val="210"/>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3"/>
              </w:rPr>
              <w:t>462,665,846</w:t>
            </w:r>
          </w:p>
        </w:tc>
      </w:tr>
      <w:tr>
        <w:trPr>
          <w:trHeight w:val="216"/>
        </w:trPr>
        <w:tc>
          <w:tcPr>
            <w:tcW w:w="6240" w:type="dxa"/>
            <w:vAlign w:val="bottom"/>
          </w:tcPr>
          <w:p>
            <w:pPr>
              <w:ind w:left="20"/>
              <w:spacing w:after="0"/>
              <w:rPr>
                <w:sz w:val="20"/>
                <w:szCs w:val="20"/>
                <w:color w:val="auto"/>
              </w:rPr>
            </w:pPr>
            <w:r>
              <w:rPr>
                <w:rFonts w:ascii="Arial" w:cs="Arial" w:eastAsia="Arial" w:hAnsi="Arial"/>
                <w:sz w:val="18"/>
                <w:szCs w:val="18"/>
                <w:color w:val="auto"/>
              </w:rPr>
              <w:t>Unrealized appreciation/(depreciation)</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(46,260,443)</w:t>
            </w:r>
          </w:p>
        </w:tc>
      </w:tr>
      <w:tr>
        <w:trPr>
          <w:trHeight w:val="20"/>
        </w:trPr>
        <w:tc>
          <w:tcPr>
            <w:tcW w:w="6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6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3"/>
              </w:rPr>
              <w:t>416,405,403</w:t>
            </w:r>
          </w:p>
        </w:tc>
      </w:tr>
      <w:tr>
        <w:trPr>
          <w:trHeight w:val="20"/>
        </w:trPr>
        <w:tc>
          <w:tcPr>
            <w:tcW w:w="6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r>
        <w:trPr>
          <w:trHeight w:val="195"/>
        </w:trPr>
        <w:tc>
          <w:tcPr>
            <w:tcW w:w="6240" w:type="dxa"/>
            <w:vAlign w:val="bottom"/>
          </w:tcPr>
          <w:p>
            <w:pPr>
              <w:ind w:left="20"/>
              <w:spacing w:after="0" w:line="195" w:lineRule="exact"/>
              <w:rPr>
                <w:sz w:val="20"/>
                <w:szCs w:val="20"/>
                <w:color w:val="auto"/>
              </w:rPr>
            </w:pPr>
            <w:r>
              <w:rPr>
                <w:rFonts w:ascii="Arial" w:cs="Arial" w:eastAsia="Arial" w:hAnsi="Arial"/>
                <w:sz w:val="18"/>
                <w:szCs w:val="18"/>
                <w:color w:val="auto"/>
                <w:w w:val="96"/>
              </w:rPr>
              <w:t>Changes in unrealized appreciation (depreciation) included in earnings related to</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w w:val="97"/>
              </w:rPr>
              <w:t>(46,260,443)</w:t>
            </w:r>
          </w:p>
        </w:tc>
      </w:tr>
      <w:tr>
        <w:trPr>
          <w:trHeight w:val="230"/>
        </w:trPr>
        <w:tc>
          <w:tcPr>
            <w:tcW w:w="6240" w:type="dxa"/>
            <w:vAlign w:val="bottom"/>
          </w:tcPr>
          <w:p>
            <w:pPr>
              <w:ind w:left="200"/>
              <w:spacing w:after="0"/>
              <w:rPr>
                <w:sz w:val="20"/>
                <w:szCs w:val="20"/>
                <w:color w:val="auto"/>
              </w:rPr>
            </w:pPr>
            <w:r>
              <w:rPr>
                <w:rFonts w:ascii="Arial" w:cs="Arial" w:eastAsia="Arial" w:hAnsi="Arial"/>
                <w:sz w:val="18"/>
                <w:szCs w:val="18"/>
                <w:color w:val="auto"/>
              </w:rPr>
              <w:t>liabilities still held at reporting date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-307975</wp:posOffset>
            </wp:positionV>
            <wp:extent cx="4751070" cy="30861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51070" cy="308610"/>
                    </a:xfrm>
                    <a:prstGeom prst="rect">
                      <a:avLst/>
                    </a:prstGeom>
                    <a:noFill/>
                  </pic:spPr>
                </pic:pic>
              </a:graphicData>
            </a:graphic>
          </wp:anchor>
        </w:drawing>
      </w:r>
    </w:p>
    <w:p>
      <w:pPr>
        <w:spacing w:after="0" w:line="74" w:lineRule="exact"/>
        <w:rPr>
          <w:sz w:val="20"/>
          <w:szCs w:val="20"/>
          <w:color w:val="auto"/>
        </w:rPr>
      </w:pPr>
    </w:p>
    <w:p>
      <w:pPr>
        <w:ind w:left="60" w:right="1099" w:firstLine="270"/>
        <w:spacing w:after="0" w:line="312"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39" w:lineRule="exact"/>
        <w:rPr>
          <w:sz w:val="20"/>
          <w:szCs w:val="20"/>
          <w:color w:val="auto"/>
        </w:rPr>
      </w:pPr>
    </w:p>
    <w:p>
      <w:pPr>
        <w:ind w:left="620" w:right="599" w:hanging="322"/>
        <w:spacing w:after="0" w:line="277"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Fund has the ability to access.</w:t>
      </w:r>
    </w:p>
    <w:p>
      <w:pPr>
        <w:spacing w:after="0" w:line="62" w:lineRule="exact"/>
        <w:rPr>
          <w:rFonts w:ascii="Arial" w:cs="Arial" w:eastAsia="Arial" w:hAnsi="Arial"/>
          <w:sz w:val="18"/>
          <w:szCs w:val="18"/>
          <w:color w:val="auto"/>
        </w:rPr>
      </w:pPr>
    </w:p>
    <w:p>
      <w:pPr>
        <w:ind w:left="620" w:right="1379" w:hanging="322"/>
        <w:spacing w:after="0" w:line="277" w:lineRule="auto"/>
        <w:tabs>
          <w:tab w:leader="none" w:pos="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Level 2 — 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Fund’s debt is presented at fair value with the difference between principal and fair value recorded as unrealized gain/loss.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par amount of the Fund’s debt is approximately $447 million as of December 31, 2013.</w:t>
      </w:r>
    </w:p>
    <w:p>
      <w:pPr>
        <w:spacing w:after="0" w:line="103" w:lineRule="exact"/>
        <w:rPr>
          <w:sz w:val="20"/>
          <w:szCs w:val="20"/>
          <w:color w:val="auto"/>
        </w:rPr>
      </w:pPr>
    </w:p>
    <w:p>
      <w:pPr>
        <w:ind w:left="60" w:right="659" w:firstLine="270"/>
        <w:spacing w:after="0" w:line="259" w:lineRule="auto"/>
        <w:rPr>
          <w:sz w:val="20"/>
          <w:szCs w:val="20"/>
          <w:color w:val="auto"/>
        </w:rPr>
      </w:pPr>
      <w:r>
        <w:rPr>
          <w:rFonts w:ascii="Arial" w:cs="Arial" w:eastAsia="Arial" w:hAnsi="Arial"/>
          <w:sz w:val="18"/>
          <w:szCs w:val="18"/>
          <w:color w:val="auto"/>
        </w:rPr>
        <w:t>The Manager has determined that, although the junior tranches have certain characteristics of equity, they should be accounted for and disclosed as debt on the Fund’s Statement of Net Assets, as the subordinated and income notes have a stated maturity indicating a date for which they are mandatorily redeemable. The preference shares are also classified as debt, as they are mandatorily redeemable upon liquidation or termination of the Fund.</w:t>
      </w: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5" w:name="page196"/>
    <w:bookmarkEnd w:id="195"/>
    <w:p>
      <w:pPr>
        <w:ind w:left="2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Under the current laws, the Fund is not subject to net income taxation in the United States or the Cayman Islands. Accordingly, no provision for income taxes has been made in the accompanying financial statements.</w:t>
      </w:r>
    </w:p>
    <w:p>
      <w:pPr>
        <w:spacing w:after="0" w:line="62" w:lineRule="exact"/>
        <w:rPr>
          <w:sz w:val="20"/>
          <w:szCs w:val="20"/>
          <w:color w:val="auto"/>
        </w:rPr>
      </w:pPr>
    </w:p>
    <w:p>
      <w:pPr>
        <w:ind w:left="60" w:right="619" w:firstLine="270"/>
        <w:spacing w:after="0" w:line="271" w:lineRule="auto"/>
        <w:rPr>
          <w:sz w:val="20"/>
          <w:szCs w:val="20"/>
          <w:color w:val="auto"/>
        </w:rPr>
      </w:pPr>
      <w:r>
        <w:rPr>
          <w:rFonts w:ascii="Arial" w:cs="Arial" w:eastAsia="Arial" w:hAnsi="Arial"/>
          <w:sz w:val="17"/>
          <w:szCs w:val="17"/>
          <w:color w:val="auto"/>
        </w:rPr>
        <w:t xml:space="preserve">Pursuant to ASC Topic 740,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the Fund adopted the provisions of Financial Accounting Standards Board (“FASB”) relating to accounting for uncertainty in income taxes which clarifies the accounting for income taxes by prescribing the minimum recognition threshold a tax position must meet before being recognized in the financial statements and applies to all open tax years as of the effective date. As of December 31, 2013, there was no impact to the financial statements as a result of the Fund’s accounting for uncertainty in income taxes. The Fund does not have any unrecognized tax benefits or liabilities for the year ended December 31, 2013. Also, the Fund recognizes interest and, if applicable, penalties for any uncertain tax positions, as a component of income tax expense. No interest or penalty expense was recorded by the Fund for the year ended December 31, 2013.</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60" w:right="639" w:firstLine="270"/>
        <w:spacing w:after="0" w:line="259" w:lineRule="auto"/>
        <w:rPr>
          <w:sz w:val="20"/>
          <w:szCs w:val="20"/>
          <w:color w:val="auto"/>
        </w:rPr>
      </w:pPr>
      <w:r>
        <w:rPr>
          <w:rFonts w:ascii="Arial" w:cs="Arial" w:eastAsia="Arial" w:hAnsi="Arial"/>
          <w:sz w:val="18"/>
          <w:szCs w:val="18"/>
          <w:color w:val="auto"/>
        </w:rPr>
        <w:t>On May 15, 2007, the Fund issued $500 million of notes or debt securities, consisting of the Class A-1a Floating Rate Notes, the Class A-1b Floating Rate Notes, the Class A-2a Floating Rate Notes, the Class A-2b Floating Rate Notes, the Class B Floating Rate Notes, the Class C Floating Rate Notes, the Class D Floating Rate Notes, the Class E Floating Rate Notes and the preferred shares. The notes were issued pursuant to the Indenture.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sets forth certain information for each outstanding class of debt securities issued pursuant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521398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Title of Debt Security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21"/>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Fair Value</w:t>
            </w:r>
          </w:p>
        </w:tc>
      </w:tr>
      <w:tr>
        <w:trPr>
          <w:trHeight w:val="171"/>
        </w:trPr>
        <w:tc>
          <w:tcPr>
            <w:tcW w:w="2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96"/>
        </w:trPr>
        <w:tc>
          <w:tcPr>
            <w:tcW w:w="2460" w:type="dxa"/>
            <w:vAlign w:val="bottom"/>
            <w:shd w:val="clear" w:color="auto" w:fill="CCFFCC"/>
          </w:tcPr>
          <w:p>
            <w:pPr>
              <w:ind w:left="20"/>
              <w:spacing w:after="0"/>
              <w:rPr>
                <w:sz w:val="20"/>
                <w:szCs w:val="20"/>
                <w:color w:val="auto"/>
              </w:rPr>
            </w:pPr>
            <w:r>
              <w:rPr>
                <w:rFonts w:ascii="Arial" w:cs="Arial" w:eastAsia="Arial" w:hAnsi="Arial"/>
                <w:sz w:val="16"/>
                <w:szCs w:val="16"/>
                <w:color w:val="auto"/>
              </w:rPr>
              <w:t>Class A-1a Floating Rate Notes</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7"/>
              </w:rPr>
              <w:t>94,000,000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76,392,989</w:t>
            </w:r>
          </w:p>
        </w:tc>
        <w:tc>
          <w:tcPr>
            <w:tcW w:w="80" w:type="dxa"/>
            <w:vAlign w:val="bottom"/>
            <w:shd w:val="clear" w:color="auto" w:fill="CCFFCC"/>
          </w:tcPr>
          <w:p>
            <w:pPr>
              <w:spacing w:after="0"/>
              <w:rPr>
                <w:sz w:val="17"/>
                <w:szCs w:val="17"/>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LIBOR + 0.225%</w:t>
            </w:r>
          </w:p>
        </w:tc>
        <w:tc>
          <w:tcPr>
            <w:tcW w:w="80" w:type="dxa"/>
            <w:vAlign w:val="bottom"/>
            <w:shd w:val="clear" w:color="auto" w:fill="CCFFCC"/>
          </w:tcPr>
          <w:p>
            <w:pPr>
              <w:spacing w:after="0"/>
              <w:rPr>
                <w:sz w:val="17"/>
                <w:szCs w:val="17"/>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75,629,847</w:t>
            </w:r>
          </w:p>
        </w:tc>
      </w:tr>
      <w:tr>
        <w:trPr>
          <w:trHeight w:val="203"/>
        </w:trPr>
        <w:tc>
          <w:tcPr>
            <w:tcW w:w="2460" w:type="dxa"/>
            <w:vAlign w:val="bottom"/>
          </w:tcPr>
          <w:p>
            <w:pPr>
              <w:ind w:left="20"/>
              <w:spacing w:after="0"/>
              <w:rPr>
                <w:sz w:val="20"/>
                <w:szCs w:val="20"/>
                <w:color w:val="auto"/>
              </w:rPr>
            </w:pPr>
            <w:r>
              <w:rPr>
                <w:rFonts w:ascii="Arial" w:cs="Arial" w:eastAsia="Arial" w:hAnsi="Arial"/>
                <w:sz w:val="16"/>
                <w:szCs w:val="16"/>
                <w:color w:val="auto"/>
              </w:rPr>
              <w:t>Class A-1b Floating Rate Notes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23,500,000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9"/>
              </w:rPr>
              <w:t>23,500,000</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6"/>
              </w:rPr>
              <w:t>LIBOR + 0.300%</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23,009,903</w:t>
            </w:r>
          </w:p>
        </w:tc>
      </w:tr>
      <w:tr>
        <w:trPr>
          <w:trHeight w:val="203"/>
        </w:trPr>
        <w:tc>
          <w:tcPr>
            <w:tcW w:w="2460" w:type="dxa"/>
            <w:vAlign w:val="bottom"/>
            <w:shd w:val="clear" w:color="auto" w:fill="CCFFCC"/>
          </w:tcPr>
          <w:p>
            <w:pPr>
              <w:ind w:left="20"/>
              <w:spacing w:after="0"/>
              <w:rPr>
                <w:sz w:val="20"/>
                <w:szCs w:val="20"/>
                <w:color w:val="auto"/>
              </w:rPr>
            </w:pPr>
            <w:r>
              <w:rPr>
                <w:rFonts w:ascii="Arial" w:cs="Arial" w:eastAsia="Arial" w:hAnsi="Arial"/>
                <w:sz w:val="16"/>
                <w:szCs w:val="16"/>
                <w:color w:val="auto"/>
              </w:rPr>
              <w:t>Class A-2a Floating Rate Notes</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7"/>
              </w:rPr>
              <w:t>50,000,000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42,507,655</w:t>
            </w:r>
          </w:p>
        </w:tc>
        <w:tc>
          <w:tcPr>
            <w:tcW w:w="80" w:type="dxa"/>
            <w:vAlign w:val="bottom"/>
            <w:shd w:val="clear" w:color="auto" w:fill="CCFFCC"/>
          </w:tcPr>
          <w:p>
            <w:pPr>
              <w:spacing w:after="0"/>
              <w:rPr>
                <w:sz w:val="17"/>
                <w:szCs w:val="17"/>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LIBOR + 0.260%</w:t>
            </w:r>
          </w:p>
        </w:tc>
        <w:tc>
          <w:tcPr>
            <w:tcW w:w="80" w:type="dxa"/>
            <w:vAlign w:val="bottom"/>
            <w:shd w:val="clear" w:color="auto" w:fill="CCFFCC"/>
          </w:tcPr>
          <w:p>
            <w:pPr>
              <w:spacing w:after="0"/>
              <w:rPr>
                <w:sz w:val="17"/>
                <w:szCs w:val="17"/>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41,695,025</w:t>
            </w:r>
          </w:p>
        </w:tc>
      </w:tr>
      <w:tr>
        <w:trPr>
          <w:trHeight w:val="203"/>
        </w:trPr>
        <w:tc>
          <w:tcPr>
            <w:tcW w:w="2460" w:type="dxa"/>
            <w:vAlign w:val="bottom"/>
          </w:tcPr>
          <w:p>
            <w:pPr>
              <w:ind w:left="20"/>
              <w:spacing w:after="0"/>
              <w:rPr>
                <w:sz w:val="20"/>
                <w:szCs w:val="20"/>
                <w:color w:val="auto"/>
              </w:rPr>
            </w:pPr>
            <w:r>
              <w:rPr>
                <w:rFonts w:ascii="Arial" w:cs="Arial" w:eastAsia="Arial" w:hAnsi="Arial"/>
                <w:sz w:val="16"/>
                <w:szCs w:val="16"/>
                <w:color w:val="auto"/>
              </w:rPr>
              <w:t>Class A-2b Floating Rate Notes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87"/>
              </w:rPr>
              <w:t>187,500,000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89"/>
              </w:rPr>
              <w:t>159,403,706</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6"/>
              </w:rPr>
              <w:t>LIBOR + 0.240%</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2"/>
              </w:rPr>
              <w:t>156,171,657</w:t>
            </w:r>
          </w:p>
        </w:tc>
      </w:tr>
      <w:tr>
        <w:trPr>
          <w:trHeight w:val="203"/>
        </w:trPr>
        <w:tc>
          <w:tcPr>
            <w:tcW w:w="2460" w:type="dxa"/>
            <w:vAlign w:val="bottom"/>
            <w:shd w:val="clear" w:color="auto" w:fill="CCFFCC"/>
          </w:tcPr>
          <w:p>
            <w:pPr>
              <w:ind w:left="20"/>
              <w:spacing w:after="0"/>
              <w:rPr>
                <w:sz w:val="20"/>
                <w:szCs w:val="20"/>
                <w:color w:val="auto"/>
              </w:rPr>
            </w:pPr>
            <w:r>
              <w:rPr>
                <w:rFonts w:ascii="Arial" w:cs="Arial" w:eastAsia="Arial" w:hAnsi="Arial"/>
                <w:sz w:val="16"/>
                <w:szCs w:val="16"/>
                <w:color w:val="auto"/>
              </w:rPr>
              <w:t>Class B Floating Rate Notes</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7"/>
              </w:rPr>
              <w:t>40,000,000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40,000,000</w:t>
            </w:r>
          </w:p>
        </w:tc>
        <w:tc>
          <w:tcPr>
            <w:tcW w:w="80" w:type="dxa"/>
            <w:vAlign w:val="bottom"/>
            <w:shd w:val="clear" w:color="auto" w:fill="CCFFCC"/>
          </w:tcPr>
          <w:p>
            <w:pPr>
              <w:spacing w:after="0"/>
              <w:rPr>
                <w:sz w:val="17"/>
                <w:szCs w:val="17"/>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LIBOR + 0.370%</w:t>
            </w:r>
          </w:p>
        </w:tc>
        <w:tc>
          <w:tcPr>
            <w:tcW w:w="80" w:type="dxa"/>
            <w:vAlign w:val="bottom"/>
            <w:shd w:val="clear" w:color="auto" w:fill="CCFFCC"/>
          </w:tcPr>
          <w:p>
            <w:pPr>
              <w:spacing w:after="0"/>
              <w:rPr>
                <w:sz w:val="17"/>
                <w:szCs w:val="17"/>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37,820,682</w:t>
            </w:r>
          </w:p>
        </w:tc>
      </w:tr>
      <w:tr>
        <w:trPr>
          <w:trHeight w:val="203"/>
        </w:trPr>
        <w:tc>
          <w:tcPr>
            <w:tcW w:w="2460" w:type="dxa"/>
            <w:vAlign w:val="bottom"/>
          </w:tcPr>
          <w:p>
            <w:pPr>
              <w:ind w:left="20"/>
              <w:spacing w:after="0"/>
              <w:rPr>
                <w:sz w:val="20"/>
                <w:szCs w:val="20"/>
                <w:color w:val="auto"/>
              </w:rPr>
            </w:pPr>
            <w:r>
              <w:rPr>
                <w:rFonts w:ascii="Arial" w:cs="Arial" w:eastAsia="Arial" w:hAnsi="Arial"/>
                <w:sz w:val="16"/>
                <w:szCs w:val="16"/>
                <w:color w:val="auto"/>
              </w:rPr>
              <w:t>Class C Floating Rate Notes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25,000,000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9"/>
              </w:rPr>
              <w:t>25,000,000</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6"/>
              </w:rPr>
              <w:t>LIBOR + 0.850%</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23,655,712</w:t>
            </w:r>
          </w:p>
        </w:tc>
      </w:tr>
      <w:tr>
        <w:trPr>
          <w:trHeight w:val="203"/>
        </w:trPr>
        <w:tc>
          <w:tcPr>
            <w:tcW w:w="2460" w:type="dxa"/>
            <w:vAlign w:val="bottom"/>
            <w:shd w:val="clear" w:color="auto" w:fill="CCFFCC"/>
          </w:tcPr>
          <w:p>
            <w:pPr>
              <w:ind w:left="20"/>
              <w:spacing w:after="0"/>
              <w:rPr>
                <w:sz w:val="20"/>
                <w:szCs w:val="20"/>
                <w:color w:val="auto"/>
              </w:rPr>
            </w:pPr>
            <w:r>
              <w:rPr>
                <w:rFonts w:ascii="Arial" w:cs="Arial" w:eastAsia="Arial" w:hAnsi="Arial"/>
                <w:sz w:val="16"/>
                <w:szCs w:val="16"/>
                <w:color w:val="auto"/>
              </w:rPr>
              <w:t>Class D Floating Rate Notes</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7"/>
              </w:rPr>
              <w:t>22,500,000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22,500,000</w:t>
            </w:r>
          </w:p>
        </w:tc>
        <w:tc>
          <w:tcPr>
            <w:tcW w:w="80" w:type="dxa"/>
            <w:vAlign w:val="bottom"/>
            <w:shd w:val="clear" w:color="auto" w:fill="CCFFCC"/>
          </w:tcPr>
          <w:p>
            <w:pPr>
              <w:spacing w:after="0"/>
              <w:rPr>
                <w:sz w:val="17"/>
                <w:szCs w:val="17"/>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6"/>
              </w:rPr>
              <w:t>LIBOR + 2.000%</w:t>
            </w:r>
          </w:p>
        </w:tc>
        <w:tc>
          <w:tcPr>
            <w:tcW w:w="80" w:type="dxa"/>
            <w:vAlign w:val="bottom"/>
            <w:shd w:val="clear" w:color="auto" w:fill="CCFFCC"/>
          </w:tcPr>
          <w:p>
            <w:pPr>
              <w:spacing w:after="0"/>
              <w:rPr>
                <w:sz w:val="17"/>
                <w:szCs w:val="17"/>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21,660,970</w:t>
            </w:r>
          </w:p>
        </w:tc>
      </w:tr>
      <w:tr>
        <w:trPr>
          <w:trHeight w:val="203"/>
        </w:trPr>
        <w:tc>
          <w:tcPr>
            <w:tcW w:w="2460" w:type="dxa"/>
            <w:vAlign w:val="bottom"/>
          </w:tcPr>
          <w:p>
            <w:pPr>
              <w:ind w:left="20"/>
              <w:spacing w:after="0"/>
              <w:rPr>
                <w:sz w:val="20"/>
                <w:szCs w:val="20"/>
                <w:color w:val="auto"/>
              </w:rPr>
            </w:pPr>
            <w:r>
              <w:rPr>
                <w:rFonts w:ascii="Arial" w:cs="Arial" w:eastAsia="Arial" w:hAnsi="Arial"/>
                <w:sz w:val="16"/>
                <w:szCs w:val="16"/>
                <w:color w:val="auto"/>
              </w:rPr>
              <w:t>Class E Floating Rate Notes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20,000,000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9"/>
              </w:rPr>
              <w:t>20,000,000</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6"/>
              </w:rPr>
              <w:t>LIBOR + 4.000%</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19,068,997</w:t>
            </w:r>
          </w:p>
        </w:tc>
      </w:tr>
      <w:tr>
        <w:trPr>
          <w:trHeight w:val="203"/>
        </w:trPr>
        <w:tc>
          <w:tcPr>
            <w:tcW w:w="2460" w:type="dxa"/>
            <w:vAlign w:val="bottom"/>
            <w:shd w:val="clear" w:color="auto" w:fill="CCFFCC"/>
          </w:tcPr>
          <w:p>
            <w:pPr>
              <w:ind w:left="20"/>
              <w:spacing w:after="0"/>
              <w:rPr>
                <w:sz w:val="20"/>
                <w:szCs w:val="20"/>
                <w:color w:val="auto"/>
              </w:rPr>
            </w:pPr>
            <w:r>
              <w:rPr>
                <w:rFonts w:ascii="Arial" w:cs="Arial" w:eastAsia="Arial" w:hAnsi="Arial"/>
                <w:sz w:val="16"/>
                <w:szCs w:val="16"/>
                <w:color w:val="auto"/>
              </w:rPr>
              <w:t>Subordinated Securities</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7"/>
              </w:rPr>
              <w:t>37,500,000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37,500,000</w:t>
            </w:r>
          </w:p>
        </w:tc>
        <w:tc>
          <w:tcPr>
            <w:tcW w:w="80" w:type="dxa"/>
            <w:vAlign w:val="bottom"/>
            <w:shd w:val="clear" w:color="auto" w:fill="CCFFCC"/>
          </w:tcPr>
          <w:p>
            <w:pPr>
              <w:spacing w:after="0"/>
              <w:rPr>
                <w:sz w:val="17"/>
                <w:szCs w:val="17"/>
                <w:color w:val="auto"/>
              </w:rPr>
            </w:pPr>
          </w:p>
        </w:tc>
        <w:tc>
          <w:tcPr>
            <w:tcW w:w="1360" w:type="dxa"/>
            <w:vAlign w:val="bottom"/>
            <w:shd w:val="clear" w:color="auto" w:fill="CCFFCC"/>
          </w:tcPr>
          <w:p>
            <w:pPr>
              <w:jc w:val="center"/>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FFCC"/>
          </w:tcPr>
          <w:p>
            <w:pPr>
              <w:spacing w:after="0"/>
              <w:rPr>
                <w:sz w:val="17"/>
                <w:szCs w:val="17"/>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7"/>
              </w:rPr>
              <w:t>April 17, 2020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17,796,489</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Fund has no commitments to fund investments as of December 31, 2013.</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KATONAH X CLO LTD.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NOTES TO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CAPITALIZATION</w:t>
      </w:r>
    </w:p>
    <w:p>
      <w:pPr>
        <w:spacing w:after="0" w:line="121" w:lineRule="exact"/>
        <w:rPr>
          <w:sz w:val="20"/>
          <w:szCs w:val="20"/>
          <w:color w:val="auto"/>
        </w:rPr>
      </w:pPr>
    </w:p>
    <w:p>
      <w:pPr>
        <w:ind w:left="40" w:right="639" w:firstLine="270"/>
        <w:spacing w:after="0" w:line="273" w:lineRule="auto"/>
        <w:rPr>
          <w:sz w:val="20"/>
          <w:szCs w:val="20"/>
          <w:color w:val="auto"/>
        </w:rPr>
      </w:pPr>
      <w:r>
        <w:rPr>
          <w:rFonts w:ascii="Arial" w:cs="Arial" w:eastAsia="Arial" w:hAnsi="Arial"/>
          <w:sz w:val="17"/>
          <w:szCs w:val="17"/>
          <w:color w:val="auto"/>
        </w:rPr>
        <w:t>The authorized share capital of the Issuer consists of 250 ordinary shares of $1.00 par value, all of which were issued on or prior to the closing Date and 37,500,000.00 Subordinated Notes, all of which are issued and fully paid . The ordinary shares that have been issued are held by Maples Finance Limited, a licensed trust company incorporated in the Cayman Islands, as the trustee pursuant to the terms of a charitable trust. The subordinated securities that have been issued by the Fund are owned by KCAP Financial. The subordinated securities are classified as debt in the Fund’s financial statements, as they are mandatorily redeemable upon liquidation or termination of the Fund.</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SUBSEQUENT EVENTS</w:t>
      </w:r>
    </w:p>
    <w:p>
      <w:pPr>
        <w:spacing w:after="0" w:line="121" w:lineRule="exact"/>
        <w:rPr>
          <w:sz w:val="20"/>
          <w:szCs w:val="20"/>
          <w:color w:val="auto"/>
        </w:rPr>
      </w:pPr>
    </w:p>
    <w:p>
      <w:pPr>
        <w:ind w:left="40" w:right="639" w:firstLine="270"/>
        <w:spacing w:after="0" w:line="264" w:lineRule="auto"/>
        <w:rPr>
          <w:sz w:val="20"/>
          <w:szCs w:val="20"/>
          <w:color w:val="auto"/>
        </w:rPr>
      </w:pPr>
      <w:r>
        <w:rPr>
          <w:rFonts w:ascii="Arial" w:cs="Arial" w:eastAsia="Arial" w:hAnsi="Arial"/>
          <w:sz w:val="18"/>
          <w:szCs w:val="18"/>
          <w:color w:val="auto"/>
        </w:rPr>
        <w:t>The Manager has evaluated events or transactions that have occurred since December 31, 2013 through March 12, 2014 the date the financial statements were available for issuance. The Manager has determined that there are no material events that would require the disclosure in the financial statements.</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right"/>
        <w:ind w:right="49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517969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p>
      <w:pPr>
        <w:spacing w:after="0" w:line="4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8006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4.1</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4.2</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4.4(a)</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4.4(b)</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Description</w:t>
      </w:r>
    </w:p>
    <w:p>
      <w:pPr>
        <w:spacing w:after="0" w:line="158" w:lineRule="exact"/>
        <w:rPr>
          <w:sz w:val="20"/>
          <w:szCs w:val="20"/>
          <w:color w:val="auto"/>
        </w:rPr>
      </w:pPr>
    </w:p>
    <w:p>
      <w:pPr>
        <w:ind w:right="2560"/>
        <w:spacing w:after="0" w:line="291" w:lineRule="auto"/>
        <w:rPr>
          <w:sz w:val="20"/>
          <w:szCs w:val="20"/>
          <w:color w:val="auto"/>
        </w:rPr>
      </w:pPr>
      <w:r>
        <w:rPr>
          <w:rFonts w:ascii="Arial" w:cs="Arial" w:eastAsia="Arial" w:hAnsi="Arial"/>
          <w:sz w:val="16"/>
          <w:szCs w:val="16"/>
          <w:color w:val="auto"/>
        </w:rPr>
        <w:t>Purchase and Sale Agreement, dated February 29, 2012, by and among Kohlberg Capital Corporation (the “Company”), Commodore Holdings, L.L.C., Trimaran Advisors, L.L.C., HBK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463105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ind w:right="2240"/>
        <w:spacing w:after="0" w:line="205" w:lineRule="auto"/>
        <w:rPr>
          <w:sz w:val="20"/>
          <w:szCs w:val="20"/>
          <w:color w:val="auto"/>
        </w:rPr>
      </w:pPr>
      <w:r>
        <w:rPr>
          <w:rFonts w:ascii="Arial" w:cs="Arial" w:eastAsia="Arial" w:hAnsi="Arial"/>
          <w:sz w:val="18"/>
          <w:szCs w:val="18"/>
          <w:color w:val="auto"/>
        </w:rPr>
        <w:t>Caravelle, L.L.C., Trimaran Fund Management, L.L.C., Jay R. Bloom, and Dean C. Kehler.</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Escrow Agreement, dated February 29. 2012, by and among Commodore Holdings, L.L.C., Trimaran Fund Management, L.L.C., HBK Caravelle, L.L.C. and The Bank of New York Mellon, as escrow agent.</w:t>
      </w:r>
      <w:r>
        <w:rPr>
          <w:rFonts w:ascii="Arial" w:cs="Arial" w:eastAsia="Arial" w:hAnsi="Arial"/>
          <w:sz w:val="30"/>
          <w:szCs w:val="30"/>
          <w:color w:val="auto"/>
          <w:vertAlign w:val="superscript"/>
        </w:rPr>
        <w:t>(2)</w:t>
      </w:r>
    </w:p>
    <w:p>
      <w:pPr>
        <w:spacing w:after="0" w:line="181" w:lineRule="auto"/>
        <w:rPr>
          <w:sz w:val="20"/>
          <w:szCs w:val="20"/>
          <w:color w:val="auto"/>
        </w:rPr>
      </w:pPr>
      <w:r>
        <w:rPr>
          <w:rFonts w:ascii="Arial" w:cs="Arial" w:eastAsia="Arial" w:hAnsi="Arial"/>
          <w:sz w:val="18"/>
          <w:szCs w:val="18"/>
          <w:color w:val="auto"/>
        </w:rPr>
        <w:t>Form of Certificate of Incorporation of the Company.</w:t>
      </w:r>
      <w:r>
        <w:rPr>
          <w:rFonts w:ascii="Arial" w:cs="Arial" w:eastAsia="Arial" w:hAnsi="Arial"/>
          <w:sz w:val="30"/>
          <w:szCs w:val="30"/>
          <w:color w:val="auto"/>
          <w:vertAlign w:val="superscript"/>
        </w:rPr>
        <w:t>(3)</w:t>
      </w:r>
    </w:p>
    <w:p>
      <w:pPr>
        <w:spacing w:after="0" w:line="221" w:lineRule="auto"/>
        <w:rPr>
          <w:sz w:val="20"/>
          <w:szCs w:val="20"/>
          <w:color w:val="auto"/>
        </w:rPr>
      </w:pPr>
      <w:r>
        <w:rPr>
          <w:rFonts w:ascii="Arial" w:cs="Arial" w:eastAsia="Arial" w:hAnsi="Arial"/>
          <w:sz w:val="17"/>
          <w:szCs w:val="17"/>
          <w:color w:val="auto"/>
        </w:rPr>
        <w:t>Form of Bylaws of the Company, as amended and restated effective February 29, 2012.</w:t>
      </w:r>
      <w:r>
        <w:rPr>
          <w:rFonts w:ascii="Arial" w:cs="Arial" w:eastAsia="Arial" w:hAnsi="Arial"/>
          <w:sz w:val="28"/>
          <w:szCs w:val="28"/>
          <w:color w:val="auto"/>
          <w:vertAlign w:val="superscript"/>
        </w:rPr>
        <w:t>(4)</w:t>
      </w:r>
    </w:p>
    <w:p>
      <w:pPr>
        <w:spacing w:after="0" w:line="181" w:lineRule="auto"/>
        <w:rPr>
          <w:sz w:val="20"/>
          <w:szCs w:val="20"/>
          <w:color w:val="auto"/>
        </w:rPr>
      </w:pPr>
      <w:r>
        <w:rPr>
          <w:rFonts w:ascii="Arial" w:cs="Arial" w:eastAsia="Arial" w:hAnsi="Arial"/>
          <w:sz w:val="16"/>
          <w:szCs w:val="16"/>
          <w:color w:val="auto"/>
        </w:rPr>
        <w:t>Specimen certificate of the Company’s common stock, par value $0.01 per share.</w:t>
      </w:r>
      <w:r>
        <w:rPr>
          <w:rFonts w:ascii="Arial" w:cs="Arial" w:eastAsia="Arial" w:hAnsi="Arial"/>
          <w:sz w:val="25"/>
          <w:szCs w:val="25"/>
          <w:color w:val="auto"/>
          <w:vertAlign w:val="superscript"/>
        </w:rPr>
        <w:t>(3)</w:t>
      </w:r>
    </w:p>
    <w:p>
      <w:pPr>
        <w:spacing w:after="0" w:line="185" w:lineRule="auto"/>
        <w:rPr>
          <w:sz w:val="20"/>
          <w:szCs w:val="20"/>
          <w:color w:val="auto"/>
        </w:rPr>
      </w:pPr>
      <w:r>
        <w:rPr>
          <w:rFonts w:ascii="Arial" w:cs="Arial" w:eastAsia="Arial" w:hAnsi="Arial"/>
          <w:sz w:val="18"/>
          <w:szCs w:val="18"/>
          <w:color w:val="auto"/>
        </w:rPr>
        <w:t>Form of Dividend Reinvestment Plan.</w:t>
      </w:r>
      <w:r>
        <w:rPr>
          <w:rFonts w:ascii="Arial" w:cs="Arial" w:eastAsia="Arial" w:hAnsi="Arial"/>
          <w:sz w:val="29"/>
          <w:szCs w:val="29"/>
          <w:color w:val="auto"/>
          <w:vertAlign w:val="superscript"/>
        </w:rPr>
        <w:t>(5)</w:t>
      </w:r>
    </w:p>
    <w:p>
      <w:pPr>
        <w:ind w:right="2400"/>
        <w:spacing w:after="0" w:line="205" w:lineRule="auto"/>
        <w:rPr>
          <w:sz w:val="20"/>
          <w:szCs w:val="20"/>
          <w:color w:val="auto"/>
        </w:rPr>
      </w:pPr>
      <w:r>
        <w:rPr>
          <w:rFonts w:ascii="Arial" w:cs="Arial" w:eastAsia="Arial" w:hAnsi="Arial"/>
          <w:sz w:val="18"/>
          <w:szCs w:val="18"/>
          <w:color w:val="auto"/>
        </w:rPr>
        <w:t>Form of Base Indenture between the Company and U.S. Bank National Association relating to the 7.375% Senior Notes Due 2019.</w:t>
      </w:r>
      <w:r>
        <w:rPr>
          <w:rFonts w:ascii="Arial" w:cs="Arial" w:eastAsia="Arial" w:hAnsi="Arial"/>
          <w:sz w:val="30"/>
          <w:szCs w:val="30"/>
          <w:color w:val="auto"/>
          <w:vertAlign w:val="superscript"/>
        </w:rPr>
        <w:t>(19)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Form of First Supplemental Indenture between the Company and U.S. Bank National Association</w:t>
      </w:r>
    </w:p>
    <w:p>
      <w:pPr>
        <w:spacing w:after="0" w:line="7" w:lineRule="exact"/>
        <w:rPr>
          <w:sz w:val="20"/>
          <w:szCs w:val="20"/>
          <w:color w:val="auto"/>
        </w:rPr>
      </w:pPr>
    </w:p>
    <w:p>
      <w:pPr>
        <w:sectPr>
          <w:pgSz w:w="11900" w:h="16838" w:orient="portrait"/>
          <w:cols w:equalWidth="0" w:num="2">
            <w:col w:w="640" w:space="280"/>
            <w:col w:w="9460"/>
          </w:cols>
          <w:pgMar w:left="380" w:top="792" w:right="1139" w:bottom="1440" w:gutter="0" w:footer="0" w:header="0"/>
          <w:type w:val="continuous"/>
        </w:sectPr>
      </w:pPr>
    </w:p>
    <w:tbl>
      <w:tblPr>
        <w:tblLayout w:type="fixed"/>
        <w:tblInd w:w="160" w:type="dxa"/>
        <w:tblCellMar>
          <w:top w:w="0" w:type="dxa"/>
          <w:left w:w="0" w:type="dxa"/>
          <w:bottom w:w="0" w:type="dxa"/>
          <w:right w:w="0" w:type="dxa"/>
        </w:tblCellMar>
      </w:tblPr>
      <w:tr>
        <w:trPr>
          <w:trHeight w:val="266"/>
        </w:trPr>
        <w:tc>
          <w:tcPr>
            <w:tcW w:w="620" w:type="dxa"/>
            <w:vAlign w:val="bottom"/>
          </w:tcPr>
          <w:p>
            <w:pPr>
              <w:spacing w:after="0"/>
              <w:rPr>
                <w:sz w:val="23"/>
                <w:szCs w:val="23"/>
                <w:color w:val="auto"/>
              </w:rPr>
            </w:pPr>
          </w:p>
        </w:tc>
        <w:tc>
          <w:tcPr>
            <w:tcW w:w="9600" w:type="dxa"/>
            <w:vAlign w:val="bottom"/>
          </w:tcPr>
          <w:p>
            <w:pPr>
              <w:ind w:left="140"/>
              <w:spacing w:after="0" w:line="265" w:lineRule="exact"/>
              <w:rPr>
                <w:sz w:val="20"/>
                <w:szCs w:val="20"/>
                <w:color w:val="auto"/>
              </w:rPr>
            </w:pPr>
            <w:r>
              <w:rPr>
                <w:rFonts w:ascii="Arial" w:cs="Arial" w:eastAsia="Arial" w:hAnsi="Arial"/>
                <w:sz w:val="18"/>
                <w:szCs w:val="18"/>
                <w:color w:val="auto"/>
              </w:rPr>
              <w:t>relating to the 7.375% Senior Notes Due 2019.</w:t>
            </w:r>
            <w:r>
              <w:rPr>
                <w:rFonts w:ascii="Arial" w:cs="Arial" w:eastAsia="Arial" w:hAnsi="Arial"/>
                <w:sz w:val="30"/>
                <w:szCs w:val="30"/>
                <w:color w:val="auto"/>
                <w:vertAlign w:val="superscript"/>
              </w:rPr>
              <w:t>(19)</w:t>
            </w:r>
          </w:p>
        </w:tc>
      </w:tr>
      <w:tr>
        <w:trPr>
          <w:trHeight w:val="21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4.5</w:t>
            </w:r>
          </w:p>
        </w:tc>
        <w:tc>
          <w:tcPr>
            <w:tcW w:w="9600" w:type="dxa"/>
            <w:vAlign w:val="bottom"/>
          </w:tcPr>
          <w:p>
            <w:pPr>
              <w:ind w:left="140"/>
              <w:spacing w:after="0"/>
              <w:rPr>
                <w:sz w:val="20"/>
                <w:szCs w:val="20"/>
                <w:color w:val="auto"/>
              </w:rPr>
            </w:pPr>
            <w:r>
              <w:rPr>
                <w:rFonts w:ascii="Arial" w:cs="Arial" w:eastAsia="Arial" w:hAnsi="Arial"/>
                <w:sz w:val="18"/>
                <w:szCs w:val="18"/>
                <w:color w:val="auto"/>
              </w:rPr>
              <w:t>Form of Note relating to the 7.375% Senior Notes Due 2019 (included as part of Exhibit 4.4(b)).</w:t>
            </w:r>
          </w:p>
        </w:tc>
      </w:tr>
      <w:tr>
        <w:trPr>
          <w:trHeight w:val="22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4.6</w:t>
            </w:r>
          </w:p>
        </w:tc>
        <w:tc>
          <w:tcPr>
            <w:tcW w:w="9600" w:type="dxa"/>
            <w:vAlign w:val="bottom"/>
          </w:tcPr>
          <w:p>
            <w:pPr>
              <w:ind w:left="140"/>
              <w:spacing w:after="0"/>
              <w:rPr>
                <w:sz w:val="20"/>
                <w:szCs w:val="20"/>
                <w:color w:val="auto"/>
              </w:rPr>
            </w:pPr>
            <w:r>
              <w:rPr>
                <w:rFonts w:ascii="Arial" w:cs="Arial" w:eastAsia="Arial" w:hAnsi="Arial"/>
                <w:sz w:val="18"/>
                <w:szCs w:val="18"/>
                <w:color w:val="auto"/>
              </w:rPr>
              <w:t>Indenture dated as of March 16, 2011, by and between the Company and U.S. Bank National</w:t>
            </w:r>
          </w:p>
        </w:tc>
      </w:tr>
      <w:tr>
        <w:trPr>
          <w:trHeight w:val="253"/>
        </w:trPr>
        <w:tc>
          <w:tcPr>
            <w:tcW w:w="620" w:type="dxa"/>
            <w:vAlign w:val="bottom"/>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Association, as trustee relating to the 8.75% Convertible Senior Notes Due 2016.</w:t>
            </w:r>
            <w:r>
              <w:rPr>
                <w:rFonts w:ascii="Arial" w:cs="Arial" w:eastAsia="Arial" w:hAnsi="Arial"/>
                <w:sz w:val="29"/>
                <w:szCs w:val="29"/>
                <w:color w:val="auto"/>
                <w:vertAlign w:val="superscript"/>
              </w:rPr>
              <w:t>(6)</w:t>
            </w:r>
          </w:p>
        </w:tc>
      </w:tr>
      <w:tr>
        <w:trPr>
          <w:trHeight w:val="21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87"/>
              </w:rPr>
              <w:t>4.7</w:t>
            </w:r>
          </w:p>
        </w:tc>
        <w:tc>
          <w:tcPr>
            <w:tcW w:w="9600" w:type="dxa"/>
            <w:vAlign w:val="bottom"/>
          </w:tcPr>
          <w:p>
            <w:pPr>
              <w:ind w:left="140"/>
              <w:spacing w:after="0"/>
              <w:rPr>
                <w:sz w:val="20"/>
                <w:szCs w:val="20"/>
                <w:color w:val="auto"/>
              </w:rPr>
            </w:pPr>
            <w:r>
              <w:rPr>
                <w:rFonts w:ascii="Arial" w:cs="Arial" w:eastAsia="Arial" w:hAnsi="Arial"/>
                <w:sz w:val="18"/>
                <w:szCs w:val="18"/>
                <w:color w:val="auto"/>
              </w:rPr>
              <w:t>Form of 8.75% Convertible Senior Notes Due 2016 (included as part of Exhibit 4.6).</w:t>
            </w:r>
          </w:p>
        </w:tc>
      </w:tr>
      <w:tr>
        <w:trPr>
          <w:trHeight w:val="257"/>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10.1</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the Amended and Restated 2006 Equity Incentive Plan.</w:t>
            </w:r>
            <w:r>
              <w:rPr>
                <w:rFonts w:ascii="Arial" w:cs="Arial" w:eastAsia="Arial" w:hAnsi="Arial"/>
                <w:sz w:val="29"/>
                <w:szCs w:val="29"/>
                <w:color w:val="auto"/>
                <w:vertAlign w:val="superscript"/>
              </w:rPr>
              <w:t>(7)*</w:t>
            </w:r>
          </w:p>
        </w:tc>
      </w:tr>
      <w:tr>
        <w:trPr>
          <w:trHeight w:val="257"/>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10.2</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Company Non-Qualified Stock Option Certificate.</w:t>
            </w:r>
            <w:r>
              <w:rPr>
                <w:rFonts w:ascii="Arial" w:cs="Arial" w:eastAsia="Arial" w:hAnsi="Arial"/>
                <w:sz w:val="29"/>
                <w:szCs w:val="29"/>
                <w:color w:val="auto"/>
                <w:vertAlign w:val="superscript"/>
              </w:rPr>
              <w:t>(5)*</w:t>
            </w:r>
          </w:p>
        </w:tc>
      </w:tr>
      <w:tr>
        <w:trPr>
          <w:trHeight w:val="257"/>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10.3</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Custodian Agreement.</w:t>
            </w:r>
            <w:r>
              <w:rPr>
                <w:rFonts w:ascii="Arial" w:cs="Arial" w:eastAsia="Arial" w:hAnsi="Arial"/>
                <w:sz w:val="29"/>
                <w:szCs w:val="29"/>
                <w:color w:val="auto"/>
                <w:vertAlign w:val="superscript"/>
              </w:rPr>
              <w:t>(5)</w:t>
            </w:r>
          </w:p>
        </w:tc>
      </w:tr>
      <w:tr>
        <w:trPr>
          <w:trHeight w:val="220"/>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10.5</w:t>
            </w:r>
          </w:p>
        </w:tc>
        <w:tc>
          <w:tcPr>
            <w:tcW w:w="9600" w:type="dxa"/>
            <w:vAlign w:val="bottom"/>
          </w:tcPr>
          <w:p>
            <w:pPr>
              <w:ind w:left="140"/>
              <w:spacing w:after="0"/>
              <w:rPr>
                <w:sz w:val="20"/>
                <w:szCs w:val="20"/>
                <w:color w:val="auto"/>
              </w:rPr>
            </w:pPr>
            <w:r>
              <w:rPr>
                <w:rFonts w:ascii="Arial" w:cs="Arial" w:eastAsia="Arial" w:hAnsi="Arial"/>
                <w:sz w:val="18"/>
                <w:szCs w:val="18"/>
                <w:color w:val="auto"/>
              </w:rPr>
              <w:t>Form of Overhead Allocation Agreement between the Company and Katonah Debt Advisors, L.L.C.</w:t>
            </w:r>
          </w:p>
        </w:tc>
      </w:tr>
      <w:tr>
        <w:trPr>
          <w:trHeight w:val="190"/>
        </w:trPr>
        <w:tc>
          <w:tcPr>
            <w:tcW w:w="620" w:type="dxa"/>
            <w:vAlign w:val="bottom"/>
          </w:tcPr>
          <w:p>
            <w:pPr>
              <w:spacing w:after="0"/>
              <w:rPr>
                <w:sz w:val="16"/>
                <w:szCs w:val="16"/>
                <w:color w:val="auto"/>
              </w:rPr>
            </w:pPr>
          </w:p>
        </w:tc>
        <w:tc>
          <w:tcPr>
            <w:tcW w:w="9600" w:type="dxa"/>
            <w:vAlign w:val="bottom"/>
          </w:tcPr>
          <w:p>
            <w:pPr>
              <w:ind w:left="140"/>
              <w:spacing w:after="0"/>
              <w:rPr>
                <w:sz w:val="20"/>
                <w:szCs w:val="20"/>
                <w:color w:val="auto"/>
              </w:rPr>
            </w:pPr>
            <w:r>
              <w:rPr>
                <w:rFonts w:ascii="Arial" w:cs="Arial" w:eastAsia="Arial" w:hAnsi="Arial"/>
                <w:sz w:val="15"/>
                <w:szCs w:val="15"/>
                <w:color w:val="auto"/>
              </w:rPr>
              <w:t>(5)</w:t>
            </w:r>
          </w:p>
        </w:tc>
      </w:tr>
      <w:tr>
        <w:trPr>
          <w:trHeight w:val="266"/>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10.6</w:t>
            </w:r>
          </w:p>
        </w:tc>
        <w:tc>
          <w:tcPr>
            <w:tcW w:w="9600" w:type="dxa"/>
            <w:vAlign w:val="bottom"/>
          </w:tcPr>
          <w:p>
            <w:pPr>
              <w:ind w:left="140"/>
              <w:spacing w:after="0" w:line="265" w:lineRule="exact"/>
              <w:rPr>
                <w:sz w:val="20"/>
                <w:szCs w:val="20"/>
                <w:color w:val="auto"/>
              </w:rPr>
            </w:pPr>
            <w:r>
              <w:rPr>
                <w:rFonts w:ascii="Arial" w:cs="Arial" w:eastAsia="Arial" w:hAnsi="Arial"/>
                <w:sz w:val="18"/>
                <w:szCs w:val="18"/>
                <w:color w:val="auto"/>
              </w:rPr>
              <w:t>Form of Employment Agreement between the Company and Dayl W. Pearson.</w:t>
            </w:r>
            <w:r>
              <w:rPr>
                <w:rFonts w:ascii="Arial" w:cs="Arial" w:eastAsia="Arial" w:hAnsi="Arial"/>
                <w:sz w:val="30"/>
                <w:szCs w:val="30"/>
                <w:color w:val="auto"/>
                <w:vertAlign w:val="superscript"/>
              </w:rPr>
              <w:t>(20)*</w:t>
            </w:r>
          </w:p>
        </w:tc>
      </w:tr>
      <w:tr>
        <w:trPr>
          <w:trHeight w:val="257"/>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10.7</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Employment Agreement between the Company and Edward U. Gilpin.</w:t>
            </w:r>
            <w:r>
              <w:rPr>
                <w:rFonts w:ascii="Arial" w:cs="Arial" w:eastAsia="Arial" w:hAnsi="Arial"/>
                <w:sz w:val="29"/>
                <w:szCs w:val="29"/>
                <w:color w:val="auto"/>
                <w:vertAlign w:val="superscript"/>
              </w:rPr>
              <w:t>(21)*</w:t>
            </w:r>
          </w:p>
        </w:tc>
      </w:tr>
      <w:tr>
        <w:trPr>
          <w:trHeight w:val="257"/>
        </w:trPr>
        <w:tc>
          <w:tcPr>
            <w:tcW w:w="620" w:type="dxa"/>
            <w:vAlign w:val="bottom"/>
          </w:tcPr>
          <w:p>
            <w:pPr>
              <w:jc w:val="right"/>
              <w:ind w:right="190"/>
              <w:spacing w:after="0"/>
              <w:rPr>
                <w:sz w:val="20"/>
                <w:szCs w:val="20"/>
                <w:color w:val="auto"/>
              </w:rPr>
            </w:pPr>
            <w:r>
              <w:rPr>
                <w:rFonts w:ascii="Arial" w:cs="Arial" w:eastAsia="Arial" w:hAnsi="Arial"/>
                <w:sz w:val="18"/>
                <w:szCs w:val="18"/>
                <w:color w:val="auto"/>
                <w:w w:val="91"/>
              </w:rPr>
              <w:t>10.8</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Employment Agreement between the Company and R. Jon Corless.</w:t>
            </w:r>
            <w:r>
              <w:rPr>
                <w:rFonts w:ascii="Arial" w:cs="Arial" w:eastAsia="Arial" w:hAnsi="Arial"/>
                <w:sz w:val="29"/>
                <w:szCs w:val="29"/>
                <w:color w:val="auto"/>
                <w:vertAlign w:val="superscript"/>
              </w:rPr>
              <w:t>(20)*</w:t>
            </w:r>
          </w:p>
        </w:tc>
      </w:tr>
      <w:tr>
        <w:trPr>
          <w:trHeight w:val="257"/>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10.13</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Employment Agreement between Katonah Debt Advisors and Daniel P. Gilligan.</w:t>
            </w:r>
            <w:r>
              <w:rPr>
                <w:rFonts w:ascii="Arial" w:cs="Arial" w:eastAsia="Arial" w:hAnsi="Arial"/>
                <w:sz w:val="29"/>
                <w:szCs w:val="29"/>
                <w:color w:val="auto"/>
                <w:vertAlign w:val="superscript"/>
              </w:rPr>
              <w:t>(20)*</w:t>
            </w:r>
          </w:p>
        </w:tc>
      </w:tr>
      <w:tr>
        <w:trPr>
          <w:trHeight w:val="257"/>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10.14</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Form of Indemnification Agreement for Officers and Directors of the Company.</w:t>
            </w:r>
            <w:r>
              <w:rPr>
                <w:rFonts w:ascii="Arial" w:cs="Arial" w:eastAsia="Arial" w:hAnsi="Arial"/>
                <w:sz w:val="29"/>
                <w:szCs w:val="29"/>
                <w:color w:val="auto"/>
                <w:vertAlign w:val="superscript"/>
              </w:rPr>
              <w:t>(11)</w:t>
            </w:r>
          </w:p>
        </w:tc>
      </w:tr>
      <w:tr>
        <w:trPr>
          <w:trHeight w:val="257"/>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10.20</w:t>
            </w:r>
          </w:p>
        </w:tc>
        <w:tc>
          <w:tcPr>
            <w:tcW w:w="9600" w:type="dxa"/>
            <w:vAlign w:val="bottom"/>
          </w:tcPr>
          <w:p>
            <w:pPr>
              <w:ind w:left="140"/>
              <w:spacing w:after="0" w:line="256" w:lineRule="exact"/>
              <w:rPr>
                <w:sz w:val="20"/>
                <w:szCs w:val="20"/>
                <w:color w:val="auto"/>
              </w:rPr>
            </w:pPr>
            <w:r>
              <w:rPr>
                <w:rFonts w:ascii="Arial" w:cs="Arial" w:eastAsia="Arial" w:hAnsi="Arial"/>
                <w:sz w:val="18"/>
                <w:szCs w:val="18"/>
                <w:color w:val="auto"/>
              </w:rPr>
              <w:t>Amended and Restated Non-Employee Director Plan.</w:t>
            </w:r>
            <w:r>
              <w:rPr>
                <w:rFonts w:ascii="Arial" w:cs="Arial" w:eastAsia="Arial" w:hAnsi="Arial"/>
                <w:sz w:val="29"/>
                <w:szCs w:val="29"/>
                <w:color w:val="auto"/>
                <w:vertAlign w:val="superscript"/>
              </w:rPr>
              <w:t>(13)*</w:t>
            </w:r>
          </w:p>
        </w:tc>
      </w:tr>
      <w:tr>
        <w:trPr>
          <w:trHeight w:val="22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10.21</w:t>
            </w:r>
          </w:p>
        </w:tc>
        <w:tc>
          <w:tcPr>
            <w:tcW w:w="9600" w:type="dxa"/>
            <w:vAlign w:val="bottom"/>
          </w:tcPr>
          <w:p>
            <w:pPr>
              <w:ind w:left="140"/>
              <w:spacing w:after="0"/>
              <w:rPr>
                <w:sz w:val="20"/>
                <w:szCs w:val="20"/>
                <w:color w:val="auto"/>
              </w:rPr>
            </w:pPr>
            <w:r>
              <w:rPr>
                <w:rFonts w:ascii="Arial" w:cs="Arial" w:eastAsia="Arial" w:hAnsi="Arial"/>
                <w:sz w:val="18"/>
                <w:szCs w:val="18"/>
                <w:color w:val="auto"/>
              </w:rPr>
              <w:t>Purchase Agreement, dated June 16, 2013, by and among KCAP Financial, Inc., KCAP Senior</w:t>
            </w:r>
          </w:p>
        </w:tc>
      </w:tr>
      <w:tr>
        <w:trPr>
          <w:trHeight w:val="253"/>
        </w:trPr>
        <w:tc>
          <w:tcPr>
            <w:tcW w:w="620" w:type="dxa"/>
            <w:vAlign w:val="bottom"/>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Funding I Holdings, LLC, KCAP Senior Funding I, LLC and Guggenheim Securities, LLC.</w:t>
            </w:r>
            <w:r>
              <w:rPr>
                <w:rFonts w:ascii="Arial" w:cs="Arial" w:eastAsia="Arial" w:hAnsi="Arial"/>
                <w:sz w:val="29"/>
                <w:szCs w:val="29"/>
                <w:color w:val="auto"/>
                <w:vertAlign w:val="superscript"/>
              </w:rPr>
              <w:t>(23)</w:t>
            </w:r>
          </w:p>
        </w:tc>
      </w:tr>
      <w:tr>
        <w:trPr>
          <w:trHeight w:val="22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10.22</w:t>
            </w:r>
          </w:p>
        </w:tc>
        <w:tc>
          <w:tcPr>
            <w:tcW w:w="9600" w:type="dxa"/>
            <w:vAlign w:val="bottom"/>
          </w:tcPr>
          <w:p>
            <w:pPr>
              <w:ind w:left="140"/>
              <w:spacing w:after="0"/>
              <w:rPr>
                <w:sz w:val="20"/>
                <w:szCs w:val="20"/>
                <w:color w:val="auto"/>
              </w:rPr>
            </w:pPr>
            <w:r>
              <w:rPr>
                <w:rFonts w:ascii="Arial" w:cs="Arial" w:eastAsia="Arial" w:hAnsi="Arial"/>
                <w:sz w:val="18"/>
                <w:szCs w:val="18"/>
                <w:color w:val="auto"/>
              </w:rPr>
              <w:t>Master Loan Sale Agreement, dated June 18, 2013, by and among KCAP Financial, Inc., KCAP</w:t>
            </w:r>
          </w:p>
        </w:tc>
      </w:tr>
      <w:tr>
        <w:trPr>
          <w:trHeight w:val="253"/>
        </w:trPr>
        <w:tc>
          <w:tcPr>
            <w:tcW w:w="620" w:type="dxa"/>
            <w:vAlign w:val="bottom"/>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Senior Funding I Holdings, LLC and KCAP Senior Funding I, LLC.</w:t>
            </w:r>
            <w:r>
              <w:rPr>
                <w:rFonts w:ascii="Arial" w:cs="Arial" w:eastAsia="Arial" w:hAnsi="Arial"/>
                <w:sz w:val="29"/>
                <w:szCs w:val="29"/>
                <w:color w:val="auto"/>
                <w:vertAlign w:val="superscript"/>
              </w:rPr>
              <w:t>(24)</w:t>
            </w:r>
          </w:p>
        </w:tc>
      </w:tr>
      <w:tr>
        <w:trPr>
          <w:trHeight w:val="22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10.23</w:t>
            </w:r>
          </w:p>
        </w:tc>
        <w:tc>
          <w:tcPr>
            <w:tcW w:w="9600" w:type="dxa"/>
            <w:vAlign w:val="bottom"/>
          </w:tcPr>
          <w:p>
            <w:pPr>
              <w:ind w:left="140"/>
              <w:spacing w:after="0"/>
              <w:rPr>
                <w:sz w:val="20"/>
                <w:szCs w:val="20"/>
                <w:color w:val="auto"/>
              </w:rPr>
            </w:pPr>
            <w:r>
              <w:rPr>
                <w:rFonts w:ascii="Arial" w:cs="Arial" w:eastAsia="Arial" w:hAnsi="Arial"/>
                <w:sz w:val="18"/>
                <w:szCs w:val="18"/>
                <w:color w:val="auto"/>
              </w:rPr>
              <w:t>Indenture, dated June 18, 2013, by and between KCAP Senior Funding I, LLC and U.S. Bank</w:t>
            </w:r>
          </w:p>
        </w:tc>
      </w:tr>
      <w:tr>
        <w:trPr>
          <w:trHeight w:val="253"/>
        </w:trPr>
        <w:tc>
          <w:tcPr>
            <w:tcW w:w="620" w:type="dxa"/>
            <w:vAlign w:val="bottom"/>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National Association.</w:t>
            </w:r>
            <w:r>
              <w:rPr>
                <w:rFonts w:ascii="Arial" w:cs="Arial" w:eastAsia="Arial" w:hAnsi="Arial"/>
                <w:sz w:val="29"/>
                <w:szCs w:val="29"/>
                <w:color w:val="auto"/>
                <w:vertAlign w:val="superscript"/>
              </w:rPr>
              <w:t>(25)</w:t>
            </w:r>
          </w:p>
        </w:tc>
      </w:tr>
      <w:tr>
        <w:trPr>
          <w:trHeight w:val="22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10.24</w:t>
            </w:r>
          </w:p>
        </w:tc>
        <w:tc>
          <w:tcPr>
            <w:tcW w:w="9600" w:type="dxa"/>
            <w:vAlign w:val="bottom"/>
          </w:tcPr>
          <w:p>
            <w:pPr>
              <w:ind w:left="140"/>
              <w:spacing w:after="0"/>
              <w:rPr>
                <w:sz w:val="20"/>
                <w:szCs w:val="20"/>
                <w:color w:val="auto"/>
              </w:rPr>
            </w:pPr>
            <w:r>
              <w:rPr>
                <w:rFonts w:ascii="Arial" w:cs="Arial" w:eastAsia="Arial" w:hAnsi="Arial"/>
                <w:sz w:val="18"/>
                <w:szCs w:val="18"/>
                <w:color w:val="auto"/>
              </w:rPr>
              <w:t>Collateral Management Agreement, dated June 18, 2013, by and between KCAP Senior Funding I,</w:t>
            </w:r>
          </w:p>
        </w:tc>
      </w:tr>
      <w:tr>
        <w:trPr>
          <w:trHeight w:val="253"/>
        </w:trPr>
        <w:tc>
          <w:tcPr>
            <w:tcW w:w="620" w:type="dxa"/>
            <w:vAlign w:val="bottom"/>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LLC and KCAP Financial, Inc.</w:t>
            </w:r>
            <w:r>
              <w:rPr>
                <w:rFonts w:ascii="Arial" w:cs="Arial" w:eastAsia="Arial" w:hAnsi="Arial"/>
                <w:sz w:val="29"/>
                <w:szCs w:val="29"/>
                <w:color w:val="auto"/>
                <w:vertAlign w:val="superscript"/>
              </w:rPr>
              <w:t>(26)</w:t>
            </w:r>
          </w:p>
        </w:tc>
      </w:tr>
      <w:tr>
        <w:trPr>
          <w:trHeight w:val="220"/>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10.25</w:t>
            </w:r>
          </w:p>
        </w:tc>
        <w:tc>
          <w:tcPr>
            <w:tcW w:w="9600" w:type="dxa"/>
            <w:vAlign w:val="bottom"/>
          </w:tcPr>
          <w:p>
            <w:pPr>
              <w:ind w:left="140"/>
              <w:spacing w:after="0"/>
              <w:rPr>
                <w:sz w:val="20"/>
                <w:szCs w:val="20"/>
                <w:color w:val="auto"/>
              </w:rPr>
            </w:pPr>
            <w:r>
              <w:rPr>
                <w:rFonts w:ascii="Arial" w:cs="Arial" w:eastAsia="Arial" w:hAnsi="Arial"/>
                <w:sz w:val="18"/>
                <w:szCs w:val="18"/>
                <w:color w:val="auto"/>
              </w:rPr>
              <w:t>Collateral Administration Agreement, dated June 18, 2013, by and among KCAP Senior Funding I,</w:t>
            </w:r>
          </w:p>
        </w:tc>
      </w:tr>
      <w:tr>
        <w:trPr>
          <w:trHeight w:val="253"/>
        </w:trPr>
        <w:tc>
          <w:tcPr>
            <w:tcW w:w="620" w:type="dxa"/>
            <w:vAlign w:val="bottom"/>
          </w:tcPr>
          <w:p>
            <w:pPr>
              <w:spacing w:after="0"/>
              <w:rPr>
                <w:sz w:val="21"/>
                <w:szCs w:val="21"/>
                <w:color w:val="auto"/>
              </w:rPr>
            </w:pPr>
          </w:p>
        </w:tc>
        <w:tc>
          <w:tcPr>
            <w:tcW w:w="9600" w:type="dxa"/>
            <w:vAlign w:val="bottom"/>
          </w:tcPr>
          <w:p>
            <w:pPr>
              <w:ind w:left="140"/>
              <w:spacing w:after="0" w:line="253" w:lineRule="exact"/>
              <w:rPr>
                <w:sz w:val="20"/>
                <w:szCs w:val="20"/>
                <w:color w:val="auto"/>
              </w:rPr>
            </w:pPr>
            <w:r>
              <w:rPr>
                <w:rFonts w:ascii="Arial" w:cs="Arial" w:eastAsia="Arial" w:hAnsi="Arial"/>
                <w:sz w:val="18"/>
                <w:szCs w:val="18"/>
                <w:color w:val="auto"/>
              </w:rPr>
              <w:t>LLC and U.S. Bank National Association and U.S. Bank National Association.</w:t>
            </w:r>
            <w:r>
              <w:rPr>
                <w:rFonts w:ascii="Arial" w:cs="Arial" w:eastAsia="Arial" w:hAnsi="Arial"/>
                <w:sz w:val="29"/>
                <w:szCs w:val="29"/>
                <w:color w:val="auto"/>
                <w:vertAlign w:val="superscript"/>
              </w:rPr>
              <w:t>(27)</w:t>
            </w:r>
          </w:p>
        </w:tc>
      </w:tr>
      <w:tr>
        <w:trPr>
          <w:trHeight w:val="216"/>
        </w:trPr>
        <w:tc>
          <w:tcPr>
            <w:tcW w:w="620" w:type="dxa"/>
            <w:vAlign w:val="bottom"/>
          </w:tcPr>
          <w:p>
            <w:pPr>
              <w:jc w:val="center"/>
              <w:ind w:right="110"/>
              <w:spacing w:after="0"/>
              <w:rPr>
                <w:sz w:val="20"/>
                <w:szCs w:val="20"/>
                <w:color w:val="auto"/>
              </w:rPr>
            </w:pPr>
            <w:r>
              <w:rPr>
                <w:rFonts w:ascii="Arial" w:cs="Arial" w:eastAsia="Arial" w:hAnsi="Arial"/>
                <w:sz w:val="18"/>
                <w:szCs w:val="18"/>
                <w:color w:val="auto"/>
                <w:w w:val="93"/>
              </w:rPr>
              <w:t>10.26</w:t>
            </w:r>
          </w:p>
        </w:tc>
        <w:tc>
          <w:tcPr>
            <w:tcW w:w="9600" w:type="dxa"/>
            <w:vAlign w:val="bottom"/>
          </w:tcPr>
          <w:p>
            <w:pPr>
              <w:ind w:left="140"/>
              <w:spacing w:after="0"/>
              <w:rPr>
                <w:sz w:val="20"/>
                <w:szCs w:val="20"/>
                <w:color w:val="auto"/>
              </w:rPr>
            </w:pPr>
            <w:r>
              <w:rPr>
                <w:rFonts w:ascii="Arial" w:cs="Arial" w:eastAsia="Arial" w:hAnsi="Arial"/>
                <w:sz w:val="18"/>
                <w:szCs w:val="18"/>
                <w:color w:val="auto"/>
              </w:rPr>
              <w:t>Employment Agreement, dated February 29, 2012, by and among, Jay R. Bloom and Trimaran</w:t>
            </w:r>
          </w:p>
        </w:tc>
      </w:tr>
      <w:tr>
        <w:trPr>
          <w:trHeight w:val="220"/>
        </w:trPr>
        <w:tc>
          <w:tcPr>
            <w:tcW w:w="620" w:type="dxa"/>
            <w:vAlign w:val="bottom"/>
          </w:tcPr>
          <w:p>
            <w:pPr>
              <w:spacing w:after="0"/>
              <w:rPr>
                <w:sz w:val="19"/>
                <w:szCs w:val="19"/>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Advisors, L.L.C., and, solely as to the last three sentences of Section 1(a) and Section 2(d), the</w:t>
            </w:r>
          </w:p>
        </w:tc>
      </w:tr>
      <w:tr>
        <w:trPr>
          <w:trHeight w:val="390"/>
        </w:trPr>
        <w:tc>
          <w:tcPr>
            <w:tcW w:w="620" w:type="dxa"/>
            <w:vAlign w:val="bottom"/>
          </w:tcPr>
          <w:p>
            <w:pPr>
              <w:spacing w:after="0"/>
              <w:rPr>
                <w:sz w:val="24"/>
                <w:szCs w:val="24"/>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Company.</w:t>
            </w:r>
            <w:r>
              <w:rPr>
                <w:rFonts w:ascii="Arial" w:cs="Arial" w:eastAsia="Arial" w:hAnsi="Arial"/>
                <w:sz w:val="30"/>
                <w:szCs w:val="30"/>
                <w:color w:val="auto"/>
                <w:vertAlign w:val="superscript"/>
              </w:rPr>
              <w:t>(16)*</w:t>
            </w:r>
          </w:p>
        </w:tc>
      </w:tr>
      <w:tr>
        <w:trPr>
          <w:trHeight w:val="593"/>
        </w:trPr>
        <w:tc>
          <w:tcPr>
            <w:tcW w:w="620" w:type="dxa"/>
            <w:vAlign w:val="bottom"/>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r>
      <w:tr>
        <w:trPr>
          <w:trHeight w:val="21"/>
        </w:trPr>
        <w:tc>
          <w:tcPr>
            <w:tcW w:w="620" w:type="dxa"/>
            <w:vAlign w:val="bottom"/>
          </w:tcPr>
          <w:p>
            <w:pPr>
              <w:spacing w:after="0" w:line="20" w:lineRule="exact"/>
              <w:rPr>
                <w:sz w:val="1"/>
                <w:szCs w:val="1"/>
                <w:color w:val="auto"/>
              </w:rPr>
            </w:pPr>
          </w:p>
        </w:tc>
        <w:tc>
          <w:tcPr>
            <w:tcW w:w="9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type w:val="continuous"/>
        </w:sectPr>
      </w:pPr>
    </w:p>
    <w:bookmarkStart w:id="198" w:name="page199"/>
    <w:bookmarkEnd w:id="19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517969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140"/>
        <w:spacing w:after="0"/>
        <w:tabs>
          <w:tab w:leader="none" w:pos="41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ind w:left="1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521398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920" w:right="2199" w:hanging="719"/>
        <w:spacing w:after="0" w:line="217"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Employment Agreement, dated February 29, 2012, by and among, Dean C. Kehler and Trimaran Advisors, L.L.C., and, solely as to the last three sentences of Section 1(a) and Section 2(d), the Company.</w:t>
      </w:r>
      <w:r>
        <w:rPr>
          <w:rFonts w:ascii="Arial" w:cs="Arial" w:eastAsia="Arial" w:hAnsi="Arial"/>
          <w:sz w:val="30"/>
          <w:szCs w:val="30"/>
          <w:color w:val="auto"/>
          <w:vertAlign w:val="superscript"/>
        </w:rPr>
        <w:t>(17)*</w:t>
      </w:r>
    </w:p>
    <w:p>
      <w:pPr>
        <w:spacing w:after="0" w:line="3"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Ratios**</w:t>
      </w:r>
    </w:p>
    <w:p>
      <w:pPr>
        <w:spacing w:after="0" w:line="7"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List of Subsidiaries.**</w:t>
      </w:r>
    </w:p>
    <w:p>
      <w:pPr>
        <w:spacing w:after="0" w:line="9"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 Independent Registered Public Accounting Firm.**</w:t>
      </w:r>
    </w:p>
    <w:p>
      <w:pPr>
        <w:spacing w:after="0" w:line="9"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Grant Thornton LLP, Independent Certified Public Accountants.**</w:t>
      </w:r>
    </w:p>
    <w:p>
      <w:pPr>
        <w:spacing w:after="0" w:line="9"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Grant Thornton LLP, Independent Certified Public Accountants.**</w:t>
      </w:r>
    </w:p>
    <w:p>
      <w:pPr>
        <w:spacing w:after="0" w:line="9"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Grant Thornton LLP, Independent Certified Public Accountants.**</w:t>
      </w:r>
    </w:p>
    <w:p>
      <w:pPr>
        <w:spacing w:after="0" w:line="9"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Chief Executive Officer Certification Pursuant to Rule 13a-14 of the Securities Exchange Act of</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1934, as adopted pursuant to Section 302 of the Sarbanes-Oxley Act of 2002.**</w:t>
      </w:r>
    </w:p>
    <w:p>
      <w:pPr>
        <w:spacing w:after="0" w:line="9" w:lineRule="exact"/>
        <w:rPr>
          <w:sz w:val="20"/>
          <w:szCs w:val="20"/>
          <w:color w:val="auto"/>
        </w:rPr>
      </w:pPr>
    </w:p>
    <w:p>
      <w:pPr>
        <w:ind w:left="920" w:right="2379" w:hanging="697"/>
        <w:spacing w:after="0" w:line="250"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Chief Financial Officer Certification Pursuant to Rule 13a-14 of the Securities Act of 1934, as adopted pursuant to Section 302 of the Sarbanes-Oxley Act of 2002.**</w:t>
      </w:r>
    </w:p>
    <w:p>
      <w:pPr>
        <w:spacing w:after="0" w:line="1" w:lineRule="exact"/>
        <w:rPr>
          <w:sz w:val="20"/>
          <w:szCs w:val="20"/>
          <w:color w:val="auto"/>
        </w:rPr>
      </w:pPr>
    </w:p>
    <w:p>
      <w:pPr>
        <w:ind w:left="920" w:right="1899" w:hanging="697"/>
        <w:spacing w:after="0" w:line="265"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Chief Executive Officer Certification pursuant to Section 1350, Chapter 63 of Title 18, United States Code, as adopted pursuant to Section 906 of the Sarbanes-Oxley Act of 2002.**</w:t>
      </w:r>
    </w:p>
    <w:p>
      <w:pPr>
        <w:ind w:left="920" w:right="1959" w:hanging="697"/>
        <w:spacing w:after="0" w:line="290" w:lineRule="auto"/>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Chief Financial Officer Certification pursuant to Section 1350, Chapter 63 of Title 18,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1722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0" w:hanging="412"/>
        <w:spacing w:after="0"/>
        <w:tabs>
          <w:tab w:leader="none" w:pos="4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Incorporated by reference to Exhibit 2.1 of the Current Report on Form 8-K, as filed on March 1, 2012 (File No. 814-00735).</w:t>
      </w:r>
    </w:p>
    <w:p>
      <w:pPr>
        <w:spacing w:after="0" w:line="140" w:lineRule="exact"/>
        <w:rPr>
          <w:rFonts w:ascii="Arial" w:cs="Arial" w:eastAsia="Arial" w:hAnsi="Arial"/>
          <w:sz w:val="16"/>
          <w:szCs w:val="16"/>
          <w:color w:val="auto"/>
        </w:rPr>
      </w:pPr>
    </w:p>
    <w:p>
      <w:pPr>
        <w:ind w:left="420" w:hanging="412"/>
        <w:spacing w:after="0"/>
        <w:tabs>
          <w:tab w:leader="none" w:pos="4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Incorporated by reference to Exhibit 2.2 of the Current Report on Form 8-K, as filed on March 1, 2012 (File No. 814-00735).</w:t>
      </w:r>
    </w:p>
    <w:p>
      <w:pPr>
        <w:spacing w:after="0" w:line="140" w:lineRule="exact"/>
        <w:rPr>
          <w:rFonts w:ascii="Arial" w:cs="Arial" w:eastAsia="Arial" w:hAnsi="Arial"/>
          <w:sz w:val="16"/>
          <w:szCs w:val="16"/>
          <w:color w:val="auto"/>
        </w:rPr>
      </w:pPr>
    </w:p>
    <w:p>
      <w:pPr>
        <w:ind w:left="420" w:right="539" w:hanging="412"/>
        <w:spacing w:after="0" w:line="277"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1 on Form N-2, as filed on October 6, 2006 (File No. 333-136714).</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Incorporated by reference to Exhibit 3.1 of the Current Report on Form 8-K, as filed on March 1, 2012 (File No. 814-00735).</w:t>
      </w:r>
    </w:p>
    <w:p>
      <w:pPr>
        <w:spacing w:after="0" w:line="140" w:lineRule="exact"/>
        <w:rPr>
          <w:rFonts w:ascii="Arial" w:cs="Arial" w:eastAsia="Arial" w:hAnsi="Arial"/>
          <w:sz w:val="16"/>
          <w:szCs w:val="16"/>
          <w:color w:val="auto"/>
        </w:rPr>
      </w:pPr>
    </w:p>
    <w:p>
      <w:pPr>
        <w:ind w:left="420" w:right="679" w:hanging="412"/>
        <w:spacing w:after="0" w:line="277"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Incorporated by reference to Exhibit 4.1 of the Current Report on Form 8-K, as filed on March 16, 2011 (File No. 814-00735).</w:t>
      </w:r>
    </w:p>
    <w:p>
      <w:pPr>
        <w:spacing w:after="0" w:line="140" w:lineRule="exact"/>
        <w:rPr>
          <w:rFonts w:ascii="Arial" w:cs="Arial" w:eastAsia="Arial" w:hAnsi="Arial"/>
          <w:sz w:val="16"/>
          <w:szCs w:val="16"/>
          <w:color w:val="auto"/>
        </w:rPr>
      </w:pPr>
    </w:p>
    <w:p>
      <w:pPr>
        <w:ind w:left="420" w:hanging="412"/>
        <w:spacing w:after="0"/>
        <w:tabs>
          <w:tab w:leader="none" w:pos="4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Incorporated by reference to Exhibit 10.1 of the Current Report on Form 8-K, as filed on June 19, 2008 (File No. 814-00735).</w:t>
      </w:r>
    </w:p>
    <w:p>
      <w:pPr>
        <w:spacing w:after="0" w:line="140" w:lineRule="exact"/>
        <w:rPr>
          <w:rFonts w:ascii="Arial" w:cs="Arial" w:eastAsia="Arial" w:hAnsi="Arial"/>
          <w:sz w:val="16"/>
          <w:szCs w:val="16"/>
          <w:color w:val="auto"/>
        </w:rPr>
      </w:pPr>
    </w:p>
    <w:p>
      <w:pPr>
        <w:ind w:left="420" w:right="959" w:hanging="412"/>
        <w:spacing w:after="0" w:line="277"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Exhibit 10.11 of the Annual Report on Form 10-K, as filed on March 4, 2011 (File No. 814-00735).</w:t>
      </w:r>
    </w:p>
    <w:p>
      <w:pPr>
        <w:spacing w:after="0" w:line="62" w:lineRule="exact"/>
        <w:rPr>
          <w:rFonts w:ascii="Arial" w:cs="Arial" w:eastAsia="Arial" w:hAnsi="Arial"/>
          <w:sz w:val="18"/>
          <w:szCs w:val="18"/>
          <w:color w:val="auto"/>
        </w:rPr>
      </w:pPr>
    </w:p>
    <w:p>
      <w:pPr>
        <w:ind w:left="420" w:right="959" w:hanging="412"/>
        <w:spacing w:after="0" w:line="277"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Exhibit 10.12 of the Annual Report on Form 10-K, as filed on March 4, 2011 (File No. 814-00735).</w:t>
      </w:r>
    </w:p>
    <w:p>
      <w:pPr>
        <w:spacing w:after="0" w:line="62" w:lineRule="exact"/>
        <w:rPr>
          <w:rFonts w:ascii="Arial" w:cs="Arial" w:eastAsia="Arial" w:hAnsi="Arial"/>
          <w:sz w:val="18"/>
          <w:szCs w:val="18"/>
          <w:color w:val="auto"/>
        </w:rPr>
      </w:pPr>
    </w:p>
    <w:p>
      <w:pPr>
        <w:ind w:left="420" w:right="959" w:hanging="412"/>
        <w:spacing w:after="0" w:line="277"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Exhibit 10.13 of the Annual Report on Form 10-K, as filed on March 4, 2011 (File No. 814-00735).</w:t>
      </w:r>
    </w:p>
    <w:p>
      <w:pPr>
        <w:spacing w:after="0" w:line="62" w:lineRule="exact"/>
        <w:rPr>
          <w:rFonts w:ascii="Arial" w:cs="Arial" w:eastAsia="Arial" w:hAnsi="Arial"/>
          <w:sz w:val="18"/>
          <w:szCs w:val="18"/>
          <w:color w:val="auto"/>
        </w:rPr>
      </w:pPr>
    </w:p>
    <w:p>
      <w:pPr>
        <w:ind w:left="420" w:right="679" w:hanging="412"/>
        <w:spacing w:after="0" w:line="277"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3 on Form N-2, as filed on November 24, 2006 (File No. 333-136714).</w:t>
      </w:r>
    </w:p>
    <w:p>
      <w:pPr>
        <w:spacing w:after="0" w:line="62" w:lineRule="exact"/>
        <w:rPr>
          <w:rFonts w:ascii="Arial" w:cs="Arial" w:eastAsia="Arial" w:hAnsi="Arial"/>
          <w:sz w:val="18"/>
          <w:szCs w:val="18"/>
          <w:color w:val="auto"/>
        </w:rPr>
      </w:pPr>
    </w:p>
    <w:p>
      <w:pPr>
        <w:ind w:left="420" w:right="579" w:hanging="412"/>
        <w:spacing w:after="0" w:line="277"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Exhibit 10.1 of the Quarterly Report on Form 10-Q, as filed on November 8, 2010 (File No. 814-00735).</w:t>
      </w:r>
    </w:p>
    <w:p>
      <w:pPr>
        <w:spacing w:after="0" w:line="62" w:lineRule="exact"/>
        <w:rPr>
          <w:rFonts w:ascii="Arial" w:cs="Arial" w:eastAsia="Arial" w:hAnsi="Arial"/>
          <w:sz w:val="18"/>
          <w:szCs w:val="18"/>
          <w:color w:val="auto"/>
        </w:rPr>
      </w:pPr>
    </w:p>
    <w:p>
      <w:pPr>
        <w:ind w:left="420" w:right="779" w:hanging="412"/>
        <w:spacing w:after="0" w:line="277" w:lineRule="auto"/>
        <w:tabs>
          <w:tab w:leader="none" w:pos="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Incorporated by reference to Exhibit 4.1 included in the Registration Statement on Form S-8, as filed on July 28, 2011 (File No. 333-175838).</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Incorporated by reference to Exhibit 10.1 of the Current Report on Form 8-K, as filed on March 1, 2012 (File No. 814-00735).</w:t>
      </w:r>
    </w:p>
    <w:p>
      <w:pPr>
        <w:spacing w:after="0" w:line="140" w:lineRule="exact"/>
        <w:rPr>
          <w:rFonts w:ascii="Arial" w:cs="Arial" w:eastAsia="Arial" w:hAnsi="Arial"/>
          <w:sz w:val="16"/>
          <w:szCs w:val="16"/>
          <w:color w:val="auto"/>
        </w:rPr>
      </w:pPr>
    </w:p>
    <w:p>
      <w:pPr>
        <w:ind w:left="420" w:hanging="412"/>
        <w:spacing w:after="0"/>
        <w:tabs>
          <w:tab w:leader="none" w:pos="4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Incorporated by reference to Exhibit 10.2 of the Current Report on Form 8-K, as filed on March 1, 2012 (File No. 814-00735).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471170</wp:posOffset>
            </wp:positionV>
            <wp:extent cx="6114415" cy="596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20" w:hanging="412"/>
        <w:spacing w:after="0"/>
        <w:tabs>
          <w:tab w:leader="none" w:pos="4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Incorporated by reference to Exhibit 10.3 of the Current Report on Form 8-K, as filed on March 1, 2012 (File No. 814-00735).</w:t>
      </w:r>
    </w:p>
    <w:p>
      <w:pPr>
        <w:spacing w:after="0" w:line="140" w:lineRule="exact"/>
        <w:rPr>
          <w:rFonts w:ascii="Arial" w:cs="Arial" w:eastAsia="Arial" w:hAnsi="Arial"/>
          <w:sz w:val="16"/>
          <w:szCs w:val="16"/>
          <w:color w:val="auto"/>
        </w:rPr>
      </w:pPr>
    </w:p>
    <w:p>
      <w:pPr>
        <w:ind w:left="420" w:hanging="412"/>
        <w:spacing w:after="0"/>
        <w:tabs>
          <w:tab w:leader="none" w:pos="4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Incorporated by reference to Exhibit 10.4 of the Current Report on Form 8-K, as filed on March 1, 2012 (File No. 814-00735).</w:t>
      </w:r>
    </w:p>
    <w:p>
      <w:pPr>
        <w:spacing w:after="0" w:line="140" w:lineRule="exact"/>
        <w:rPr>
          <w:rFonts w:ascii="Arial" w:cs="Arial" w:eastAsia="Arial" w:hAnsi="Arial"/>
          <w:sz w:val="16"/>
          <w:szCs w:val="16"/>
          <w:color w:val="auto"/>
        </w:rPr>
      </w:pPr>
    </w:p>
    <w:p>
      <w:pPr>
        <w:ind w:left="420" w:right="599" w:hanging="412"/>
        <w:spacing w:after="0" w:line="277"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Incorporated by reference to Exhibit d.2 included in the Registration Statement in Form N-2, as filed on October 3, 2012 (File No. 333-183032).</w:t>
      </w:r>
    </w:p>
    <w:p>
      <w:pPr>
        <w:spacing w:after="0" w:line="62" w:lineRule="exact"/>
        <w:rPr>
          <w:rFonts w:ascii="Arial" w:cs="Arial" w:eastAsia="Arial" w:hAnsi="Arial"/>
          <w:sz w:val="18"/>
          <w:szCs w:val="18"/>
          <w:color w:val="auto"/>
        </w:rPr>
      </w:pPr>
    </w:p>
    <w:p>
      <w:pPr>
        <w:ind w:left="420" w:right="819" w:hanging="412"/>
        <w:spacing w:after="0" w:line="277"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Incorporated by reference to exhibit included in the Pre-Effective Ammendment No. 1 on Form N-2, as filed on October 3, 2012 (File No. 333-183032).</w:t>
      </w:r>
    </w:p>
    <w:p>
      <w:pPr>
        <w:spacing w:after="0" w:line="62" w:lineRule="exact"/>
        <w:rPr>
          <w:rFonts w:ascii="Arial" w:cs="Arial" w:eastAsia="Arial" w:hAnsi="Arial"/>
          <w:sz w:val="18"/>
          <w:szCs w:val="18"/>
          <w:color w:val="auto"/>
        </w:rPr>
      </w:pPr>
    </w:p>
    <w:p>
      <w:pPr>
        <w:ind w:left="420" w:right="599" w:hanging="412"/>
        <w:spacing w:after="0" w:line="277"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Incorporated by reference to exhibit included in the Registration Statement on Form N-2, as filed on August 2, 2012 (File No. 333-183032).</w:t>
      </w:r>
    </w:p>
    <w:p>
      <w:pPr>
        <w:spacing w:after="0" w:line="62" w:lineRule="exact"/>
        <w:rPr>
          <w:rFonts w:ascii="Arial" w:cs="Arial" w:eastAsia="Arial" w:hAnsi="Arial"/>
          <w:sz w:val="18"/>
          <w:szCs w:val="18"/>
          <w:color w:val="auto"/>
        </w:rPr>
      </w:pPr>
    </w:p>
    <w:p>
      <w:pPr>
        <w:ind w:left="420" w:hanging="412"/>
        <w:spacing w:after="0"/>
        <w:tabs>
          <w:tab w:leader="none" w:pos="4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Incorporated by reference to Exhibit 10.1 of the Current Report on Form 8-K, as filed on June 5, 2012 (File No. 814-00735).</w:t>
      </w:r>
    </w:p>
    <w:p>
      <w:pPr>
        <w:spacing w:after="0" w:line="140" w:lineRule="exact"/>
        <w:rPr>
          <w:rFonts w:ascii="Arial" w:cs="Arial" w:eastAsia="Arial" w:hAnsi="Arial"/>
          <w:sz w:val="16"/>
          <w:szCs w:val="16"/>
          <w:color w:val="auto"/>
        </w:rPr>
      </w:pPr>
    </w:p>
    <w:p>
      <w:pPr>
        <w:ind w:left="420" w:hanging="412"/>
        <w:spacing w:after="0"/>
        <w:tabs>
          <w:tab w:leader="none" w:pos="4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Incorporated by reference to Exhibit 10.1 of Current Report on Form 8-K, as filed on June 18, 2013 (File No. 814-00735).</w:t>
      </w:r>
    </w:p>
    <w:p>
      <w:pPr>
        <w:spacing w:after="0" w:line="128" w:lineRule="exact"/>
        <w:rPr>
          <w:rFonts w:ascii="Arial" w:cs="Arial" w:eastAsia="Arial" w:hAnsi="Arial"/>
          <w:sz w:val="17"/>
          <w:szCs w:val="17"/>
          <w:color w:val="auto"/>
        </w:rPr>
      </w:pPr>
    </w:p>
    <w:p>
      <w:pPr>
        <w:ind w:left="420" w:hanging="412"/>
        <w:spacing w:after="0"/>
        <w:tabs>
          <w:tab w:leader="none" w:pos="4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Incorporated by reference to Exhibit 10.2 of Current Report on Form 8-K, as filed on June 18, 2013 (File No. 814-00735).</w:t>
      </w:r>
    </w:p>
    <w:p>
      <w:pPr>
        <w:spacing w:after="0" w:line="128" w:lineRule="exact"/>
        <w:rPr>
          <w:rFonts w:ascii="Arial" w:cs="Arial" w:eastAsia="Arial" w:hAnsi="Arial"/>
          <w:sz w:val="17"/>
          <w:szCs w:val="17"/>
          <w:color w:val="auto"/>
        </w:rPr>
      </w:pPr>
    </w:p>
    <w:p>
      <w:pPr>
        <w:ind w:left="420" w:hanging="412"/>
        <w:spacing w:after="0"/>
        <w:tabs>
          <w:tab w:leader="none" w:pos="4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Incorporated by reference to Exhibit 10.3 of Current Report on Form 8-K, as filed on June 18, 2013 (File No. 814-00735).</w:t>
      </w:r>
    </w:p>
    <w:p>
      <w:pPr>
        <w:spacing w:after="0" w:line="128" w:lineRule="exact"/>
        <w:rPr>
          <w:rFonts w:ascii="Arial" w:cs="Arial" w:eastAsia="Arial" w:hAnsi="Arial"/>
          <w:sz w:val="17"/>
          <w:szCs w:val="17"/>
          <w:color w:val="auto"/>
        </w:rPr>
      </w:pPr>
    </w:p>
    <w:p>
      <w:pPr>
        <w:ind w:left="420" w:hanging="412"/>
        <w:spacing w:after="0"/>
        <w:tabs>
          <w:tab w:leader="none" w:pos="4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Incorporated by reference to Exhibit 10.4 of Current Report on Form 8-K, as filed on June 18, 2013 (File No. 814-00735).</w:t>
      </w:r>
    </w:p>
    <w:p>
      <w:pPr>
        <w:spacing w:after="0" w:line="128" w:lineRule="exact"/>
        <w:rPr>
          <w:rFonts w:ascii="Arial" w:cs="Arial" w:eastAsia="Arial" w:hAnsi="Arial"/>
          <w:sz w:val="17"/>
          <w:szCs w:val="17"/>
          <w:color w:val="auto"/>
        </w:rPr>
      </w:pPr>
    </w:p>
    <w:p>
      <w:pPr>
        <w:ind w:right="859" w:firstLine="8"/>
        <w:spacing w:after="0" w:line="375" w:lineRule="auto"/>
        <w:tabs>
          <w:tab w:leader="none" w:pos="4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Incorporated by reference to Exhibit 10.5 of Current Report on Form 8-K, as filed on June 18, 2013 (File No. 814-00735). * Indicates a management contract or compensatory plan, contract or agreement.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456565</wp:posOffset>
            </wp:positionV>
            <wp:extent cx="6114415" cy="596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81"/>
        </w:trPr>
        <w:tc>
          <w:tcPr>
            <w:tcW w:w="5660" w:type="dxa"/>
            <w:vAlign w:val="bottom"/>
            <w:gridSpan w:val="7"/>
            <w:vMerge w:val="restart"/>
          </w:tcPr>
          <w:p>
            <w:pPr>
              <w:spacing w:after="0"/>
              <w:rPr>
                <w:sz w:val="20"/>
                <w:szCs w:val="20"/>
                <w:color w:val="auto"/>
              </w:rPr>
            </w:pPr>
            <w:r>
              <w:rPr>
                <w:rFonts w:ascii="Arial" w:cs="Arial" w:eastAsia="Arial" w:hAnsi="Arial"/>
                <w:sz w:val="22"/>
                <w:szCs w:val="22"/>
                <w:b w:val="1"/>
                <w:bCs w:val="1"/>
                <w:color w:val="auto"/>
              </w:rPr>
              <w:t>Computation of Ratios of Earnings to Fixed Charges</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2"/>
                <w:szCs w:val="22"/>
                <w:b w:val="1"/>
                <w:bCs w:val="1"/>
                <w:color w:val="auto"/>
              </w:rPr>
              <w:t>Exhibit 12.1</w:t>
            </w:r>
          </w:p>
        </w:tc>
        <w:tc>
          <w:tcPr>
            <w:tcW w:w="0" w:type="dxa"/>
            <w:vAlign w:val="bottom"/>
          </w:tcPr>
          <w:p>
            <w:pPr>
              <w:spacing w:after="0"/>
              <w:rPr>
                <w:sz w:val="1"/>
                <w:szCs w:val="1"/>
                <w:color w:val="auto"/>
              </w:rPr>
            </w:pPr>
          </w:p>
        </w:tc>
      </w:tr>
      <w:tr>
        <w:trPr>
          <w:trHeight w:val="243"/>
        </w:trPr>
        <w:tc>
          <w:tcPr>
            <w:tcW w:w="5660" w:type="dxa"/>
            <w:vAlign w:val="bottom"/>
            <w:gridSpan w:val="7"/>
            <w:vMerge w:val="continue"/>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Year Ended</w:t>
            </w:r>
          </w:p>
        </w:tc>
        <w:tc>
          <w:tcPr>
            <w:tcW w:w="160" w:type="dxa"/>
            <w:vAlign w:val="bottom"/>
          </w:tcPr>
          <w:p>
            <w:pPr>
              <w:spacing w:after="0"/>
              <w:rPr>
                <w:sz w:val="24"/>
                <w:szCs w:val="2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4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24"/>
                <w:szCs w:val="2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24"/>
                <w:szCs w:val="24"/>
                <w:color w:val="auto"/>
              </w:rPr>
            </w:pPr>
          </w:p>
        </w:tc>
        <w:tc>
          <w:tcPr>
            <w:tcW w:w="1740" w:type="dxa"/>
            <w:vAlign w:val="bottom"/>
          </w:tcPr>
          <w:p>
            <w:pPr>
              <w:jc w:val="right"/>
              <w:ind w:right="408"/>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2013</w:t>
            </w:r>
          </w:p>
        </w:tc>
        <w:tc>
          <w:tcPr>
            <w:tcW w:w="16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2012</w:t>
            </w:r>
          </w:p>
        </w:tc>
        <w:tc>
          <w:tcPr>
            <w:tcW w:w="14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2011</w:t>
            </w:r>
          </w:p>
        </w:tc>
        <w:tc>
          <w:tcPr>
            <w:tcW w:w="16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2010</w:t>
            </w:r>
          </w:p>
        </w:tc>
        <w:tc>
          <w:tcPr>
            <w:tcW w:w="160" w:type="dxa"/>
            <w:vAlign w:val="bottom"/>
          </w:tcPr>
          <w:p>
            <w:pPr>
              <w:spacing w:after="0"/>
              <w:rPr>
                <w:sz w:val="20"/>
                <w:szCs w:val="20"/>
                <w:color w:val="auto"/>
              </w:rPr>
            </w:pPr>
          </w:p>
        </w:tc>
        <w:tc>
          <w:tcPr>
            <w:tcW w:w="1740" w:type="dxa"/>
            <w:vAlign w:val="bottom"/>
          </w:tcPr>
          <w:p>
            <w:pPr>
              <w:jc w:val="right"/>
              <w:ind w:right="128"/>
              <w:spacing w:after="0"/>
              <w:rPr>
                <w:sz w:val="20"/>
                <w:szCs w:val="20"/>
                <w:color w:val="auto"/>
              </w:rPr>
            </w:pPr>
            <w:r>
              <w:rPr>
                <w:rFonts w:ascii="Arial" w:cs="Arial" w:eastAsia="Arial" w:hAnsi="Arial"/>
                <w:sz w:val="18"/>
                <w:szCs w:val="18"/>
                <w:b w:val="1"/>
                <w:bCs w:val="1"/>
                <w:color w:val="auto"/>
                <w:w w:val="92"/>
              </w:rPr>
              <w:t>December 31, 2009</w:t>
            </w:r>
          </w:p>
        </w:tc>
        <w:tc>
          <w:tcPr>
            <w:tcW w:w="0" w:type="dxa"/>
            <w:vAlign w:val="bottom"/>
          </w:tcPr>
          <w:p>
            <w:pPr>
              <w:spacing w:after="0"/>
              <w:rPr>
                <w:sz w:val="1"/>
                <w:szCs w:val="1"/>
                <w:color w:val="auto"/>
              </w:rPr>
            </w:pPr>
          </w:p>
        </w:tc>
      </w:tr>
      <w:tr>
        <w:trPr>
          <w:trHeight w:val="210"/>
        </w:trPr>
        <w:tc>
          <w:tcPr>
            <w:tcW w:w="2200" w:type="dxa"/>
            <w:vAlign w:val="bottom"/>
            <w:tcBorders>
              <w:top w:val="single" w:sz="8" w:color="CCFFCC"/>
            </w:tcBorders>
            <w:shd w:val="clear" w:color="auto" w:fill="CCFFCC"/>
          </w:tcPr>
          <w:p>
            <w:pPr>
              <w:ind w:left="120"/>
              <w:spacing w:after="0"/>
              <w:rPr>
                <w:sz w:val="20"/>
                <w:szCs w:val="20"/>
                <w:color w:val="auto"/>
              </w:rPr>
            </w:pPr>
            <w:r>
              <w:rPr>
                <w:rFonts w:ascii="Arial" w:cs="Arial" w:eastAsia="Arial" w:hAnsi="Arial"/>
                <w:sz w:val="18"/>
                <w:szCs w:val="18"/>
                <w:b w:val="1"/>
                <w:bCs w:val="1"/>
                <w:color w:val="auto"/>
              </w:rPr>
              <w:t>Earnings:</w:t>
            </w:r>
          </w:p>
        </w:tc>
        <w:tc>
          <w:tcPr>
            <w:tcW w:w="18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72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20"/>
              <w:spacing w:after="0" w:line="201" w:lineRule="exact"/>
              <w:rPr>
                <w:sz w:val="20"/>
                <w:szCs w:val="20"/>
                <w:color w:val="auto"/>
              </w:rPr>
            </w:pPr>
            <w:r>
              <w:rPr>
                <w:rFonts w:ascii="Arial" w:cs="Arial" w:eastAsia="Arial" w:hAnsi="Arial"/>
                <w:sz w:val="18"/>
                <w:szCs w:val="18"/>
                <w:color w:val="auto"/>
                <w:w w:val="99"/>
              </w:rPr>
              <w:t>Net increase in net assets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20"/>
              <w:spacing w:after="0"/>
              <w:rPr>
                <w:sz w:val="20"/>
                <w:szCs w:val="20"/>
                <w:color w:val="auto"/>
              </w:rPr>
            </w:pPr>
            <w:r>
              <w:rPr>
                <w:rFonts w:ascii="Arial" w:cs="Arial" w:eastAsia="Arial" w:hAnsi="Arial"/>
                <w:sz w:val="18"/>
                <w:szCs w:val="18"/>
                <w:color w:val="auto"/>
              </w:rPr>
              <w:t>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17,222,972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26,125,778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7,649,544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(14,288,678)</w:t>
            </w: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34,428,269</w:t>
            </w:r>
          </w:p>
        </w:tc>
        <w:tc>
          <w:tcPr>
            <w:tcW w:w="0" w:type="dxa"/>
            <w:vAlign w:val="bottom"/>
          </w:tcPr>
          <w:p>
            <w:pPr>
              <w:spacing w:after="0"/>
              <w:rPr>
                <w:sz w:val="1"/>
                <w:szCs w:val="1"/>
                <w:color w:val="auto"/>
              </w:rPr>
            </w:pPr>
          </w:p>
        </w:tc>
      </w:tr>
      <w:tr>
        <w:trPr>
          <w:trHeight w:val="202"/>
        </w:trPr>
        <w:tc>
          <w:tcPr>
            <w:tcW w:w="2200" w:type="dxa"/>
            <w:vAlign w:val="bottom"/>
            <w:shd w:val="clear" w:color="auto" w:fill="CCFFCC"/>
          </w:tcPr>
          <w:p>
            <w:pPr>
              <w:ind w:left="120"/>
              <w:spacing w:after="0" w:line="201"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including excise tax</w:t>
            </w:r>
          </w:p>
        </w:tc>
        <w:tc>
          <w:tcPr>
            <w:tcW w:w="180" w:type="dxa"/>
            <w:vAlign w:val="bottom"/>
            <w:tcBorders>
              <w:bottom w:val="single" w:sz="8" w:color="auto"/>
            </w:tcBorders>
            <w:shd w:val="clear" w:color="auto" w:fill="CCFFCC"/>
          </w:tcPr>
          <w:p>
            <w:pPr>
              <w:spacing w:after="0"/>
              <w:rPr>
                <w:sz w:val="20"/>
                <w:szCs w:val="20"/>
                <w:color w:val="auto"/>
              </w:rPr>
            </w:pPr>
          </w:p>
        </w:tc>
        <w:tc>
          <w:tcPr>
            <w:tcW w:w="128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172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17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174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FFCC"/>
          </w:tcPr>
          <w:p>
            <w:pPr>
              <w:spacing w:after="0"/>
              <w:rPr>
                <w:sz w:val="20"/>
                <w:szCs w:val="20"/>
                <w:color w:val="auto"/>
              </w:rPr>
            </w:pPr>
          </w:p>
        </w:tc>
        <w:tc>
          <w:tcPr>
            <w:tcW w:w="160" w:type="dxa"/>
            <w:vAlign w:val="bottom"/>
            <w:tcBorders>
              <w:bottom w:val="single" w:sz="8" w:color="auto"/>
            </w:tcBorders>
            <w:shd w:val="clear" w:color="auto" w:fill="CCFFCC"/>
          </w:tcPr>
          <w:p>
            <w:pPr>
              <w:spacing w:after="0"/>
              <w:rPr>
                <w:sz w:val="20"/>
                <w:szCs w:val="20"/>
                <w:color w:val="auto"/>
              </w:rPr>
            </w:pP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82"/>
        </w:trPr>
        <w:tc>
          <w:tcPr>
            <w:tcW w:w="2200" w:type="dxa"/>
            <w:vAlign w:val="bottom"/>
          </w:tcPr>
          <w:p>
            <w:pPr>
              <w:ind w:left="120"/>
              <w:spacing w:after="0" w:line="182" w:lineRule="exact"/>
              <w:rPr>
                <w:sz w:val="20"/>
                <w:szCs w:val="20"/>
                <w:color w:val="auto"/>
              </w:rPr>
            </w:pPr>
            <w:r>
              <w:rPr>
                <w:rFonts w:ascii="Arial" w:cs="Arial" w:eastAsia="Arial" w:hAnsi="Arial"/>
                <w:sz w:val="18"/>
                <w:szCs w:val="18"/>
                <w:color w:val="auto"/>
              </w:rPr>
              <w:t>Total Earnings before</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2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17,222,972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26,125,778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7,649,544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(14,288,678)</w:t>
            </w: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34,403,269</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FFCC"/>
          </w:tcPr>
          <w:p>
            <w:pPr>
              <w:ind w:left="120"/>
              <w:spacing w:after="0"/>
              <w:rPr>
                <w:sz w:val="20"/>
                <w:szCs w:val="20"/>
                <w:color w:val="auto"/>
              </w:rPr>
            </w:pPr>
            <w:r>
              <w:rPr>
                <w:rFonts w:ascii="Arial" w:cs="Arial" w:eastAsia="Arial" w:hAnsi="Arial"/>
                <w:sz w:val="18"/>
                <w:szCs w:val="18"/>
                <w:b w:val="1"/>
                <w:bCs w:val="1"/>
                <w:color w:val="auto"/>
              </w:rPr>
              <w:t>Fixed Charges:</w:t>
            </w: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9,886,423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6,979,018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4,588,465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6,921,159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9,059,334</w:t>
            </w:r>
          </w:p>
        </w:tc>
        <w:tc>
          <w:tcPr>
            <w:tcW w:w="0" w:type="dxa"/>
            <w:vAlign w:val="bottom"/>
          </w:tcPr>
          <w:p>
            <w:pPr>
              <w:spacing w:after="0"/>
              <w:rPr>
                <w:sz w:val="1"/>
                <w:szCs w:val="1"/>
                <w:color w:val="auto"/>
              </w:rPr>
            </w:pPr>
          </w:p>
        </w:tc>
      </w:tr>
      <w:tr>
        <w:trPr>
          <w:trHeight w:val="210"/>
        </w:trPr>
        <w:tc>
          <w:tcPr>
            <w:tcW w:w="2200" w:type="dxa"/>
            <w:vAlign w:val="bottom"/>
            <w:tcBorders>
              <w:top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9,886,423</w:t>
            </w: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6,976,018</w:t>
            </w:r>
          </w:p>
        </w:tc>
        <w:tc>
          <w:tcPr>
            <w:tcW w:w="6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4,588,465</w:t>
            </w: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6,921,159</w:t>
            </w:r>
          </w:p>
        </w:tc>
        <w:tc>
          <w:tcPr>
            <w:tcW w:w="4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9,059,334</w:t>
            </w:r>
          </w:p>
        </w:tc>
        <w:tc>
          <w:tcPr>
            <w:tcW w:w="0" w:type="dxa"/>
            <w:vAlign w:val="bottom"/>
          </w:tcPr>
          <w:p>
            <w:pPr>
              <w:spacing w:after="0"/>
              <w:rPr>
                <w:sz w:val="1"/>
                <w:szCs w:val="1"/>
                <w:color w:val="auto"/>
              </w:rPr>
            </w:pPr>
          </w:p>
        </w:tc>
      </w:tr>
      <w:tr>
        <w:trPr>
          <w:trHeight w:val="411"/>
        </w:trPr>
        <w:tc>
          <w:tcPr>
            <w:tcW w:w="2200" w:type="dxa"/>
            <w:vAlign w:val="bottom"/>
          </w:tcPr>
          <w:p>
            <w:pPr>
              <w:ind w:left="120"/>
              <w:spacing w:after="0"/>
              <w:rPr>
                <w:sz w:val="20"/>
                <w:szCs w:val="20"/>
                <w:color w:val="auto"/>
              </w:rPr>
            </w:pPr>
            <w:r>
              <w:rPr>
                <w:rFonts w:ascii="Arial" w:cs="Arial" w:eastAsia="Arial" w:hAnsi="Arial"/>
                <w:sz w:val="18"/>
                <w:szCs w:val="18"/>
                <w:color w:val="auto"/>
              </w:rPr>
              <w:t>Earnings available to</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120"/>
              <w:spacing w:after="0"/>
              <w:rPr>
                <w:sz w:val="20"/>
                <w:szCs w:val="20"/>
                <w:color w:val="auto"/>
              </w:rPr>
            </w:pPr>
            <w:r>
              <w:rPr>
                <w:rFonts w:ascii="Arial" w:cs="Arial" w:eastAsia="Arial" w:hAnsi="Arial"/>
                <w:sz w:val="18"/>
                <w:szCs w:val="18"/>
                <w:color w:val="auto"/>
              </w:rPr>
              <w:t>cover fixed charges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27,109,395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33,101,796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12,238,009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(7,367,520)</w:t>
            </w: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43,462,603</w:t>
            </w:r>
          </w:p>
        </w:tc>
        <w:tc>
          <w:tcPr>
            <w:tcW w:w="0" w:type="dxa"/>
            <w:vAlign w:val="bottom"/>
          </w:tcPr>
          <w:p>
            <w:pPr>
              <w:spacing w:after="0"/>
              <w:rPr>
                <w:sz w:val="1"/>
                <w:szCs w:val="1"/>
                <w:color w:val="auto"/>
              </w:rPr>
            </w:pPr>
          </w:p>
        </w:tc>
      </w:tr>
      <w:tr>
        <w:trPr>
          <w:trHeight w:val="202"/>
        </w:trPr>
        <w:tc>
          <w:tcPr>
            <w:tcW w:w="2200" w:type="dxa"/>
            <w:vAlign w:val="bottom"/>
            <w:shd w:val="clear" w:color="auto" w:fill="CCFFCC"/>
          </w:tcPr>
          <w:p>
            <w:pPr>
              <w:ind w:left="120"/>
              <w:spacing w:after="0" w:line="201" w:lineRule="exact"/>
              <w:rPr>
                <w:sz w:val="20"/>
                <w:szCs w:val="20"/>
                <w:color w:val="auto"/>
              </w:rPr>
            </w:pPr>
            <w:r>
              <w:rPr>
                <w:rFonts w:ascii="Arial" w:cs="Arial" w:eastAsia="Arial" w:hAnsi="Arial"/>
                <w:sz w:val="18"/>
                <w:szCs w:val="18"/>
                <w:color w:val="auto"/>
              </w:rPr>
              <w:t>Ratio of earnings to fixed</w:t>
            </w:r>
          </w:p>
        </w:tc>
        <w:tc>
          <w:tcPr>
            <w:tcW w:w="18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7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charges</w:t>
            </w:r>
          </w:p>
        </w:tc>
        <w:tc>
          <w:tcPr>
            <w:tcW w:w="18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FFCC"/>
          </w:tcPr>
          <w:p>
            <w:pPr>
              <w:spacing w:after="0"/>
              <w:rPr>
                <w:sz w:val="20"/>
                <w:szCs w:val="20"/>
                <w:color w:val="auto"/>
              </w:rPr>
            </w:pPr>
          </w:p>
        </w:tc>
        <w:tc>
          <w:tcPr>
            <w:tcW w:w="17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FFCC"/>
          </w:tcPr>
          <w:p>
            <w:pPr>
              <w:spacing w:after="0"/>
              <w:rPr>
                <w:sz w:val="20"/>
                <w:szCs w:val="20"/>
                <w:color w:val="auto"/>
              </w:rPr>
            </w:pPr>
          </w:p>
        </w:tc>
        <w:tc>
          <w:tcPr>
            <w:tcW w:w="1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FFCC"/>
          </w:tcPr>
          <w:p>
            <w:pPr>
              <w:spacing w:after="0"/>
              <w:rPr>
                <w:sz w:val="20"/>
                <w:szCs w:val="20"/>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864"/>
        </w:trPr>
        <w:tc>
          <w:tcPr>
            <w:tcW w:w="2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b w:val="1"/>
          <w:bCs w:val="1"/>
          <w:color w:val="auto"/>
        </w:rPr>
        <w:t>Exhibit 21.1</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2580"/>
              <w:spacing w:after="0"/>
              <w:rPr>
                <w:sz w:val="20"/>
                <w:szCs w:val="20"/>
                <w:color w:val="auto"/>
              </w:rPr>
            </w:pPr>
            <w:r>
              <w:rPr>
                <w:rFonts w:ascii="Arial" w:cs="Arial" w:eastAsia="Arial" w:hAnsi="Arial"/>
                <w:sz w:val="18"/>
                <w:szCs w:val="18"/>
                <w:b w:val="1"/>
                <w:bCs w:val="1"/>
                <w:color w:val="auto"/>
              </w:rPr>
              <w:t>List of Subsidiaries</w:t>
            </w:r>
          </w:p>
        </w:tc>
        <w:tc>
          <w:tcPr>
            <w:tcW w:w="162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w:t>
            </w:r>
          </w:p>
        </w:tc>
      </w:tr>
      <w:tr>
        <w:trPr>
          <w:trHeight w:val="54"/>
        </w:trPr>
        <w:tc>
          <w:tcPr>
            <w:tcW w:w="6640" w:type="dxa"/>
            <w:vAlign w:val="bottom"/>
            <w:tcBorders>
              <w:bottom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r>
      <w:tr>
        <w:trPr>
          <w:trHeight w:val="398"/>
        </w:trPr>
        <w:tc>
          <w:tcPr>
            <w:tcW w:w="6640" w:type="dxa"/>
            <w:vAlign w:val="bottom"/>
          </w:tcPr>
          <w:p>
            <w:pPr>
              <w:spacing w:after="0"/>
              <w:rPr>
                <w:sz w:val="20"/>
                <w:szCs w:val="20"/>
                <w:color w:val="auto"/>
              </w:rPr>
            </w:pPr>
            <w:r>
              <w:rPr>
                <w:rFonts w:ascii="Arial" w:cs="Arial" w:eastAsia="Arial" w:hAnsi="Arial"/>
                <w:sz w:val="18"/>
                <w:szCs w:val="18"/>
                <w:color w:val="auto"/>
              </w:rPr>
              <w:t>Katonah Debt Advisors, L.L.C.</w:t>
            </w:r>
            <w:r>
              <w:rPr>
                <w:rFonts w:ascii="Arial" w:cs="Arial" w:eastAsia="Arial" w:hAnsi="Arial"/>
                <w:sz w:val="30"/>
                <w:szCs w:val="30"/>
                <w:color w:val="auto"/>
                <w:vertAlign w:val="superscript"/>
              </w:rPr>
              <w:t>(1)</w:t>
            </w:r>
          </w:p>
        </w:tc>
        <w:tc>
          <w:tcPr>
            <w:tcW w:w="16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Kohlberg Capital Funding LLC I</w:t>
            </w:r>
          </w:p>
        </w:tc>
        <w:tc>
          <w:tcPr>
            <w:tcW w:w="162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24"/>
        </w:trPr>
        <w:tc>
          <w:tcPr>
            <w:tcW w:w="6640" w:type="dxa"/>
            <w:vAlign w:val="bottom"/>
          </w:tcPr>
          <w:p>
            <w:pPr>
              <w:spacing w:after="0"/>
              <w:rPr>
                <w:sz w:val="20"/>
                <w:szCs w:val="20"/>
                <w:color w:val="auto"/>
              </w:rPr>
            </w:pPr>
            <w:r>
              <w:rPr>
                <w:rFonts w:ascii="Arial" w:cs="Arial" w:eastAsia="Arial" w:hAnsi="Arial"/>
                <w:sz w:val="18"/>
                <w:szCs w:val="18"/>
                <w:color w:val="auto"/>
              </w:rPr>
              <w:t>KCAP Senior Funding I Holdings, LLC</w:t>
            </w:r>
          </w:p>
        </w:tc>
        <w:tc>
          <w:tcPr>
            <w:tcW w:w="16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58"/>
        </w:trPr>
        <w:tc>
          <w:tcPr>
            <w:tcW w:w="6640" w:type="dxa"/>
            <w:vAlign w:val="bottom"/>
          </w:tcPr>
          <w:p>
            <w:pPr>
              <w:ind w:left="180"/>
              <w:spacing w:after="0"/>
              <w:rPr>
                <w:sz w:val="20"/>
                <w:szCs w:val="20"/>
                <w:color w:val="auto"/>
              </w:rPr>
            </w:pPr>
            <w:r>
              <w:rPr>
                <w:rFonts w:ascii="Arial" w:cs="Arial" w:eastAsia="Arial" w:hAnsi="Arial"/>
                <w:sz w:val="18"/>
                <w:szCs w:val="18"/>
                <w:color w:val="auto"/>
              </w:rPr>
              <w:t>KCAP Senior Funding I, LLC</w:t>
            </w:r>
            <w:r>
              <w:rPr>
                <w:rFonts w:ascii="Arial" w:cs="Arial" w:eastAsia="Arial" w:hAnsi="Arial"/>
                <w:sz w:val="30"/>
                <w:szCs w:val="30"/>
                <w:color w:val="auto"/>
                <w:vertAlign w:val="superscript"/>
              </w:rPr>
              <w:t>(4)</w:t>
            </w:r>
          </w:p>
        </w:tc>
        <w:tc>
          <w:tcPr>
            <w:tcW w:w="16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6640" w:type="dxa"/>
            <w:vAlign w:val="bottom"/>
          </w:tcPr>
          <w:p>
            <w:pPr>
              <w:spacing w:after="0"/>
              <w:rPr>
                <w:sz w:val="20"/>
                <w:szCs w:val="20"/>
                <w:color w:val="auto"/>
              </w:rPr>
            </w:pPr>
            <w:r>
              <w:rPr>
                <w:rFonts w:ascii="Arial" w:cs="Arial" w:eastAsia="Arial" w:hAnsi="Arial"/>
                <w:sz w:val="18"/>
                <w:szCs w:val="18"/>
                <w:color w:val="auto"/>
              </w:rPr>
              <w:t>Katonah Management Holdings LLC</w:t>
            </w:r>
            <w:r>
              <w:rPr>
                <w:rFonts w:ascii="Arial" w:cs="Arial" w:eastAsia="Arial" w:hAnsi="Arial"/>
                <w:sz w:val="30"/>
                <w:szCs w:val="30"/>
                <w:color w:val="auto"/>
                <w:vertAlign w:val="superscript"/>
              </w:rPr>
              <w:t>(1)</w:t>
            </w:r>
          </w:p>
        </w:tc>
        <w:tc>
          <w:tcPr>
            <w:tcW w:w="16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6640" w:type="dxa"/>
            <w:vAlign w:val="bottom"/>
          </w:tcPr>
          <w:p>
            <w:pPr>
              <w:ind w:left="180"/>
              <w:spacing w:after="0"/>
              <w:rPr>
                <w:sz w:val="20"/>
                <w:szCs w:val="20"/>
                <w:color w:val="auto"/>
              </w:rPr>
            </w:pPr>
            <w:r>
              <w:rPr>
                <w:rFonts w:ascii="Arial" w:cs="Arial" w:eastAsia="Arial" w:hAnsi="Arial"/>
                <w:sz w:val="18"/>
                <w:szCs w:val="18"/>
                <w:color w:val="auto"/>
              </w:rPr>
              <w:t>Katonah X Management LLC</w:t>
            </w:r>
            <w:r>
              <w:rPr>
                <w:rFonts w:ascii="Arial" w:cs="Arial" w:eastAsia="Arial" w:hAnsi="Arial"/>
                <w:sz w:val="30"/>
                <w:szCs w:val="30"/>
                <w:color w:val="auto"/>
                <w:vertAlign w:val="superscript"/>
              </w:rPr>
              <w:t>(1)(2)</w:t>
            </w:r>
          </w:p>
        </w:tc>
        <w:tc>
          <w:tcPr>
            <w:tcW w:w="16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6640" w:type="dxa"/>
            <w:vAlign w:val="bottom"/>
          </w:tcPr>
          <w:p>
            <w:pPr>
              <w:ind w:left="180"/>
              <w:spacing w:after="0"/>
              <w:rPr>
                <w:sz w:val="20"/>
                <w:szCs w:val="20"/>
                <w:color w:val="auto"/>
              </w:rPr>
            </w:pPr>
            <w:r>
              <w:rPr>
                <w:rFonts w:ascii="Arial" w:cs="Arial" w:eastAsia="Arial" w:hAnsi="Arial"/>
                <w:sz w:val="18"/>
                <w:szCs w:val="18"/>
                <w:color w:val="auto"/>
              </w:rPr>
              <w:t>Katonah 2007-I Management LLC</w:t>
            </w:r>
            <w:r>
              <w:rPr>
                <w:rFonts w:ascii="Arial" w:cs="Arial" w:eastAsia="Arial" w:hAnsi="Arial"/>
                <w:sz w:val="30"/>
                <w:szCs w:val="30"/>
                <w:color w:val="auto"/>
                <w:vertAlign w:val="superscript"/>
              </w:rPr>
              <w:t>(1)(2)</w:t>
            </w:r>
          </w:p>
        </w:tc>
        <w:tc>
          <w:tcPr>
            <w:tcW w:w="16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65"/>
        </w:trPr>
        <w:tc>
          <w:tcPr>
            <w:tcW w:w="6640" w:type="dxa"/>
            <w:vAlign w:val="bottom"/>
          </w:tcPr>
          <w:p>
            <w:pPr>
              <w:spacing w:after="0"/>
              <w:rPr>
                <w:sz w:val="20"/>
                <w:szCs w:val="20"/>
                <w:color w:val="auto"/>
              </w:rPr>
            </w:pPr>
            <w:r>
              <w:rPr>
                <w:rFonts w:ascii="Arial" w:cs="Arial" w:eastAsia="Arial" w:hAnsi="Arial"/>
                <w:sz w:val="18"/>
                <w:szCs w:val="18"/>
                <w:color w:val="auto"/>
              </w:rPr>
              <w:t>Commodore Holdings, L.L.C.</w:t>
            </w:r>
            <w:r>
              <w:rPr>
                <w:rFonts w:ascii="Arial" w:cs="Arial" w:eastAsia="Arial" w:hAnsi="Arial"/>
                <w:sz w:val="30"/>
                <w:szCs w:val="30"/>
                <w:color w:val="auto"/>
                <w:vertAlign w:val="superscript"/>
              </w:rPr>
              <w:t>(1)</w:t>
            </w:r>
          </w:p>
        </w:tc>
        <w:tc>
          <w:tcPr>
            <w:tcW w:w="16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394"/>
        </w:trPr>
        <w:tc>
          <w:tcPr>
            <w:tcW w:w="6640" w:type="dxa"/>
            <w:vAlign w:val="bottom"/>
          </w:tcPr>
          <w:p>
            <w:pPr>
              <w:ind w:left="180"/>
              <w:spacing w:after="0"/>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(1)(3)</w:t>
            </w:r>
          </w:p>
        </w:tc>
        <w:tc>
          <w:tcPr>
            <w:tcW w:w="16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hanging="27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a wholly-owned portfolio company that is not consolidated for financial reporting purposes.</w:t>
      </w:r>
    </w:p>
    <w:p>
      <w:pPr>
        <w:spacing w:after="0" w:line="117" w:lineRule="exact"/>
        <w:rPr>
          <w:rFonts w:ascii="Arial" w:cs="Arial" w:eastAsia="Arial" w:hAnsi="Arial"/>
          <w:sz w:val="18"/>
          <w:szCs w:val="18"/>
          <w:color w:val="auto"/>
        </w:rPr>
      </w:pPr>
    </w:p>
    <w:p>
      <w:pPr>
        <w:ind w:left="340" w:hanging="27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wholly-owned subsidiary of Katonah Management Holdings LLC.</w:t>
      </w:r>
    </w:p>
    <w:p>
      <w:pPr>
        <w:spacing w:after="0" w:line="117" w:lineRule="exact"/>
        <w:rPr>
          <w:rFonts w:ascii="Arial" w:cs="Arial" w:eastAsia="Arial" w:hAnsi="Arial"/>
          <w:sz w:val="18"/>
          <w:szCs w:val="18"/>
          <w:color w:val="auto"/>
        </w:rPr>
      </w:pPr>
    </w:p>
    <w:p>
      <w:pPr>
        <w:ind w:left="340" w:hanging="27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wholly-owned subsidiary of Commodore Holdings, L.L.C.</w:t>
      </w:r>
    </w:p>
    <w:p>
      <w:pPr>
        <w:spacing w:after="0" w:line="117" w:lineRule="exact"/>
        <w:rPr>
          <w:rFonts w:ascii="Arial" w:cs="Arial" w:eastAsia="Arial" w:hAnsi="Arial"/>
          <w:sz w:val="18"/>
          <w:szCs w:val="18"/>
          <w:color w:val="auto"/>
        </w:rPr>
      </w:pPr>
    </w:p>
    <w:p>
      <w:pPr>
        <w:ind w:left="360" w:hanging="298"/>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wholly-owned subsidiary of KCAP Senior Funding I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issued our reports dated March 12, 2014, with respect to the financial statements and internal control over financial reporting, included in the Annual Report of KCAP Financial, Inc. on Form 10-K for the year ended December 31, 2013. We hereby consent to the incorporation by reference of said reports in the Registration Statements of KCAP Financial, Inc. on Forms S-8 (File No. 333-175838, effective July 28, 2011; and File No. 333-151995, effective June 27, 2008).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issued our report dated March 12, 2014, with respect to the combined financial statements of Asset Manager Affiliates, included in the Annual Report of KCAP Financial, Inc. on Form 10-K for the year ended December 31, 2013. We hereby consent to the incorporation by reference of said report in the Registration Statements of KCAP Financial, Inc. on Forms S-8 (File No. 333-175838, effective July 28, 2011; and File No. 333-151995, effective June 27, 2008).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have issued our report dated March 12, 2014, with respect to the financial statements of Katonah 2007-I CLO Ltd., included in the Annual Report of KCAP Financial, Inc. on Form 10-K for the year ended December 31, 2013. We hereby consent to the incorporation by reference of said report in the Registration Statements of KCAP Financial, Inc. on Form S-8 (File No. 333-175838, effective July 28, 2011; and File No. 333-151995, effective June 27, 2008).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22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have issued our report dated March 12, 2014, with respect to the financial statements of Katonah X CLO Ltd., included in the Annual Report of KCAP Financial, Inc. on Form 10-K for the year ended December 31, 2013. We hereby consent to the incorporation by reference of said report in the Registration Statements of KCAP Financial, Inc. on Form S-8 (File No. 333-175838, effective July 28, 2011; and File No. 333-151995, effective June 27, 2008).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06" w:name="page207"/>
    <w:bookmarkEnd w:id="206"/>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Dayl W. Pearson, certify that:</w:t>
      </w:r>
    </w:p>
    <w:p>
      <w:pPr>
        <w:spacing w:after="0" w:line="117" w:lineRule="exact"/>
        <w:rPr>
          <w:sz w:val="20"/>
          <w:szCs w:val="20"/>
          <w:color w:val="auto"/>
        </w:rPr>
      </w:pPr>
    </w:p>
    <w:p>
      <w:pPr>
        <w:ind w:left="540" w:hanging="262"/>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KCAP Financial, Inc. (the “registrant”);</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879" w:hanging="262"/>
        <w:spacing w:after="0" w:line="286" w:lineRule="auto"/>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739" w:hanging="272"/>
        <w:spacing w:after="0" w:line="312" w:lineRule="auto"/>
        <w:tabs>
          <w:tab w:leader="none" w:pos="8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540" w:right="639" w:hanging="262"/>
        <w:spacing w:after="0" w:line="264"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19" w:hanging="272"/>
        <w:spacing w:after="0" w:line="264" w:lineRule="auto"/>
        <w:tabs>
          <w:tab w:leader="none" w:pos="8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9684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tabs>
          <w:tab w:leader="none" w:pos="4380" w:val="left"/>
        </w:tabs>
        <w:rPr>
          <w:sz w:val="20"/>
          <w:szCs w:val="20"/>
          <w:color w:val="auto"/>
        </w:rPr>
      </w:pPr>
      <w:r>
        <w:rPr>
          <w:rFonts w:ascii="Arial" w:cs="Arial" w:eastAsia="Arial" w:hAnsi="Arial"/>
          <w:sz w:val="18"/>
          <w:szCs w:val="18"/>
          <w:color w:val="auto"/>
        </w:rPr>
        <w:t>Date: March 12, 2014</w:t>
      </w:r>
      <w:r>
        <w:rPr>
          <w:sz w:val="20"/>
          <w:szCs w:val="20"/>
          <w:color w:val="auto"/>
        </w:rPr>
        <w:tab/>
      </w:r>
      <w:r>
        <w:rPr>
          <w:rFonts w:ascii="Arial" w:cs="Arial" w:eastAsia="Arial" w:hAnsi="Arial"/>
          <w:sz w:val="17"/>
          <w:szCs w:val="17"/>
          <w:color w:val="auto"/>
        </w:rPr>
        <w:t>By: /s/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5715</wp:posOffset>
            </wp:positionV>
            <wp:extent cx="218694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b w:val="1"/>
          <w:bCs w:val="1"/>
          <w:color w:val="auto"/>
        </w:rPr>
        <w:t>Dayl W. Pearson</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207" w:name="page208"/>
    <w:bookmarkEnd w:id="207"/>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Edward U. Gilpin, certify that:</w:t>
      </w:r>
    </w:p>
    <w:p>
      <w:pPr>
        <w:spacing w:after="0" w:line="117" w:lineRule="exact"/>
        <w:rPr>
          <w:sz w:val="20"/>
          <w:szCs w:val="20"/>
          <w:color w:val="auto"/>
        </w:rPr>
      </w:pPr>
    </w:p>
    <w:p>
      <w:pPr>
        <w:ind w:left="540" w:hanging="262"/>
        <w:spacing w:after="0"/>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KCAP Financial, Inc.(the “registrant”);</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jc w:val="both"/>
        <w:ind w:left="540" w:right="879" w:hanging="262"/>
        <w:spacing w:after="0" w:line="286" w:lineRule="auto"/>
        <w:tabs>
          <w:tab w:leader="none" w:pos="5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820" w:right="739" w:hanging="272"/>
        <w:spacing w:after="0" w:line="312" w:lineRule="auto"/>
        <w:tabs>
          <w:tab w:leader="none" w:pos="8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540" w:right="639" w:hanging="262"/>
        <w:spacing w:after="0" w:line="264"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19" w:hanging="272"/>
        <w:spacing w:after="0" w:line="264" w:lineRule="auto"/>
        <w:tabs>
          <w:tab w:leader="none" w:pos="8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9684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tabs>
          <w:tab w:leader="none" w:pos="4380" w:val="left"/>
        </w:tabs>
        <w:rPr>
          <w:sz w:val="20"/>
          <w:szCs w:val="20"/>
          <w:color w:val="auto"/>
        </w:rPr>
      </w:pPr>
      <w:r>
        <w:rPr>
          <w:rFonts w:ascii="Arial" w:cs="Arial" w:eastAsia="Arial" w:hAnsi="Arial"/>
          <w:sz w:val="18"/>
          <w:szCs w:val="18"/>
          <w:color w:val="auto"/>
        </w:rPr>
        <w:t>Date: March 12, 2014</w:t>
      </w:r>
      <w:r>
        <w:rPr>
          <w:sz w:val="20"/>
          <w:szCs w:val="20"/>
          <w:color w:val="auto"/>
        </w:rPr>
        <w:tab/>
      </w:r>
      <w:r>
        <w:rPr>
          <w:rFonts w:ascii="Arial" w:cs="Arial" w:eastAsia="Arial" w:hAnsi="Arial"/>
          <w:sz w:val="17"/>
          <w:szCs w:val="17"/>
          <w:color w:val="auto"/>
        </w:rPr>
        <w:t>By: /s/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5715</wp:posOffset>
            </wp:positionV>
            <wp:extent cx="218694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b w:val="1"/>
          <w:bCs w:val="1"/>
          <w:color w:val="auto"/>
        </w:rPr>
        <w:t>Edward U. Gilpin</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208" w:name="page209"/>
    <w:bookmarkEnd w:id="208"/>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left="40" w:right="939" w:firstLine="270"/>
        <w:spacing w:after="0" w:line="286" w:lineRule="auto"/>
        <w:rPr>
          <w:sz w:val="20"/>
          <w:szCs w:val="20"/>
          <w:color w:val="auto"/>
        </w:rPr>
      </w:pPr>
      <w:r>
        <w:rPr>
          <w:rFonts w:ascii="Arial" w:cs="Arial" w:eastAsia="Arial" w:hAnsi="Arial"/>
          <w:sz w:val="17"/>
          <w:szCs w:val="17"/>
          <w:color w:val="auto"/>
        </w:rPr>
        <w:t>In connection with the accompanying Annual Report of KCAP Financial, Inc.(the “Company”) on Form 10-K for the year ended December 31, 2013 (the “Report”), I, Dayl W. Pearson, President and Chief Executive Officer of the Company, certify, pursuant to 18 U.S.C. §1350, as adopted pursuant to §906 of the Sarbanes-Oxley Act of 2002, that:</w:t>
      </w:r>
    </w:p>
    <w:p>
      <w:pPr>
        <w:spacing w:after="0" w:line="57" w:lineRule="exact"/>
        <w:rPr>
          <w:sz w:val="20"/>
          <w:szCs w:val="20"/>
          <w:color w:val="auto"/>
        </w:rPr>
      </w:pPr>
    </w:p>
    <w:p>
      <w:pPr>
        <w:ind w:left="540" w:right="679" w:hanging="262"/>
        <w:spacing w:after="0" w:line="277"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540" w:right="1119" w:hanging="262"/>
        <w:spacing w:after="0" w:line="258"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19684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tabs>
          <w:tab w:leader="none" w:pos="4380" w:val="left"/>
        </w:tabs>
        <w:rPr>
          <w:sz w:val="20"/>
          <w:szCs w:val="20"/>
          <w:color w:val="auto"/>
        </w:rPr>
      </w:pPr>
      <w:r>
        <w:rPr>
          <w:rFonts w:ascii="Arial" w:cs="Arial" w:eastAsia="Arial" w:hAnsi="Arial"/>
          <w:sz w:val="18"/>
          <w:szCs w:val="18"/>
          <w:color w:val="auto"/>
        </w:rPr>
        <w:t>Date: March 12, 2014</w:t>
      </w:r>
      <w:r>
        <w:rPr>
          <w:sz w:val="20"/>
          <w:szCs w:val="20"/>
          <w:color w:val="auto"/>
        </w:rPr>
        <w:tab/>
      </w:r>
      <w:r>
        <w:rPr>
          <w:rFonts w:ascii="Arial" w:cs="Arial" w:eastAsia="Arial" w:hAnsi="Arial"/>
          <w:sz w:val="17"/>
          <w:szCs w:val="17"/>
          <w:color w:val="auto"/>
        </w:rPr>
        <w:t>By: /s/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5715</wp:posOffset>
            </wp:positionV>
            <wp:extent cx="218694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b w:val="1"/>
          <w:bCs w:val="1"/>
          <w:color w:val="auto"/>
        </w:rPr>
        <w:t>Dayl W. Pearson</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209" w:name="page210"/>
    <w:bookmarkEnd w:id="209"/>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Inc.(the “Company”) on Form 10-K for the year ended December 31, 2013 (the “Report”), I, Edward U. Gilpin, Chief Financial Officer of the Company, certify, pursuant to 18 U.S.C. §1350, as adopted pursuant to §906 of the Sarbanes-Oxley Act of 2002, that:</w:t>
      </w:r>
    </w:p>
    <w:p>
      <w:pPr>
        <w:spacing w:after="0" w:line="73" w:lineRule="exact"/>
        <w:rPr>
          <w:sz w:val="20"/>
          <w:szCs w:val="20"/>
          <w:color w:val="auto"/>
        </w:rPr>
      </w:pPr>
    </w:p>
    <w:p>
      <w:pPr>
        <w:ind w:left="540" w:right="679" w:hanging="262"/>
        <w:spacing w:after="0" w:line="277"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9684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tabs>
          <w:tab w:leader="none" w:pos="4380" w:val="left"/>
        </w:tabs>
        <w:rPr>
          <w:sz w:val="20"/>
          <w:szCs w:val="20"/>
          <w:color w:val="auto"/>
        </w:rPr>
      </w:pPr>
      <w:r>
        <w:rPr>
          <w:rFonts w:ascii="Arial" w:cs="Arial" w:eastAsia="Arial" w:hAnsi="Arial"/>
          <w:sz w:val="18"/>
          <w:szCs w:val="18"/>
          <w:color w:val="auto"/>
        </w:rPr>
        <w:t>Date: March 12, 2014</w:t>
      </w:r>
      <w:r>
        <w:rPr>
          <w:sz w:val="20"/>
          <w:szCs w:val="20"/>
          <w:color w:val="auto"/>
        </w:rPr>
        <w:tab/>
      </w:r>
      <w:r>
        <w:rPr>
          <w:rFonts w:ascii="Arial" w:cs="Arial" w:eastAsia="Arial" w:hAnsi="Arial"/>
          <w:sz w:val="17"/>
          <w:szCs w:val="17"/>
          <w:color w:val="auto"/>
        </w:rPr>
        <w:t>By: /s/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5715</wp:posOffset>
            </wp:positionV>
            <wp:extent cx="218694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86940" cy="1714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b w:val="1"/>
          <w:bCs w:val="1"/>
          <w:color w:val="auto"/>
        </w:rPr>
        <w:t>Edward U. Gilpin</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79"/>
      </w:cols>
      <w:pgMar w:left="38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x"/>
      <w:numFmt w:val="bullet"/>
      <w:start w:val="1"/>
    </w:lvl>
  </w:abstractNum>
  <w:abstractNum w:abstractNumId="1">
    <w:nsid w:val="749ABB43"/>
    <w:multiLevelType w:val="hybridMultilevel"/>
    <w:lvl w:ilvl="0">
      <w:lvlJc w:val="left"/>
      <w:lvlText w:val="o"/>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lvl w:ilvl="1">
      <w:lvlJc w:val="left"/>
      <w:lvlText w:val="º"/>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1)"/>
      <w:numFmt w:val="decimal"/>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3"/>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2"/>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1"/>
      <w:numFmt w:val="upperLetter"/>
      <w:start w:val="6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1)"/>
      <w:numFmt w:val="lowerLetter"/>
      <w:start w:val="1"/>
    </w:lvl>
    <w:lvl w:ilvl="1">
      <w:lvlJc w:val="left"/>
      <w:lvlText w:val="%2."/>
      <w:numFmt w:val="decimal"/>
      <w:start w:val="1"/>
    </w:lvl>
  </w:abstractNum>
  <w:abstractNum w:abstractNumId="45">
    <w:nsid w:val="42C296BD"/>
    <w:multiLevelType w:val="hybridMultilevel"/>
    <w:lvl w:ilvl="0">
      <w:lvlJc w:val="left"/>
      <w:lvlText w:val="%1."/>
      <w:numFmt w:val="upperLetter"/>
      <w:start w:val="3"/>
    </w:lvl>
  </w:abstractNum>
  <w:abstractNum w:abstractNumId="46">
    <w:nsid w:val="168E121F"/>
    <w:multiLevelType w:val="hybridMultilevel"/>
    <w:lvl w:ilvl="0">
      <w:lvlJc w:val="left"/>
      <w:lvlText w:val="%1"/>
      <w:numFmt w:val="upperLetter"/>
      <w:start w:val="54"/>
    </w:lvl>
  </w:abstractNum>
  <w:abstractNum w:abstractNumId="47">
    <w:nsid w:val="1EBA5D23"/>
    <w:multiLevelType w:val="hybridMultilevel"/>
    <w:lvl w:ilvl="0">
      <w:lvlJc w:val="left"/>
      <w:lvlText w:val="(%1)"/>
      <w:numFmt w:val="decimal"/>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1)"/>
      <w:numFmt w:val="decimal"/>
      <w:start w:val="1"/>
    </w:lvl>
  </w:abstractNum>
  <w:abstractNum w:abstractNumId="50">
    <w:nsid w:val="540A471C"/>
    <w:multiLevelType w:val="hybridMultilevel"/>
    <w:lvl w:ilvl="0">
      <w:lvlJc w:val="left"/>
      <w:lvlText w:val="%1"/>
      <w:numFmt w:val="upperLetter"/>
      <w:start w:val="61"/>
    </w:lvl>
  </w:abstractNum>
  <w:abstractNum w:abstractNumId="51">
    <w:nsid w:val="7BD3EE7B"/>
    <w:multiLevelType w:val="hybridMultilevel"/>
    <w:lvl w:ilvl="0">
      <w:lvlJc w:val="left"/>
      <w:lvlText w:val="(%1)"/>
      <w:numFmt w:val="lowerRoman"/>
      <w:start w:val="2"/>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decimal"/>
      <w:start w:val="10"/>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1:"/>
      <w:numFmt w:val="decimal"/>
      <w:start w:val="820"/>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4"/>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1."/>
      <w:numFmt w:val="decimal"/>
      <w:start w:val="2"/>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1."/>
      <w:numFmt w:val="decimal"/>
      <w:start w:val="2"/>
    </w:lvl>
    <w:lvl w:ilvl="1">
      <w:lvlJc w:val="left"/>
      <w:lvlText w:val="%2."/>
      <w:numFmt w:val="decimal"/>
      <w:start w:val="3"/>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2"/>
    </w:lvl>
    <w:lvl w:ilvl="1">
      <w:lvlJc w:val="left"/>
      <w:lvlText w:val="%2."/>
      <w:numFmt w:val="decimal"/>
      <w:start w:val="3"/>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16"/>
    </w:lvl>
  </w:abstractNum>
  <w:abstractNum w:abstractNumId="92">
    <w:nsid w:val="49DA307D"/>
    <w:multiLevelType w:val="hybridMultilevel"/>
    <w:lvl w:ilvl="0">
      <w:lvlJc w:val="left"/>
      <w:lvlText w:val="(%1)"/>
      <w:numFmt w:val="decimal"/>
      <w:start w:val="23"/>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2019-12-07T13:55:32Z</dcterms:created>
  <dcterms:modified xsi:type="dcterms:W3CDTF">2019-12-07T13:55:32Z</dcterms:modified>
</cp:coreProperties>
</file>