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3499" w:hanging="685"/>
        <w:spacing w:after="0" w:line="282"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right="3139" w:hanging="685"/>
        <w:spacing w:after="0" w:line="282"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000"/>
        <w:spacing w:after="0"/>
        <w:tabs>
          <w:tab w:leader="none" w:pos="5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Commission File No. 814-00735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KCAP Financial, Inc.</w:t>
      </w:r>
    </w:p>
    <w:p>
      <w:pPr>
        <w:spacing w:after="0" w:line="123"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349250</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ectPr>
          <w:pgSz w:w="11900" w:h="16845" w:orient="portrait"/>
          <w:cols w:equalWidth="0" w:num="1">
            <w:col w:w="10099"/>
          </w:cols>
          <w:pgMar w:left="36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45" w:orient="portrait"/>
          <w:cols w:equalWidth="0" w:num="2">
            <w:col w:w="6200" w:space="720"/>
            <w:col w:w="3179"/>
          </w:cols>
          <w:pgMar w:left="360" w:top="1440" w:right="1440" w:bottom="0" w:gutter="0" w:footer="0" w:header="0"/>
          <w:type w:val="continuous"/>
        </w:sectPr>
      </w:pPr>
    </w:p>
    <w:p>
      <w:pPr>
        <w:spacing w:after="0" w:line="12"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(State or other jurisdiction of</w:t>
      </w:r>
    </w:p>
    <w:p>
      <w:pPr>
        <w:ind w:left="15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39"/>
        <w:spacing w:after="0"/>
        <w:rPr>
          <w:sz w:val="20"/>
          <w:szCs w:val="20"/>
          <w:color w:val="auto"/>
        </w:rPr>
      </w:pPr>
      <w:r>
        <w:rPr>
          <w:rFonts w:ascii="Arial" w:cs="Arial" w:eastAsia="Arial" w:hAnsi="Arial"/>
          <w:sz w:val="14"/>
          <w:szCs w:val="14"/>
          <w:b w:val="1"/>
          <w:bCs w:val="1"/>
          <w:color w:val="auto"/>
        </w:rPr>
        <w:t>(I.R.S. Employer</w:t>
      </w:r>
    </w:p>
    <w:p>
      <w:pPr>
        <w:jc w:val="center"/>
        <w:ind w:right="2039"/>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45" w:orient="portrait"/>
          <w:cols w:equalWidth="0" w:num="2">
            <w:col w:w="5920" w:space="720"/>
            <w:col w:w="3459"/>
          </w:cols>
          <w:pgMar w:left="360" w:top="1440" w:right="1440" w:bottom="0" w:gutter="0" w:footer="0" w:header="0"/>
          <w:type w:val="continuous"/>
        </w:sectPr>
      </w:pPr>
    </w:p>
    <w:p>
      <w:pPr>
        <w:spacing w:after="0" w:line="34"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295 Madison Avenue,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8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New York, New York 10017</w:t>
      </w:r>
    </w:p>
    <w:p>
      <w:pPr>
        <w:spacing w:after="0" w:line="108" w:lineRule="exact"/>
        <w:rPr>
          <w:sz w:val="24"/>
          <w:szCs w:val="24"/>
          <w:color w:val="auto"/>
        </w:rPr>
      </w:pPr>
    </w:p>
    <w:p>
      <w:pPr>
        <w:ind w:left="364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45" w:orient="portrait"/>
          <w:cols w:equalWidth="0" w:num="1">
            <w:col w:w="10099"/>
          </w:cols>
          <w:pgMar w:left="360" w:top="1440" w:right="1440" w:bottom="0" w:gutter="0" w:footer="0" w:header="0"/>
          <w:type w:val="continuous"/>
        </w:sectPr>
      </w:pPr>
    </w:p>
    <w:p>
      <w:pPr>
        <w:spacing w:after="0" w:line="24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 455-8300</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48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6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7.375% Notes Due 2019</w:t>
            </w: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Act.Yes o No x</w:t>
      </w:r>
    </w:p>
    <w:p>
      <w:pPr>
        <w:spacing w:after="0" w:line="129" w:lineRule="exact"/>
        <w:rPr>
          <w:sz w:val="24"/>
          <w:szCs w:val="24"/>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left="60" w:right="899"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581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ectPr>
          <w:pgSz w:w="11900" w:h="16845" w:orient="portrait"/>
          <w:cols w:equalWidth="0" w:num="1">
            <w:col w:w="10099"/>
          </w:cols>
          <w:pgMar w:left="360" w:top="1440" w:right="1440"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572" w:lineRule="exact"/>
        <w:rPr>
          <w:sz w:val="20"/>
          <w:szCs w:val="20"/>
          <w:color w:val="auto"/>
        </w:rPr>
      </w:pPr>
    </w:p>
    <w:p>
      <w:pPr>
        <w:sectPr>
          <w:pgSz w:w="11900" w:h="16838" w:orient="portrait"/>
          <w:cols w:equalWidth="0" w:num="4">
            <w:col w:w="1780" w:space="720"/>
            <w:col w:w="1340" w:space="580"/>
            <w:col w:w="1860" w:space="520"/>
            <w:col w:w="3279"/>
          </w:cols>
          <w:pgMar w:left="380" w:top="341" w:right="1440" w:bottom="1440" w:gutter="0" w:footer="0" w:header="0"/>
        </w:sect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Act).Yes o No x</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June 30, 2015 was approximately $221,456,294 based upon a closing price of $5.98 reported for such date by The NASDAQ Global Select Market. Common shares held by each executive officer and director and by each person who owns 5% or more of the outstanding common shares have been excluded in that such persons may be deemed to be affiliates. This determination of affiliate status is not necessarily a conclusive determination for other purposes.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outstanding shares of common stock of the registrant as of March 8, 2016 was 37,130,433.</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Portions of the registrant’s definitive proxy statement for the 2016 annual meeting of stockholders to be filed with the Securities and Exchange Commission within 120 days following the end of the registrant’s fiscal year-end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772160</wp:posOffset>
            </wp:positionV>
            <wp:extent cx="611441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6071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6071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341" w:right="1440"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REFERENCES TO KCAP FINANCIAL, INC.</w:t>
      </w:r>
    </w:p>
    <w:p>
      <w:pPr>
        <w:spacing w:after="0" w:line="121"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In this Annual Report on Form 10-K (this “Annual Report”), the “Company”, “KCAP”, “we”, “us” and “our” refer to KCAP Financial, Inc. and its wholly owned subsidiaries, KCAP Senior Funding I, LLC and KCAP Senior Funding I Holdings, LLC, unless the context otherwise requires.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left="40" w:right="879" w:firstLine="270"/>
        <w:spacing w:after="0" w:line="308" w:lineRule="auto"/>
        <w:rPr>
          <w:sz w:val="20"/>
          <w:szCs w:val="20"/>
          <w:color w:val="auto"/>
        </w:rPr>
      </w:pPr>
      <w:r>
        <w:rPr>
          <w:rFonts w:ascii="Arial" w:cs="Arial" w:eastAsia="Arial" w:hAnsi="Arial"/>
          <w:sz w:val="17"/>
          <w:szCs w:val="17"/>
          <w:color w:val="auto"/>
        </w:rPr>
        <w:t>KCAP Financial, Inc., our logo and other trademarks of KCAP Financial, Inc. are the property of KCAP Financial, Inc. All other trademarks or trade names referred to in this Annual Report are the property of their respective owners.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This Annual Report includes forward-looking statements. The matters discussed in this Annual Report, as well as in future oral and written statements by management of KCAP Financial,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Annual Report should not be regarded as a representation by us that our plans or objectives will be achieved. The forward-looking statements contained in this Annual Report include statements as to:</w:t>
      </w:r>
    </w:p>
    <w:p>
      <w:pPr>
        <w:spacing w:after="0" w:line="72"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17" w:lineRule="exact"/>
        <w:rPr>
          <w:rFonts w:ascii="Arial" w:cs="Arial" w:eastAsia="Arial" w:hAnsi="Arial"/>
          <w:sz w:val="18"/>
          <w:szCs w:val="18"/>
          <w:color w:val="auto"/>
        </w:rPr>
      </w:pPr>
    </w:p>
    <w:p>
      <w:pPr>
        <w:ind w:left="600" w:right="799" w:hanging="322"/>
        <w:spacing w:after="0" w:line="28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operate as a business development company and a regulated investment company, including the impact of changes in laws or regulations governing our operations or the operations of our portfolio companies, including Katonah Debt Advisors, L.L.C. and Trimaran Advisors, L.L.C. (the “Asset Manager Affiliates”);</w:t>
      </w:r>
    </w:p>
    <w:p>
      <w:pPr>
        <w:spacing w:after="0" w:line="57"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including the Asset Manager Affiliates;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456565</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17"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423545</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1B.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Properties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6"/>
        </w:trPr>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gridSpan w:val="11"/>
          </w:tcPr>
          <w:p>
            <w:pPr>
              <w:jc w:val="center"/>
              <w:ind w:right="3100"/>
              <w:spacing w:after="0"/>
              <w:rPr>
                <w:sz w:val="20"/>
                <w:szCs w:val="20"/>
                <w:color w:val="auto"/>
              </w:rPr>
            </w:pPr>
            <w:r>
              <w:rPr>
                <w:rFonts w:ascii="Arial" w:cs="Arial" w:eastAsia="Arial" w:hAnsi="Arial"/>
                <w:sz w:val="18"/>
                <w:szCs w:val="18"/>
                <w:b w:val="1"/>
                <w:bCs w:val="1"/>
                <w:color w:val="auto"/>
              </w:rPr>
              <w:t>Part II</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Market for Registrant’s Common Equity, Related Stockholder Matters and Issuer Purchases</w:t>
              </w:r>
            </w:hyperlink>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0000EE"/>
            </w:tcBorders>
            <w:gridSpan w:val="23"/>
            <w:shd w:val="clear" w:color="auto" w:fill="CCEEFF"/>
          </w:tcPr>
          <w:p>
            <w:pPr>
              <w:ind w:left="18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of Equity Securities</w:t>
              </w:r>
            </w:hyperlink>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8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6.</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7.</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Item 7A.</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8.</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6840" w:type="dxa"/>
            <w:vAlign w:val="bottom"/>
            <w:gridSpan w:val="25"/>
          </w:tcPr>
          <w:p>
            <w:pPr>
              <w:ind w:left="80"/>
              <w:spacing w:after="0" w:line="17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9A.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9B.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III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10.</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11.</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12.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0"/>
          </w:tcPr>
          <w:p>
            <w:pPr>
              <w:ind w:left="18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4"/>
          </w:tcPr>
          <w:p>
            <w:pPr>
              <w:jc w:val="right"/>
              <w:ind w:right="8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13.</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14.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IV</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Item 15.</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Exhibits and Financial Statement Schedules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Signatures</w:t>
              </w:r>
            </w:hyperlink>
          </w:p>
        </w:tc>
        <w:tc>
          <w:tcPr>
            <w:tcW w:w="60" w:type="dxa"/>
            <w:vAlign w:val="bottom"/>
            <w:gridSpan w:val="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3"/>
            <w:shd w:val="clear" w:color="auto" w:fill="CCEEFF"/>
          </w:tcPr>
          <w:p>
            <w:pPr>
              <w:jc w:val="right"/>
              <w:ind w:right="80"/>
              <w:spacing w:after="0" w:line="17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9"/>
          </w:tcPr>
          <w:p>
            <w:pPr>
              <w:spacing w:after="0" w:line="17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Financial Statements</w:t>
              </w:r>
            </w:hyperlink>
          </w:p>
        </w:tc>
        <w:tc>
          <w:tcPr>
            <w:tcW w:w="6160" w:type="dxa"/>
            <w:vAlign w:val="bottom"/>
            <w:gridSpan w:val="22"/>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3"/>
          </w:tcPr>
          <w:p>
            <w:pPr>
              <w:jc w:val="right"/>
              <w:ind w:right="80"/>
              <w:spacing w:after="0"/>
              <w:rPr>
                <w:rFonts w:ascii="Arial" w:cs="Arial" w:eastAsia="Arial" w:hAnsi="Arial"/>
                <w:sz w:val="15"/>
                <w:szCs w:val="15"/>
                <w:color w:val="0000EE"/>
                <w:w w:val="70"/>
              </w:rPr>
            </w:pPr>
            <w:hyperlink w:anchor="page77">
              <w:r>
                <w:rPr>
                  <w:rFonts w:ascii="Arial" w:cs="Arial" w:eastAsia="Arial" w:hAnsi="Arial"/>
                  <w:sz w:val="15"/>
                  <w:szCs w:val="15"/>
                  <w:color w:val="0000EE"/>
                  <w:w w:val="70"/>
                </w:rPr>
                <w:t>F-1</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-4038600</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839" w:firstLine="270"/>
        <w:spacing w:after="0" w:line="342" w:lineRule="auto"/>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 Investment Company Act of 1940 (the “1940 Act”). We have three principal areas of investments:</w:t>
      </w:r>
    </w:p>
    <w:p>
      <w:pPr>
        <w:spacing w:after="0" w:line="16"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1339" w:firstLine="270"/>
        <w:spacing w:after="0" w:line="342" w:lineRule="auto"/>
        <w:rPr>
          <w:sz w:val="20"/>
          <w:szCs w:val="20"/>
          <w:color w:val="auto"/>
        </w:rPr>
      </w:pPr>
      <w:r>
        <w:rPr>
          <w:rFonts w:ascii="Arial" w:cs="Arial" w:eastAsia="Arial" w:hAnsi="Arial"/>
          <w:sz w:val="16"/>
          <w:szCs w:val="16"/>
          <w:color w:val="auto"/>
        </w:rPr>
        <w:t>Second, the Company has invested in asset management companies (Katonah Debt Advisors and Trimaran Advisors, collectively the “Asset Manager Affiliates”) that manage collateralized loan obligation funds (“CLO Funds”).</w:t>
      </w:r>
    </w:p>
    <w:p>
      <w:pPr>
        <w:spacing w:after="0" w:line="16"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79"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larger,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65"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The Asset Manager Affiliates are registered under the Investment Advisers Act of 1940 (the “Advisers Act”), and are each managed independently from KCAP by a separate management team (however, certain of the Company’s executive officers also act in similar capacities for one or both of the Asset Manager Affiliates).</w:t>
      </w:r>
    </w:p>
    <w:p>
      <w:pPr>
        <w:spacing w:after="0" w:line="81" w:lineRule="exact"/>
        <w:rPr>
          <w:sz w:val="20"/>
          <w:szCs w:val="20"/>
          <w:color w:val="auto"/>
        </w:rPr>
      </w:pPr>
    </w:p>
    <w:p>
      <w:pPr>
        <w:ind w:left="40" w:right="619" w:firstLine="270"/>
        <w:spacing w:after="0" w:line="312" w:lineRule="auto"/>
        <w:rPr>
          <w:sz w:val="20"/>
          <w:szCs w:val="20"/>
          <w:color w:val="auto"/>
        </w:rPr>
      </w:pPr>
      <w:r>
        <w:rPr>
          <w:rFonts w:ascii="Arial" w:cs="Arial" w:eastAsia="Arial" w:hAnsi="Arial"/>
          <w:sz w:val="16"/>
          <w:szCs w:val="16"/>
          <w:color w:val="auto"/>
        </w:rPr>
        <w:t>In addition, our investments in CLO Fund Securities, which are primarily made up of minority investments in the subordinated securities or preferred stock of CLO Funds raised and managed by our Asset Manager Affiliates, are anticipated to provide the Company with recurring cash distributions and complement the growth of our investment in the Asset Manager Affiliates.</w:t>
      </w:r>
    </w:p>
    <w:p>
      <w:pPr>
        <w:spacing w:after="0" w:line="3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Because we are internally managed by our executive officers under the supervision of our Board of Directors and do not depend on a third party investment advisor, we do not pay investment advisory fees, but instead incur the operating costs associated with employing investment and portfolio management professionals.</w:t>
      </w: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As a BDC, we are required to comply with regulatory requirements, including limitations on our use of debt. We are permitted to, and expect to continue to, finance our investments through borrowings. However, as a BDC, we are only generally allowed to borrow amounts such that our asset coverage, as defined in the 1940 Act, equals at least 200% after such borrowing. The 1940 Act also generally prohibits us from declaring any cash dividend or distribution on any class of our capital stock if our asset coverage is below 200% at the time of the declaration of the dividend or distribution.</w:t>
      </w:r>
    </w:p>
    <w:p>
      <w:pPr>
        <w:spacing w:after="0" w:line="64"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64"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57" w:lineRule="exact"/>
        <w:rPr>
          <w:sz w:val="20"/>
          <w:szCs w:val="20"/>
          <w:color w:val="auto"/>
        </w:rPr>
      </w:pPr>
    </w:p>
    <w:p>
      <w:pPr>
        <w:jc w:val="both"/>
        <w:ind w:left="40" w:right="579" w:firstLine="270"/>
        <w:spacing w:after="0" w:line="259" w:lineRule="auto"/>
        <w:rPr>
          <w:sz w:val="20"/>
          <w:szCs w:val="20"/>
          <w:color w:val="auto"/>
        </w:rPr>
      </w:pPr>
      <w:r>
        <w:rPr>
          <w:rFonts w:ascii="Arial" w:cs="Arial" w:eastAsia="Arial" w:hAnsi="Arial"/>
          <w:sz w:val="18"/>
          <w:szCs w:val="18"/>
          <w:color w:val="auto"/>
        </w:rPr>
        <w:t>We were formed in August 2006, as Kohlberg Capital Corporation. In December 2006, we completed our initial public offering (“IPO”), which raised net proceeds of approximately $200 million after the exercise of the underwriters’ over-allotment option. In connection with our IPO, we issued an additional 3,484,333 shares of our common stock in exchange for the ownership interests of Katonah Debt Advisors and certain CLO Fund Securities.</w:t>
      </w:r>
    </w:p>
    <w:p>
      <w:pPr>
        <w:spacing w:after="0" w:line="79"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April 2008, the Company completed a rights offering that resulted in the issuance of 3.1 million shares of our common stock, and net proceeds of $27 million.</w:t>
      </w:r>
    </w:p>
    <w:p>
      <w:pPr>
        <w:spacing w:after="0" w:line="62"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On February 29, 2012, the Company purchased Trimaran Advisors, L.L.C. (“Trimaran Advisors”), a CLO manager similar to Katonah Debt Advisors, L.L.C. (“Katonah Debt Advisors”), with assets under management of approximately $1.5 billion, for total consideration of $13.0 million in cash and 3,600,000 shares of the Company’s common stock. Contemporaneous with the acquisition of Trimaran Advisors, the Company acquired from Trimaran Advisors equity interests in certain CLO Funds managed by Trimaran Advisors for an aggregate purchase price of $12.0 million in cash. As of December 31, 2015, the Asset Manager Affiliates had approximately $2.7 billion of par value assets under management.</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11, 2012, we changed our name from Kohlberg Capital Corporation to KCAP Financial, Inc.</w:t>
      </w:r>
    </w:p>
    <w:p>
      <w:pPr>
        <w:spacing w:after="0" w:line="117"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of approximately $23.8 million, net of underwriting discounts and offering expenses.</w:t>
      </w:r>
    </w:p>
    <w:p>
      <w:pPr>
        <w:spacing w:after="0" w:line="73"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Including employees of our Asset Manager Affiliates, we employ an experienced team of 18 investment professionals and 23 total staff members. Dayl W. Pearson, our President and Chief Executive Officer, and one of our directors, has been in the financial services industry for over 39 years. During the past 25 years, Mr. Pearson has focused almost exclusively on the middle market and has originated, structured and underwritten over $7 billion of debt and equity securities. R. Jon Corless, our Chief Investment Officer with primary responsibility for the Debt Securities Portfolio, has managed investment portfolios in excess of</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39"/>
        <w:spacing w:after="0" w:line="288" w:lineRule="auto"/>
        <w:rPr>
          <w:sz w:val="20"/>
          <w:szCs w:val="20"/>
          <w:color w:val="auto"/>
        </w:rPr>
      </w:pPr>
      <w:r>
        <w:rPr>
          <w:rFonts w:ascii="Arial" w:cs="Arial" w:eastAsia="Arial" w:hAnsi="Arial"/>
          <w:sz w:val="16"/>
          <w:szCs w:val="16"/>
          <w:color w:val="auto"/>
        </w:rPr>
        <w:t>$4 billion at several institutions and has been responsible for managing portfolios of leveraged loans, high-yield bonds, mezzanine securities and middle market loans. Dominick J. Mazzitelli is the President and portfolio manager of the Asset Manager Affiliates. He has over 20 years of experience within the credit markets, with most of his career focused on the leveraged finance markets.</w:t>
      </w:r>
    </w:p>
    <w:p>
      <w:pPr>
        <w:jc w:val="both"/>
        <w:ind w:left="40" w:right="939"/>
        <w:spacing w:after="0" w:line="255" w:lineRule="auto"/>
        <w:rPr>
          <w:sz w:val="20"/>
          <w:szCs w:val="20"/>
          <w:color w:val="auto"/>
        </w:rPr>
      </w:pPr>
      <w:r>
        <w:rPr>
          <w:rFonts w:ascii="Arial" w:cs="Arial" w:eastAsia="Arial" w:hAnsi="Arial"/>
          <w:sz w:val="18"/>
          <w:szCs w:val="18"/>
          <w:color w:val="auto"/>
        </w:rPr>
        <w:t>Edward U. Gilpin, our Chief Financial Officer, Secretary and Treasurer, has been in financial services for over 30 years, with significant experience in overseeing the financial operations and reporting for asset management businesses, including the fair value accounting of CLO securities owned by them.</w:t>
      </w:r>
    </w:p>
    <w:p>
      <w:pPr>
        <w:spacing w:after="0" w:line="8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 xml:space="preserve">Under the investment company rules and regulations pursuant to Article 6 of Regulation S-X and the Financial Standards Board Accounting Standards Codification 946,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946), we are precluded from consolidating portfolio company investments, including those in which we have a controlling interest, unless the portfolio company is another investment company. An exception to this general principle in ASC 946 occurs if we own a controlled operating company that provides all or substantially all of its services directly to us, or to an investment company of ours. Other than KCAP Funding, Kohlberg Capital Funding I LLC, KCAP Senior Funding I Holdings LLC and KCAP Senior Funding I LLC,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at which point any gain or loss on exit is reclassified and recognized as a “Net Realized Gain (Loss) from Investments.”</w:t>
      </w:r>
    </w:p>
    <w:p>
      <w:pPr>
        <w:spacing w:after="0" w:line="7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“KCAP.” The net asset value per share of our common stock at December 31, 2015 was $5.82. On December 31, 2015, the last reported sale price of a share of our common stock on The NASDAQ Global Select Market was $4.07. In addition, our 7.375% notes due 2019 (“7.375% Notes Due 2019”) are traded on the New York Stock Exchange under the symbol “KAP.”</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152" w:lineRule="exact"/>
        <w:rPr>
          <w:sz w:val="20"/>
          <w:szCs w:val="20"/>
          <w:color w:val="auto"/>
        </w:rPr>
      </w:pPr>
    </w:p>
    <w:p>
      <w:pPr>
        <w:ind w:left="40" w:right="619" w:firstLine="270"/>
        <w:spacing w:after="0" w:line="252" w:lineRule="auto"/>
        <w:rPr>
          <w:sz w:val="20"/>
          <w:szCs w:val="20"/>
          <w:color w:val="auto"/>
        </w:rPr>
      </w:pPr>
      <w:r>
        <w:rPr>
          <w:rFonts w:ascii="Arial" w:cs="Arial" w:eastAsia="Arial" w:hAnsi="Arial"/>
          <w:sz w:val="17"/>
          <w:szCs w:val="17"/>
          <w:color w:val="auto"/>
        </w:rPr>
        <w:t>Our principal executive offices are located at 295 Madison Avenue,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and our telephone number is (212) 455-8300. We maintain a website on the Internet at </w:t>
      </w:r>
      <w:r>
        <w:rPr>
          <w:rFonts w:ascii="Arial" w:cs="Arial" w:eastAsia="Arial" w:hAnsi="Arial"/>
          <w:sz w:val="17"/>
          <w:szCs w:val="17"/>
          <w:i w:val="1"/>
          <w:iCs w:val="1"/>
          <w:color w:val="auto"/>
        </w:rPr>
        <w:t>http://www.kcapfinancial.com</w:t>
      </w:r>
      <w:r>
        <w:rPr>
          <w:rFonts w:ascii="Arial" w:cs="Arial" w:eastAsia="Arial" w:hAnsi="Arial"/>
          <w:sz w:val="17"/>
          <w:szCs w:val="17"/>
          <w:color w:val="auto"/>
        </w:rPr>
        <w:t>. The information contained in our website is not incorporated by reference into this Annual Report. We make available on or through our website certain reports and amendments to those reports that we file with or furnish to the SEC in accordance with the Securities Exchange Act of 1934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Our investment portfolio generates investment income, which is generally used to pay principal and interest on our borrowings, operating expenses, and to fund our distributions to our stockholders. Our investment portfolio consists of three primary components: the Debt Securities Portfolio, the CLO Fund Securities and our investment in our wholly owned Asset Manager Affiliates.</w:t>
      </w:r>
    </w:p>
    <w:p>
      <w:pPr>
        <w:spacing w:after="0" w:line="79"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i w:val="1"/>
          <w:iCs w:val="1"/>
          <w:color w:val="auto"/>
        </w:rPr>
        <w:t xml:space="preserve">Debt Securities Portfolio. </w:t>
      </w:r>
      <w:r>
        <w:rPr>
          <w:rFonts w:ascii="Arial" w:cs="Arial" w:eastAsia="Arial" w:hAnsi="Arial"/>
          <w:sz w:val="18"/>
          <w:szCs w:val="18"/>
          <w:color w:val="auto"/>
        </w:rPr>
        <w:t>We target privately-held middle market companies that have strong historical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management teams and identifiable and defendable market positions in industries with positive dynamics. We generally target companies that generate positive cash flows because we look to cash flows as the primary source for servicing debt.</w:t>
      </w:r>
    </w:p>
    <w:p>
      <w:pPr>
        <w:spacing w:after="0" w:line="7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200" w:lineRule="exact"/>
        <w:rPr>
          <w:sz w:val="20"/>
          <w:szCs w:val="20"/>
          <w:color w:val="auto"/>
        </w:rPr>
      </w:pPr>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repaid or warrants to purchase equity at a future date at a fixed cost. Mezzanine debt generally earns a higher return than senior secured debt due to its higher risk profile and usually less restrictive covenants. The warrants associated with mezzanine debt are typically detachable, which allows lenders to receive repayment of their principal on an agreed amortization schedule while retaining an equity interest in the borrower. Mezzanine debt also may include a “put” feature, which permits the holder to sell its equity interest back to the borrower at a price determined through an agreed formula.</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Debt Securities Portfolio as of and for the year ended December 31, 2015:</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represented approximately 69%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contained credit instruments issued by corporate borrowers;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comprised of senior secured and junior secured loans (68% and 13% of debt securities, respectively);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spread across 26 different industries and 87 different entities;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par balance per investment of approximately $3.3 million;</w:t>
      </w:r>
    </w:p>
    <w:p>
      <w:pPr>
        <w:spacing w:after="0" w:line="117" w:lineRule="exact"/>
        <w:rPr>
          <w:rFonts w:ascii="Arial" w:cs="Arial" w:eastAsia="Arial" w:hAnsi="Arial"/>
          <w:sz w:val="18"/>
          <w:szCs w:val="18"/>
          <w:color w:val="auto"/>
        </w:rPr>
      </w:pPr>
    </w:p>
    <w:p>
      <w:pPr>
        <w:ind w:left="600" w:right="119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but 1 issuer (representing less than 1% of amortized cost of total investments) were current on their debt service obligations;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weighted average interest rate of 7.4% on income producing debt investments.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investments generally average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7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secured term loans from $2 to $20 million maturing in five to seven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lien term loans from $5 to $15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unsecured loans from $5 to $23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mezzanine loans from $5 to $15 million maturing in seven to ten years;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investments from $1 to $5 million.</w:t>
      </w:r>
    </w:p>
    <w:p>
      <w:pPr>
        <w:spacing w:after="0" w:line="11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 xml:space="preserve">Asset Manager Affiliates. </w:t>
      </w:r>
      <w:r>
        <w:rPr>
          <w:rFonts w:ascii="Arial" w:cs="Arial" w:eastAsia="Arial" w:hAnsi="Arial"/>
          <w:sz w:val="17"/>
          <w:szCs w:val="17"/>
          <w:color w:val="auto"/>
        </w:rPr>
        <w:t>We expect to receive recurring cash distributions and seek to generate capital appreciation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our Asset Manager Affiliates. We may also seek to monetize our investment the Asset Manager Affiliates if and when business conditions warrant. As a manager of the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w:t>
      </w:r>
    </w:p>
    <w:p>
      <w:pPr>
        <w:spacing w:after="0" w:line="7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annual management fees that our Asset Manager Affiliates receive are generally based on a fixed percentage of the par value of assets under management and are recurring in nature for the term of the CLO Fund, so long as the Asset Manager Affiliate manages the fund. As a result, the management fees earned by our Asset Manager Affiliates are not subject to market value fluctuations in the underlying collateral. The</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57" w:lineRule="auto"/>
        <w:rPr>
          <w:sz w:val="20"/>
          <w:szCs w:val="20"/>
          <w:color w:val="auto"/>
        </w:rPr>
      </w:pPr>
      <w:r>
        <w:rPr>
          <w:rFonts w:ascii="Arial" w:cs="Arial" w:eastAsia="Arial" w:hAnsi="Arial"/>
          <w:sz w:val="18"/>
          <w:szCs w:val="18"/>
          <w:color w:val="auto"/>
        </w:rPr>
        <w:t>management fees that our Asset Manager Affiliates receive generally have three contractual components: a senior management fee, a subordinated management fee and the possibility of an incentive management fee if certain conditions are met. Currently, all CLO Funds managed by the Asset Manager Affiliates are paying both their senior and subordinated management fees on a current basis. During 2015, three CLO Funds have achieved the minimum investment return threshold and our Asset Manager Affiliates received incentive fees from those CLO Funds.</w:t>
      </w:r>
    </w:p>
    <w:p>
      <w:pPr>
        <w:spacing w:after="0" w:line="80"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Subject to the conditions of the capital markets,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 See “Item 1A. Risk Factors” for a discussion of the risks relating to our ability to access the capital markets and the impact of certain risk retention rules which require that we or our Asset Manager Affiliates make and maintain certain minimum investments in CLO Funds managed by the Asset Manager Affiliates.</w:t>
      </w:r>
    </w:p>
    <w:p>
      <w:pPr>
        <w:spacing w:after="0" w:line="81"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The after-tax net free cash flow that our Asset Manager Affiliates generate through the fees they receive for managing CLO Funds and after paying their expenses pursuant to an overhead allocation agreement with the Company associated with their operations, including compensation of their employees, may be distributed to us. Distributions from our Asset Manager Affiliates’ tax basis earnings and profits are recorded as “Dividends From Asset Manager Affiliates” in our financial statements when declared. From time to time our Asset Manager Affiliates may distribute cash in excess of tax basis earnings and profits. This excess is deemed a return of capital (“ROC”) and is recorded in “unrealized gains (losses)” on the statement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Asset Manager Affiliates, as of and for the year ended December 31, 2015:</w:t>
      </w:r>
    </w:p>
    <w:p>
      <w:pPr>
        <w:spacing w:after="0" w:line="117"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represented approximately 14%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approximately $2.7 billion par value of assets under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receive an incentive management fee from a CLO Fund, provided that the CLO Fund achieves a minimum designated return on investment. In 2015, three such funds paid incentive fees to our Asset Manager Affiliates;</w:t>
      </w:r>
    </w:p>
    <w:p>
      <w:pPr>
        <w:spacing w:after="0" w:line="62" w:lineRule="exact"/>
        <w:rPr>
          <w:rFonts w:ascii="Arial" w:cs="Arial" w:eastAsia="Arial" w:hAnsi="Arial"/>
          <w:sz w:val="18"/>
          <w:szCs w:val="18"/>
          <w:color w:val="auto"/>
        </w:rPr>
      </w:pPr>
    </w:p>
    <w:p>
      <w:pPr>
        <w:ind w:left="600" w:right="113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paid by our Asset Manager Affiliates are an additional source of income to pay our distributions to our stockholders and service our debt obligations; and</w:t>
      </w:r>
    </w:p>
    <w:p>
      <w:pPr>
        <w:spacing w:after="0" w:line="62" w:lineRule="exact"/>
        <w:rPr>
          <w:rFonts w:ascii="Arial" w:cs="Arial" w:eastAsia="Arial" w:hAnsi="Arial"/>
          <w:sz w:val="18"/>
          <w:szCs w:val="18"/>
          <w:color w:val="auto"/>
        </w:rPr>
      </w:pPr>
    </w:p>
    <w:p>
      <w:pPr>
        <w:ind w:left="600" w:right="599" w:hanging="322"/>
        <w:spacing w:after="0" w:line="34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year ended December 31, 2015, we received cash distributions of approximately $9.1 million, of which $5.3 million was recognized as investment income from our Asset Manager Affiliates and the remaining amount as a return of capital.</w:t>
      </w:r>
    </w:p>
    <w:p>
      <w:pPr>
        <w:spacing w:after="0" w:line="16"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i w:val="1"/>
          <w:iCs w:val="1"/>
          <w:color w:val="auto"/>
        </w:rPr>
        <w:t xml:space="preserve">CLO Fund Securities. </w:t>
      </w:r>
      <w:r>
        <w:rPr>
          <w:rFonts w:ascii="Arial" w:cs="Arial" w:eastAsia="Arial" w:hAnsi="Arial"/>
          <w:sz w:val="16"/>
          <w:szCs w:val="16"/>
          <w:color w:val="auto"/>
        </w:rPr>
        <w:t>Subject to the conditions of the capital markets, we expect to continue to make investments in the CLO</w:t>
      </w:r>
      <w:r>
        <w:rPr>
          <w:rFonts w:ascii="Arial" w:cs="Arial" w:eastAsia="Arial" w:hAnsi="Arial"/>
          <w:sz w:val="16"/>
          <w:szCs w:val="16"/>
          <w:i w:val="1"/>
          <w:iCs w:val="1"/>
          <w:color w:val="auto"/>
        </w:rPr>
        <w:t xml:space="preserve"> </w:t>
      </w:r>
      <w:r>
        <w:rPr>
          <w:rFonts w:ascii="Arial" w:cs="Arial" w:eastAsia="Arial" w:hAnsi="Arial"/>
          <w:sz w:val="16"/>
          <w:szCs w:val="16"/>
          <w:color w:val="auto"/>
        </w:rPr>
        <w:t>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46"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Below are summary attributes for our CLO Fund Securities, as of and for the year-ended December 31, 2015, unless otherwise specified:</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 Fund Securities represented approximately 14% of total investment portfolio at December 31, 2015;</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98% of CLO Fund Securities represented investments in subordinated securities or equity securities issued by CLO Funds and 2% of CLO Fund Securities was a rated note;</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CLO Funds invested primarily in credit instruments issued by corporate borrowers;</w:t>
      </w:r>
    </w:p>
    <w:p>
      <w:pPr>
        <w:spacing w:after="0" w:line="117" w:lineRule="exact"/>
        <w:rPr>
          <w:rFonts w:ascii="Arial" w:cs="Arial" w:eastAsia="Arial" w:hAnsi="Arial"/>
          <w:sz w:val="18"/>
          <w:szCs w:val="18"/>
          <w:color w:val="auto"/>
        </w:rPr>
      </w:pPr>
    </w:p>
    <w:p>
      <w:pPr>
        <w:ind w:left="600" w:right="163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GAAP-basis investment income of $15.7 million; cash distributions received of approximately $24.9 million (approximately $14.7 million taxable distributable income).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and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Structure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are an internally managed BDC with 24 full-time employees (inclusive of employees of our Asset Manager Affiliates). The following are our key functional teams that execute our business strategy:</w:t>
      </w:r>
    </w:p>
    <w:p>
      <w:pPr>
        <w:spacing w:after="0" w:line="62" w:lineRule="exact"/>
        <w:rPr>
          <w:sz w:val="20"/>
          <w:szCs w:val="20"/>
          <w:color w:val="auto"/>
        </w:rPr>
      </w:pPr>
    </w:p>
    <w:p>
      <w:pPr>
        <w:ind w:left="600" w:right="659" w:hanging="322"/>
        <w:spacing w:after="0" w:line="34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BDC investment team consists of 7 professionals who originate, structure, and invest in senior secured term loans, mezzanine debt and selected equity securities primarily in privately-held middle market companies as well as CLO Funds.</w:t>
      </w:r>
    </w:p>
    <w:p>
      <w:pPr>
        <w:spacing w:after="0" w:line="15"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Asset Manager Affiliates team consists of 8 professionals who structure, purchase and manage portfolios of primarily broadly syndicated corporate senior debt for CLOs.</w:t>
      </w:r>
    </w:p>
    <w:p>
      <w:pPr>
        <w:spacing w:after="0" w:line="62" w:lineRule="exact"/>
        <w:rPr>
          <w:rFonts w:ascii="Arial" w:cs="Arial" w:eastAsia="Arial" w:hAnsi="Arial"/>
          <w:sz w:val="18"/>
          <w:szCs w:val="18"/>
          <w:color w:val="auto"/>
        </w:rPr>
      </w:pPr>
    </w:p>
    <w:p>
      <w:pPr>
        <w:ind w:left="600" w:right="979"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remainder of the employees include senior management, operations, financial accounting, compliance and human resources.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Process</w:t>
      </w:r>
    </w:p>
    <w:p>
      <w:pPr>
        <w:spacing w:after="0" w:line="11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KCAP will review potential investment opportunities and conduct due diligence that will typically include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50" w:lineRule="exact"/>
        <w:rPr>
          <w:sz w:val="20"/>
          <w:szCs w:val="20"/>
          <w:color w:val="auto"/>
        </w:rPr>
      </w:pPr>
    </w:p>
    <w:p>
      <w:pPr>
        <w:ind w:left="40" w:right="879" w:firstLine="270"/>
        <w:spacing w:after="0" w:line="312" w:lineRule="auto"/>
        <w:rPr>
          <w:sz w:val="20"/>
          <w:szCs w:val="20"/>
          <w:color w:val="auto"/>
        </w:rPr>
      </w:pPr>
      <w:r>
        <w:rPr>
          <w:rFonts w:ascii="Arial" w:cs="Arial" w:eastAsia="Arial" w:hAnsi="Arial"/>
          <w:sz w:val="16"/>
          <w:szCs w:val="16"/>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focus on lending and investing opportunities in:</w:t>
      </w:r>
    </w:p>
    <w:p>
      <w:pPr>
        <w:spacing w:after="0" w:line="117"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with EBITDA of $10 to $50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with financing needs of $25 to $150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purchased by well-regarded 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non-sponsored companies with successful management and systems;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high-yield bonds and broadly syndicated loans to larger companies on a selective basis; and</w:t>
      </w:r>
    </w:p>
    <w:p>
      <w:pPr>
        <w:spacing w:after="0" w:line="117" w:lineRule="exact"/>
        <w:rPr>
          <w:rFonts w:ascii="Arial" w:cs="Arial" w:eastAsia="Arial" w:hAnsi="Arial"/>
          <w:sz w:val="18"/>
          <w:szCs w:val="18"/>
          <w:color w:val="auto"/>
        </w:rPr>
      </w:pPr>
    </w:p>
    <w:p>
      <w:pPr>
        <w:ind w:left="320" w:right="2499" w:hanging="42"/>
        <w:spacing w:after="0" w:line="375" w:lineRule="auto"/>
        <w:tabs>
          <w:tab w:leader="none" w:pos="6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 co-investment in companies where we see substantial opportunity for capital appreciation. We expect to continue to source investment opportunities from:</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investment banks for non-sponsored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middle market lenders with whom we can participate in loans;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Asset Manager Affiliates, with regard to high-yield bonds and syndicated loans.</w:t>
      </w:r>
    </w:p>
    <w:p>
      <w:pPr>
        <w:spacing w:after="0" w:line="117"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its historical ability to weather economic cycles. Other key qualitative factors include the experience and depth of the management team and the financial sponsor, if any.</w:t>
      </w:r>
    </w:p>
    <w:p>
      <w:pPr>
        <w:spacing w:after="0" w:line="200" w:lineRule="exact"/>
        <w:rPr>
          <w:sz w:val="20"/>
          <w:szCs w:val="20"/>
          <w:color w:val="auto"/>
        </w:rPr>
      </w:pPr>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its competition as well as its ability to manage its working capital requirements and its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qualitative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fundamentals;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position and market share;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past ability to work through historical down-cycles;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and technology infrastructure;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sourcing risks and opportunities;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and union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customer base and product lines;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sponsor (if applicable);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and integration history.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quantitative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statement analysis of growth and margin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analysis of capital expenditures and free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ratio and market share standing among comparable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projections: underwriting versus stress case;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 specific credit modeling;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profile trend;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capital expenditure needs and asset sale plans;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downside protection to limit losses in an event of default;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adjusted returns and relative value analysis;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and asset valuations.</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The origination, structuring and credit approval processes are fully integrated. Our credit team is directly involved in all due diligence and analysis prior to the formal credit approval process by the Investment Committee.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Committee</w:t>
      </w:r>
    </w:p>
    <w:p>
      <w:pPr>
        <w:spacing w:after="0" w:line="11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The Investment Committee consists of the Chairman of the Board of Directors, the Chief Executive Officer, the Chief Investment Officer, and an additional member of the Board of Directors. The Investment Committee serves to provide investment consistency and adherence to our core investment philosophy and policies.</w:t>
      </w:r>
    </w:p>
    <w:p>
      <w:pPr>
        <w:spacing w:after="0" w:line="73"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w:t>
      </w: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308" w:lineRule="auto"/>
        <w:rPr>
          <w:sz w:val="20"/>
          <w:szCs w:val="20"/>
          <w:color w:val="auto"/>
        </w:rPr>
      </w:pPr>
      <w:r>
        <w:rPr>
          <w:rFonts w:ascii="Arial" w:cs="Arial" w:eastAsia="Arial" w:hAnsi="Arial"/>
          <w:sz w:val="17"/>
          <w:szCs w:val="17"/>
          <w:color w:val="auto"/>
        </w:rPr>
        <w:t>analyze the prospective portfolio’s historical financial statements, financial projections, industry and management team, and will then present this memorandum with its recommendations to the Investment Committee for review and approval.</w:t>
      </w:r>
    </w:p>
    <w:p>
      <w:pPr>
        <w:spacing w:after="0" w:line="38" w:lineRule="exact"/>
        <w:rPr>
          <w:sz w:val="20"/>
          <w:szCs w:val="20"/>
          <w:color w:val="auto"/>
        </w:rPr>
      </w:pPr>
    </w:p>
    <w:p>
      <w:pPr>
        <w:ind w:left="40" w:right="759" w:firstLine="270"/>
        <w:spacing w:after="0" w:line="308" w:lineRule="auto"/>
        <w:rPr>
          <w:sz w:val="20"/>
          <w:szCs w:val="20"/>
          <w:color w:val="auto"/>
        </w:rPr>
      </w:pPr>
      <w:r>
        <w:rPr>
          <w:rFonts w:ascii="Arial" w:cs="Arial" w:eastAsia="Arial" w:hAnsi="Arial"/>
          <w:sz w:val="17"/>
          <w:szCs w:val="17"/>
          <w:color w:val="auto"/>
        </w:rPr>
        <w:t>The approval of a majority of the Investment Committee will be required for all investments of less than $15 million, and the unanimous approval of the Investment Committee will be required for investments of $15 million or greater.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Monitoring</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management team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management and the private equity sponsor, if applicable, of the portfolio company to take any necessary remedial action. In addition, most of our senior management team, including the credit team at the Asset Manager Affiliates, has substantial workout and restructuring experience.</w:t>
      </w:r>
    </w:p>
    <w:p>
      <w:pPr>
        <w:spacing w:after="0" w:line="50"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order to assist us in detecting issues with our Debt Securities Portfolio companies as early as possible, we perform a financial analysis at least quarterly on each portfolio company. This analysis typically includes:</w:t>
      </w:r>
    </w:p>
    <w:p>
      <w:pPr>
        <w:spacing w:after="0" w:line="62"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summary of the portfolio company’s current total credit exposure as well as the KCAP portion of this exposure.</w:t>
      </w:r>
    </w:p>
    <w:p>
      <w:pPr>
        <w:spacing w:after="0" w:line="128" w:lineRule="exact"/>
        <w:rPr>
          <w:rFonts w:ascii="Arial" w:cs="Arial" w:eastAsia="Arial" w:hAnsi="Arial"/>
          <w:sz w:val="17"/>
          <w:szCs w:val="17"/>
          <w:color w:val="auto"/>
        </w:rPr>
      </w:pPr>
    </w:p>
    <w:p>
      <w:pPr>
        <w:ind w:left="600" w:right="61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Reaffirmation of, or proposal to change, the risk rating of the underlying investment.</w:t>
      </w:r>
    </w:p>
    <w:p>
      <w:pPr>
        <w:spacing w:after="0" w:line="117"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of the portfolio company’s financial covenant results vis a vis financial covenant levels established in the credit agreement.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Watch list credits are followed closely and discussed periodically with the Chief Investment Officer, as appropriate.</w:t>
      </w: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73" w:lineRule="exact"/>
        <w:rPr>
          <w:sz w:val="20"/>
          <w:szCs w:val="20"/>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Our net asset value per share was $5.82 and $6.94 as of December 31, 2015 and December 31, 2014,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3500" w:type="dxa"/>
            <w:vAlign w:val="bottom"/>
            <w:gridSpan w:val="3"/>
            <w:vMerge w:val="restart"/>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0"/>
        </w:trPr>
        <w:tc>
          <w:tcPr>
            <w:tcW w:w="3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w w:val="97"/>
              </w:rPr>
              <w:t>Investments in money market accounts</w:t>
            </w:r>
            <w:r>
              <w:rPr>
                <w:rFonts w:ascii="Arial" w:cs="Arial" w:eastAsia="Arial" w:hAnsi="Arial"/>
                <w:sz w:val="29"/>
                <w:szCs w:val="29"/>
                <w:color w:val="auto"/>
                <w:w w:val="97"/>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284,639,244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320,143,170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55,872,382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77,514,903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9,548,488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8,119,681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57,381,000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72,326,000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1,220,798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7"/>
        </w:trPr>
        <w:tc>
          <w:tcPr>
            <w:tcW w:w="35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Restricted Cash</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7,138,272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19,325,550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All other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8,533,574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10,193,954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425,242,341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510,446,797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19,299,000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38,647,000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7.375% Notes Due 2019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41,400,000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41,400,000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35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4"/>
              </w:rPr>
              <w:t>Notes payable – KCAP Senior Funding I, LLC</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(net of discount)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144,442,405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143,837,593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18,293,725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12,951,778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209,141,871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255,130,096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NET ASSET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216,100,470</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255,316,701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-1371600</wp:posOffset>
            </wp:positionV>
            <wp:extent cx="52139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619" w:hanging="272"/>
        <w:spacing w:after="0" w:line="25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80" w:lineRule="exact"/>
        <w:rPr>
          <w:rFonts w:ascii="Arial" w:cs="Arial" w:eastAsia="Arial" w:hAnsi="Arial"/>
          <w:sz w:val="18"/>
          <w:szCs w:val="18"/>
          <w:color w:val="auto"/>
        </w:rPr>
      </w:pPr>
    </w:p>
    <w:p>
      <w:pPr>
        <w:ind w:left="300" w:hanging="27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17"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cash held for quarterly interest and principal payments to the holders of notes Issued by KCAP Senior Funding I, LLC.</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w:t>
      </w:r>
    </w:p>
    <w:p>
      <w:pPr>
        <w:spacing w:after="0" w:line="121" w:lineRule="exact"/>
        <w:rPr>
          <w:sz w:val="20"/>
          <w:szCs w:val="20"/>
          <w:color w:val="auto"/>
        </w:rPr>
      </w:pPr>
    </w:p>
    <w:p>
      <w:pPr>
        <w:ind w:left="60" w:right="599" w:firstLine="270"/>
        <w:spacing w:after="0" w:line="270" w:lineRule="auto"/>
        <w:rPr>
          <w:sz w:val="20"/>
          <w:szCs w:val="20"/>
          <w:color w:val="auto"/>
        </w:rPr>
      </w:pPr>
      <w:r>
        <w:rPr>
          <w:rFonts w:ascii="Arial" w:cs="Arial" w:eastAsia="Arial" w:hAnsi="Arial"/>
          <w:sz w:val="17"/>
          <w:szCs w:val="17"/>
          <w:color w:val="auto"/>
        </w:rPr>
        <w:t>As a BDC, we invest primarily in illiquid securities, including loans to and warrants of private companies and interests in other illiquid securities, such as interests in CLO Fund Securities. These portfolio investments may be subject to restrictions on resale and will generally have no established trading market. As a result, our Board of Directors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of Directors and in accordance with the 1940 Act. Our valuation policy is intended to provide a consistent basis for determining the fair value of the portfolio. Our Board of Directors is ultimately and solely responsible for making a good faith determination of the fair value of portfolio investments on a quarterly basis. The Company uses an independent valuation firm to provide third party valuation consulting services to the Company and the Board of Directors. For additional information concerning valuation, see</w:t>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39"/>
        <w:spacing w:after="0" w:line="277" w:lineRule="auto"/>
        <w:rPr>
          <w:sz w:val="20"/>
          <w:szCs w:val="20"/>
          <w:color w:val="auto"/>
        </w:rPr>
      </w:pPr>
      <w:r>
        <w:rPr>
          <w:rFonts w:ascii="Arial" w:cs="Arial" w:eastAsia="Arial" w:hAnsi="Arial"/>
          <w:sz w:val="18"/>
          <w:szCs w:val="18"/>
          <w:color w:val="auto"/>
        </w:rPr>
        <w:t>“Item 7: Management’s Discussion and Analysis of Financial Condition and Results of Operations — Valuation of Portfolio Investments”; and Notes 2 and 4 to the financial statements.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Our primary competitors also provide financing to prospective portfolio companies. These include commercial banks, specialty finance companies, hedge funds, structured investment funds, other BDCs and investment banks.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w:t>
      </w:r>
    </w:p>
    <w:p>
      <w:pPr>
        <w:spacing w:after="0" w:line="2" w:lineRule="exact"/>
        <w:rPr>
          <w:sz w:val="20"/>
          <w:szCs w:val="20"/>
          <w:color w:val="auto"/>
        </w:rPr>
      </w:pPr>
    </w:p>
    <w:p>
      <w:pPr>
        <w:ind w:left="40" w:right="1619"/>
        <w:spacing w:after="0" w:line="261" w:lineRule="auto"/>
        <w:rPr>
          <w:sz w:val="20"/>
          <w:szCs w:val="20"/>
          <w:color w:val="auto"/>
        </w:rPr>
      </w:pPr>
      <w:r>
        <w:rPr>
          <w:rFonts w:ascii="Arial" w:cs="Arial" w:eastAsia="Arial" w:hAnsi="Arial"/>
          <w:sz w:val="18"/>
          <w:szCs w:val="18"/>
          <w:color w:val="auto"/>
        </w:rPr>
        <w:t>Factors — Risks Related to Our Business and Structure — We operate in a highly competitive market for investment opportunities.”</w:t>
      </w:r>
    </w:p>
    <w:p>
      <w:pPr>
        <w:spacing w:after="0" w:line="76"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believe that we provide a unique combination of an experienced middle market loan origination and a CLO management platform at the Asset Manager Affiliates that includes experienced lenders with broad industry expertise. We believe that this combination of resources provides us with a thorough credit process and multiple sources of investment opportunities that make us attractive within our market.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As of December 31, 2015, we and our Asset Manager Affiliates had 24 employees, including an experienced team of 15 investment professionals.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discussion is a general summary of some of the material prohibitions and restrictions governing BDCs generally.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 does not purport to be a complete description of all the laws and regulations affecting BDCs.</w:t>
      </w:r>
    </w:p>
    <w:p>
      <w:pPr>
        <w:spacing w:after="0" w:line="103"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50"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left="40" w:right="759" w:firstLine="270"/>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57" w:lineRule="exact"/>
        <w:rPr>
          <w:sz w:val="20"/>
          <w:szCs w:val="20"/>
          <w:color w:val="auto"/>
        </w:rPr>
      </w:pPr>
    </w:p>
    <w:p>
      <w:pPr>
        <w:ind w:left="600" w:right="95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1159" w:hanging="272"/>
        <w:spacing w:after="0" w:line="308" w:lineRule="auto"/>
        <w:tabs>
          <w:tab w:leader="none" w:pos="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is not an investment company (other than a small business investment company wholly-owned by the BDC) or a company that would be an investment company but for certain exclusions under the 1940 Act; and</w:t>
      </w: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820" w:hanging="27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right="539" w:hanging="262"/>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73" w:lineRule="exact"/>
        <w:rPr>
          <w:rFonts w:ascii="Arial" w:cs="Arial" w:eastAsia="Arial" w:hAnsi="Arial"/>
          <w:sz w:val="18"/>
          <w:szCs w:val="18"/>
          <w:color w:val="auto"/>
        </w:rPr>
      </w:pPr>
    </w:p>
    <w:p>
      <w:pPr>
        <w:ind w:left="1080" w:right="919" w:hanging="262"/>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62" w:lineRule="exact"/>
        <w:rPr>
          <w:sz w:val="20"/>
          <w:szCs w:val="20"/>
          <w:color w:val="auto"/>
        </w:rPr>
      </w:pPr>
    </w:p>
    <w:p>
      <w:pPr>
        <w:ind w:left="1080" w:right="859" w:hanging="269"/>
        <w:spacing w:after="0" w:line="277" w:lineRule="auto"/>
        <w:rPr>
          <w:sz w:val="20"/>
          <w:szCs w:val="20"/>
          <w:color w:val="auto"/>
        </w:rPr>
      </w:pPr>
      <w:r>
        <w:rPr>
          <w:rFonts w:ascii="Arial" w:cs="Arial" w:eastAsia="Arial" w:hAnsi="Arial"/>
          <w:sz w:val="18"/>
          <w:szCs w:val="18"/>
          <w:color w:val="auto"/>
        </w:rPr>
        <w:t>(iii)is a small and solvent company having total assets of not more than $4 million and capital and surplus of not less than $2 million; or</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(iv)does not have outstanding any class of securities with respect to which a broker or dealer may extend margin credit.</w:t>
      </w:r>
    </w:p>
    <w:p>
      <w:pPr>
        <w:spacing w:after="0" w:line="140"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conversion of warrants or rights relating to such securities;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w:t>
      </w:r>
    </w:p>
    <w:p>
      <w:pPr>
        <w:spacing w:after="0" w:line="121" w:lineRule="exact"/>
        <w:rPr>
          <w:sz w:val="20"/>
          <w:szCs w:val="20"/>
          <w:color w:val="auto"/>
        </w:rPr>
      </w:pPr>
    </w:p>
    <w:p>
      <w:pPr>
        <w:ind w:left="40" w:right="619" w:firstLine="270"/>
        <w:spacing w:after="0" w:line="289" w:lineRule="auto"/>
        <w:rPr>
          <w:sz w:val="20"/>
          <w:szCs w:val="20"/>
          <w:color w:val="auto"/>
        </w:rPr>
      </w:pPr>
      <w:r>
        <w:rPr>
          <w:rFonts w:ascii="Arial" w:cs="Arial" w:eastAsia="Arial" w:hAnsi="Arial"/>
          <w:sz w:val="16"/>
          <w:szCs w:val="16"/>
          <w:color w:val="auto"/>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Indebtedness; Coverage Ratio</w:t>
      </w:r>
    </w:p>
    <w:p>
      <w:pPr>
        <w:spacing w:after="0" w:line="121"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We may also borrow amounts up to 5% of the value of our total assets for temporary purposes. For a discussion of the risks associated with the resulting leverage, see “Item 1A. Risk Factors — Risks Related to Our Business and Structure — We borrow money, which magnifies the potential for gain or loss on amounts invested and may increase the risk of investing in us.” As of December 31, 2015, our asset coverage ratio was 202%, above the minimum required asset coverage level of 200%.</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current net asset value of the common stock if our Board of Directors determines that such sale is in our best interests and that of our stockholders, and our stockholders approve such sale. In any such case, the price at which our common stock is to be issued and sold may not be less than a price which, in the determination of our Board of Directors,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Arial" w:cs="Arial" w:eastAsia="Arial" w:hAnsi="Arial"/>
          <w:sz w:val="16"/>
          <w:szCs w:val="16"/>
          <w:i w:val="1"/>
          <w:iCs w:val="1"/>
          <w:color w:val="auto"/>
        </w:rPr>
        <w:t>http://www.kcapfinancial.com</w:t>
      </w:r>
      <w:r>
        <w:rPr>
          <w:rFonts w:ascii="Arial" w:cs="Arial" w:eastAsia="Arial" w:hAnsi="Arial"/>
          <w:sz w:val="16"/>
          <w:szCs w:val="16"/>
          <w:color w:val="auto"/>
        </w:rPr>
        <w:t xml:space="preserve">. Our code of ethics may also be reviewed and copied at the Public Reference Room of the SEC at 100 F Street, N.E., Washington, D.C. 20549. You may obtain information on the operation of the Public Reference Room by calling the SEC at 1-800-SEC-0330. Copies of the code of ethics may be obtained,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Washington, D.C. 20549-0102. In addition, our code of ethics is available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79" w:lineRule="exact"/>
        <w:rPr>
          <w:sz w:val="20"/>
          <w:szCs w:val="20"/>
          <w:color w:val="auto"/>
        </w:rPr>
      </w:pPr>
    </w:p>
    <w:p>
      <w:pPr>
        <w:ind w:left="40" w:right="659" w:firstLine="270"/>
        <w:spacing w:after="0" w:line="342" w:lineRule="auto"/>
        <w:rPr>
          <w:sz w:val="20"/>
          <w:szCs w:val="20"/>
          <w:color w:val="auto"/>
        </w:rPr>
      </w:pPr>
      <w:r>
        <w:rPr>
          <w:rFonts w:ascii="Arial" w:cs="Arial" w:eastAsia="Arial" w:hAnsi="Arial"/>
          <w:sz w:val="16"/>
          <w:szCs w:val="16"/>
          <w:color w:val="auto"/>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Policy and Procedures</w:t>
      </w:r>
    </w:p>
    <w:p>
      <w:pPr>
        <w:spacing w:after="0" w:line="12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Although the securities we hold are not typically voting securities, some of our investments could entitle us to voting rights. If this were to occur we would vote our portfolio securities in the best interest of our stockholders and we would review on a case-by-case basis each proposal submitted to a stockholder vote to determine its impact on the portfolio securities held by us. Although we would generally vote against proposals that we believe may have a negative impact on our portfolio securities, we may vote for such a proposal if we were to believe there exists a compelling long-term reason to do so.</w:t>
      </w:r>
    </w:p>
    <w:p>
      <w:pPr>
        <w:spacing w:after="0" w:line="64"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Our voting decisions would be made by our Investment Committee. To ensure that our vote would not the product of a conflict of interest, we would require that (1) anyone involved in the decision making process disclose to our Chief Compliance Officer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periodically examined by the SEC for compliance with the 1940 Act and the Securities Exchange Act of 1934.</w:t>
      </w:r>
    </w:p>
    <w:p>
      <w:pPr>
        <w:spacing w:after="0" w:line="12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7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121"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as amended (the “Code”), and intend to operate in a manner to maintain our RIC tax treatment. As a RIC, we generally will not have to pay corporate-level U.S. federal income taxes on any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net ordinary income or net capital gain not distributed (or deemed distributed) to our stockholders.</w:t>
      </w:r>
    </w:p>
    <w:p>
      <w:pPr>
        <w:spacing w:after="0" w:line="80"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We will be subject to a 4% nondeductible U.S. federal excise tax on our undistributed income unless we distribute in a timely manner an amount at least equal to the sum of (a) 98% of our net ordinary income for each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308" w:lineRule="auto"/>
        <w:rPr>
          <w:sz w:val="20"/>
          <w:szCs w:val="20"/>
          <w:color w:val="auto"/>
        </w:rPr>
      </w:pPr>
      <w:r>
        <w:rPr>
          <w:rFonts w:ascii="Arial" w:cs="Arial" w:eastAsia="Arial" w:hAnsi="Arial"/>
          <w:sz w:val="17"/>
          <w:szCs w:val="17"/>
          <w:color w:val="auto"/>
        </w:rPr>
        <w:t>distributed by year end (or earlier if estimated taxes are paid). Although we generally endeavor to make sufficient distributions each taxable year to satisfy the Excise Tax Avoidance Requirement, we may incur a U.S. federal excise tax.</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qualify to be regulated as a business development company under the 1940 Act at all times during each taxable year;</w:t>
      </w:r>
    </w:p>
    <w:p>
      <w:pPr>
        <w:spacing w:after="0" w:line="128" w:lineRule="exact"/>
        <w:rPr>
          <w:rFonts w:ascii="Arial" w:cs="Arial" w:eastAsia="Arial" w:hAnsi="Arial"/>
          <w:sz w:val="17"/>
          <w:szCs w:val="17"/>
          <w:color w:val="auto"/>
        </w:rPr>
      </w:pPr>
    </w:p>
    <w:p>
      <w:pPr>
        <w:ind w:left="600" w:right="519" w:hanging="322"/>
        <w:spacing w:after="0" w:line="255"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or other income derived with respect to our business of investing in such stock or securities, and net income derived from interests in “qualified publicly traded partnerships” (which generally are partnerships that are traded on an established securities market or tradable on a secondary market, other than partnerships that derive 90% of their income from interest, dividends and other permitted RIC income) (the “90% Income Test”); and</w:t>
      </w:r>
    </w:p>
    <w:p>
      <w:pPr>
        <w:spacing w:after="0" w:line="85"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20" w:right="679" w:hanging="272"/>
        <w:spacing w:after="0" w:line="286" w:lineRule="auto"/>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20" w:right="619" w:hanging="272"/>
        <w:spacing w:after="0" w:line="279" w:lineRule="auto"/>
        <w:tabs>
          <w:tab w:leader="none" w:pos="8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63"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we do not satisfy the requirements of the Diversification Tests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We may invest in partnerships, including qualified publicly traded partnerships, which may result in our being subject to state, local or foreign income, franchise or withholding liabilities.</w:t>
      </w:r>
    </w:p>
    <w:p>
      <w:pPr>
        <w:spacing w:after="0" w:line="6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Any underwriting fees paid by us are not deductible. 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16"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 (g) adversely affect the time as to when a purchase or sale of stock or securities 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70"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capital gain or loss generally will be long-term or short-term, depending on how long we held a particular warrant.</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Some of the income and fees that we may recognize will not satisfy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46"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58"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reinvestment plan will be allocated to a stockholder based upon the average purchase price, excluding any brokerage charges or other charges, of all shares of common stock purchased with respect to the distribution.</w:t>
      </w:r>
    </w:p>
    <w:p>
      <w:pPr>
        <w:spacing w:after="0" w:line="62"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46"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38" w:lineRule="exact"/>
        <w:rPr>
          <w:sz w:val="20"/>
          <w:szCs w:val="20"/>
          <w:color w:val="auto"/>
        </w:rPr>
      </w:pPr>
    </w:p>
    <w:p>
      <w:pPr>
        <w:ind w:left="40" w:right="1159" w:firstLine="270"/>
        <w:spacing w:after="0" w:line="286" w:lineRule="auto"/>
        <w:rPr>
          <w:sz w:val="20"/>
          <w:szCs w:val="20"/>
          <w:color w:val="auto"/>
        </w:rPr>
      </w:pPr>
      <w:r>
        <w:rPr>
          <w:rFonts w:ascii="Arial" w:cs="Arial" w:eastAsia="Arial" w:hAnsi="Arial"/>
          <w:sz w:val="17"/>
          <w:szCs w:val="17"/>
          <w:color w:val="auto"/>
        </w:rPr>
        <w:t xml:space="preserve">Participants may terminate their accounts under the plan by notifying the plan administrator via its website at </w:t>
      </w:r>
      <w:r>
        <w:rPr>
          <w:rFonts w:ascii="Arial" w:cs="Arial" w:eastAsia="Arial" w:hAnsi="Arial"/>
          <w:sz w:val="17"/>
          <w:szCs w:val="17"/>
          <w:i w:val="1"/>
          <w:iCs w:val="1"/>
          <w:color w:val="auto"/>
        </w:rPr>
        <w:t>www.amstock.com</w:t>
      </w:r>
      <w:r>
        <w:rPr>
          <w:rFonts w:ascii="Arial" w:cs="Arial" w:eastAsia="Arial" w:hAnsi="Arial"/>
          <w:sz w:val="17"/>
          <w:szCs w:val="17"/>
          <w:color w:val="auto"/>
        </w:rPr>
        <w:t>, by filling out the transaction request form located at bottom of their statement and sending it to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at the address set forth below or by calling the plan administrator at 1-866-668-8564.</w:t>
      </w:r>
    </w:p>
    <w:p>
      <w:pPr>
        <w:spacing w:after="0" w:line="57"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48" w:lineRule="exact"/>
        <w:rPr>
          <w:sz w:val="20"/>
          <w:szCs w:val="20"/>
          <w:color w:val="auto"/>
        </w:rPr>
      </w:pPr>
    </w:p>
    <w:p>
      <w:pPr>
        <w:ind w:left="40" w:right="1059"/>
        <w:spacing w:after="0" w:line="308" w:lineRule="auto"/>
        <w:rPr>
          <w:sz w:val="20"/>
          <w:szCs w:val="20"/>
          <w:color w:val="auto"/>
        </w:rPr>
      </w:pPr>
      <w:r>
        <w:rPr>
          <w:rFonts w:ascii="Arial" w:cs="Arial" w:eastAsia="Arial" w:hAnsi="Arial"/>
          <w:sz w:val="17"/>
          <w:szCs w:val="17"/>
          <w:b w:val="1"/>
          <w:bCs w:val="1"/>
          <w:i w:val="1"/>
          <w:iCs w:val="1"/>
          <w:color w:val="auto"/>
        </w:rPr>
        <w:t>Economic recessions or downturns may have a material adverse effect on our business, financial condition and results of operations, and could impair the ability of our portfolio companies to repay loans.</w:t>
      </w:r>
    </w:p>
    <w:p>
      <w:pPr>
        <w:spacing w:after="0" w:line="3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3"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Although the market is not currently experiencing the same levels of disruption as during 2008 to 2009, recently, the debt markets have been experiencing substantial disruption, which may continue substantially into the future. To the extent that recessionary conditions return,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economic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07" w:lineRule="exact"/>
        <w:rPr>
          <w:sz w:val="20"/>
          <w:szCs w:val="20"/>
          <w:color w:val="auto"/>
        </w:rPr>
      </w:pPr>
    </w:p>
    <w:p>
      <w:pPr>
        <w:ind w:left="40" w:right="619"/>
        <w:spacing w:after="0" w:line="375" w:lineRule="auto"/>
        <w:rPr>
          <w:sz w:val="20"/>
          <w:szCs w:val="20"/>
          <w:color w:val="auto"/>
        </w:rPr>
      </w:pPr>
      <w:r>
        <w:rPr>
          <w:rFonts w:ascii="Arial" w:cs="Arial" w:eastAsia="Arial" w:hAnsi="Arial"/>
          <w:sz w:val="15"/>
          <w:szCs w:val="15"/>
          <w:b w:val="1"/>
          <w:bCs w:val="1"/>
          <w:i w:val="1"/>
          <w:iCs w:val="1"/>
          <w:color w:val="auto"/>
        </w:rPr>
        <w:t>The capital markets may experience periods of disruption and instability. Such market conditions may materially and adversely affect debt and equity capital markets in the United States, which may have a negative impact on our business and operations.</w:t>
      </w:r>
    </w:p>
    <w:p>
      <w:pPr>
        <w:spacing w:after="0" w:line="1" w:lineRule="exact"/>
        <w:rPr>
          <w:sz w:val="20"/>
          <w:szCs w:val="20"/>
          <w:color w:val="auto"/>
        </w:rPr>
      </w:pPr>
    </w:p>
    <w:p>
      <w:pPr>
        <w:ind w:left="40" w:right="839" w:firstLine="270"/>
        <w:spacing w:after="0" w:line="290" w:lineRule="auto"/>
        <w:rPr>
          <w:sz w:val="20"/>
          <w:szCs w:val="20"/>
          <w:color w:val="auto"/>
        </w:rPr>
      </w:pPr>
      <w:r>
        <w:rPr>
          <w:rFonts w:ascii="Arial" w:cs="Arial" w:eastAsia="Arial" w:hAnsi="Arial"/>
          <w:sz w:val="16"/>
          <w:szCs w:val="16"/>
          <w:color w:val="auto"/>
        </w:rPr>
        <w:t>The U.S. capital markets experienced extreme volatility and disruption over the past several years, leading to recessionary conditions and depressed levels of consumer and commercial spending. Disruptions in the capital markets increased the spread between the yields realized on risk-free and higher risk securities, resulting in illiquidity in parts of the capital markets. While recent indicators suggest improvement in the capital markets, we cannot provide any assurance that these conditions will not worsen. If these conditions continue or worsen, the prolonged period of market illiquidity may have an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58"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In addition, 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Significant changes in the capital markets may also affect the pace of our investment activity and the potential for liquidity events involving our investments. Thus, the illiquidity of our investments may make it difficult for us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color w:val="auto"/>
        </w:rPr>
        <w:t>to sell such investments to access capital if required, and as a result, we could realize significantly less than the value at which we have recorded our investments if we were required to sell them for liquidity purposes. An inability to raise or access capital could have a material adverse effect on our business, financial condition or results of operations.</w:t>
      </w:r>
    </w:p>
    <w:p>
      <w:pPr>
        <w:spacing w:after="0" w:line="100"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Uncertainty about the financial stability of the United States and other countries could have a significant adverse effect on our business, financial condition and results of operations.</w:t>
      </w:r>
    </w:p>
    <w:p>
      <w:pPr>
        <w:spacing w:after="0" w:line="62"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United States and around the world, may continue to contribute to increased market volatility, may have long-term effects on the United States and worldwide financial markets, and may cause further economic uncertainties or deterioration in the United States and worldwide. Since 2010, several European Union (“EU”) countries, including Greece, Ireland, Italy, Spain, and Portugal, have faced budget issues, some of which may have negative long-term effects for the economies of those countries and other EU countries. Growth in the EU’s economy has continued to stagnate, as concerns over deflation and the effects of Russian sanctions on growth were added to longstanding issues with burdensome debt loads and high unemployment. Recently, the European Central Bank began employing more aggressive stimulus measures, with the initiation of full-scale quantitative easing that involves purchase of Eurozone sovereign debt. In addition to EU fiscal policy, the fiscal policy of foreign nations, such as Russia and China, may have a severe impact on the worldwide and United States financial markets. We do not know how long the financial markets will continue to be affected by these events and cannot predict the effects of these or similar events in the future on the United States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62" w:lineRule="exact"/>
        <w:rPr>
          <w:sz w:val="20"/>
          <w:szCs w:val="20"/>
          <w:color w:val="auto"/>
        </w:rPr>
      </w:pPr>
    </w:p>
    <w:p>
      <w:pPr>
        <w:ind w:left="40" w:right="719"/>
        <w:spacing w:after="0" w:line="279" w:lineRule="auto"/>
        <w:rPr>
          <w:sz w:val="20"/>
          <w:szCs w:val="20"/>
          <w:color w:val="auto"/>
        </w:rPr>
      </w:pPr>
      <w:r>
        <w:rPr>
          <w:rFonts w:ascii="Arial" w:cs="Arial" w:eastAsia="Arial" w:hAnsi="Arial"/>
          <w:sz w:val="17"/>
          <w:szCs w:val="17"/>
          <w:b w:val="1"/>
          <w:bCs w:val="1"/>
          <w:i w:val="1"/>
          <w:iCs w:val="1"/>
          <w:color w:val="auto"/>
        </w:rPr>
        <w:t>We previously identified a material weakness in our internal control over financial reporting. 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securities to decline.</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previously identified a material weakness in our internal control over financial reporting relating to the review and oversight of tax-related matters and, as a result of such weakness, our management concluded that our disclosure controls and procedures and internal control over financial reporting were not effective as of December 31, 2014.</w:t>
      </w:r>
    </w:p>
    <w:p>
      <w:pPr>
        <w:spacing w:after="0" w:line="73"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Although we remediated this material weakness in our internal control over financial reporting, any failure to improve our disclosure controls and procedures or internal control over financial reporting to address identified weaknesses in the future, if they were to occur, could prevent us from maintaining accurate accounting records and discovering material accounting errors. Any of these results could adversely affect our business and the value of our common stock.</w:t>
      </w:r>
    </w:p>
    <w:p>
      <w:pPr>
        <w:spacing w:after="0" w:line="104" w:lineRule="exact"/>
        <w:rPr>
          <w:sz w:val="20"/>
          <w:szCs w:val="20"/>
          <w:color w:val="auto"/>
        </w:rPr>
      </w:pPr>
    </w:p>
    <w:p>
      <w:pPr>
        <w:ind w:left="40" w:right="759"/>
        <w:spacing w:after="0" w:line="264" w:lineRule="auto"/>
        <w:rPr>
          <w:sz w:val="20"/>
          <w:szCs w:val="20"/>
          <w:color w:val="auto"/>
        </w:rPr>
      </w:pPr>
      <w:r>
        <w:rPr>
          <w:rFonts w:ascii="Arial" w:cs="Arial" w:eastAsia="Arial" w:hAnsi="Arial"/>
          <w:sz w:val="18"/>
          <w:szCs w:val="18"/>
          <w:b w:val="1"/>
          <w:bCs w:val="1"/>
          <w:i w:val="1"/>
          <w:iCs w:val="1"/>
          <w:color w:val="auto"/>
        </w:rPr>
        <w:t>We are dependent upon our senior management for our future success, and if we are unable to hire and retain qualified personnel or if we lose any member of our senior management team, our ability to achieve our investment objectives could be significantly harmed.</w:t>
      </w:r>
    </w:p>
    <w:p>
      <w:pPr>
        <w:spacing w:after="0" w:line="73"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We depend on the members of our senior management as well as other key personnel for the identification, final selection, structuring, closing and monitoring of our investments. These employees have critical industry experience and relationships that we rely on to implement our business plan. Our future success depends on the continued service of our senior management team. The departure of any of the members of our senior management or a significant number of our senior personnel could have a material adverse effect on our ability to achieve our investment objective. As a result, we may not be able to operate our business as we expect, and our ability to compete could be harmed, which could cause our operating results to suffer.</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Additionally, the management agreements governing some of the CLO funds managed by our Asset Manager Affiliates have “key person” provisions that provide certain CLO investors with rights upon the departure of a “key person”, as defined in each agreement. As a result, the departure of a “key person” could trigger a material change in the Asset Manager Affiliate’s role in managing the CLO Funds, and therefore KCAP’s financial benefits from its investments in the Asset Manager Affiliates.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A large number of entities compete with us to make the types of investments that we plan to make in prospective portfolio companies.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technical, marketing and other resources than we do. For example, some competitors may have a lower cost of funds and access to funding sources that are not available to us. This may enable some of our competitors to make commercial loans with interest rates that are comparable to or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have greater experience operating under, or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04"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If we are unable to source investments effectively, we may be unable to achieve our investment objectives and provide returns to stockholders.</w:t>
      </w:r>
    </w:p>
    <w:p>
      <w:pPr>
        <w:spacing w:after="0" w:line="62"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Our ability to achieve our investment objective depends on our senior management team’s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management team may also be called upon to focus their attention on other aspects of our business, including strategic opportunities available to us and/or the Asset Manager Affiliates from time to time.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source investments effectively could have a material adverse effect on our business, financial condition and results of operations.</w:t>
      </w:r>
    </w:p>
    <w:p>
      <w:pPr>
        <w:spacing w:after="0" w:line="102"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73"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expect that members of our senior management team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senior management team fails to maintain its existing relationships or develop new relationships with sources of investment opportunities, we will not be able to grow our investment portfolio. In addition, individuals with whom members of our senior management team have relationships are not obligated to provide us with investment opportunities, and, therefore, there is no assurance that such relationships will generate investment opportunities for us.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039"/>
        <w:spacing w:after="0" w:line="277" w:lineRule="auto"/>
        <w:rPr>
          <w:sz w:val="20"/>
          <w:szCs w:val="20"/>
          <w:color w:val="auto"/>
        </w:rPr>
      </w:pPr>
      <w:r>
        <w:rPr>
          <w:rFonts w:ascii="Arial" w:cs="Arial" w:eastAsia="Arial" w:hAnsi="Arial"/>
          <w:sz w:val="18"/>
          <w:szCs w:val="18"/>
          <w:b w:val="1"/>
          <w:bCs w:val="1"/>
          <w:i w:val="1"/>
          <w:iCs w:val="1"/>
          <w:color w:val="auto"/>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In accordance with the Code, we include in income certain amounts that we have not yet received in cash, such as contracted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80"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For additional discussion regarding the tax implications of a RIC, see “Business — Regulation — Taxation as a Regulated Investment Company.”</w:t>
      </w:r>
    </w:p>
    <w:p>
      <w:pPr>
        <w:spacing w:after="0" w:line="97" w:lineRule="exact"/>
        <w:rPr>
          <w:sz w:val="20"/>
          <w:szCs w:val="20"/>
          <w:color w:val="auto"/>
        </w:rPr>
      </w:pPr>
    </w:p>
    <w:p>
      <w:pPr>
        <w:jc w:val="both"/>
        <w:ind w:left="40" w:right="679"/>
        <w:spacing w:after="0" w:line="340" w:lineRule="auto"/>
        <w:rPr>
          <w:sz w:val="20"/>
          <w:szCs w:val="20"/>
          <w:color w:val="auto"/>
        </w:rPr>
      </w:pPr>
      <w:r>
        <w:rPr>
          <w:rFonts w:ascii="Arial" w:cs="Arial" w:eastAsia="Arial" w:hAnsi="Arial"/>
          <w:sz w:val="15"/>
          <w:szCs w:val="15"/>
          <w:b w:val="1"/>
          <w:bCs w:val="1"/>
          <w:i w:val="1"/>
          <w:iCs w:val="1"/>
          <w:color w:val="auto"/>
        </w:rPr>
        <w:t>Our Asset Manager Affiliates may incur losses as a result of “first loss” agreements that they may enter into from time-to-time in connection with warehousing credit arrangements which may be put in place prior to raising a CLO Fund and pursuant to which they would typically agree to reimburse credit providers for a portion of losses (if any) on warehouse investments.</w:t>
      </w:r>
    </w:p>
    <w:p>
      <w:pPr>
        <w:spacing w:after="0" w:line="23"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Our Asset Manager Affiliates have in the past entered into, are currently entered into, and we and our Asset Manager Affiliates may in the future enter into “first loss” agreements in connection with warehouse credit lines established to fund the initial accumulation of loan investments for future CLO Funds that our Asset Manager Affiliates will manage. Under such agreements, our Asset Manager Affiliates generally make a junior investment in a warehouse facility, which serves as a loss buffer for the senior capital provider. Such junior investment may be subject to losses (either in whole or in part) that stem from factors including (i) losses as a result of individual loan or other investments being ineligible for purchase by the CLO Fund (typically due to a payment default on such loan or other investments) when such fund formation is completed or (ii) if the CLO Fund has not been completed before the expiration of the warehouse credit line, the loss (if any, and net of any accumulated interest income) on the resale of such loans funded by the warehouse credit line, or (iii) realized losses from trading activity within the warehouse facility. As a result, our Asset Manager Affiliates may incur losses if loans and debt obligations, if applicable, that had been purchased in the warehouse facility become ineligible for inclusion in the CLO Fund or if a planned CLO Fund does not close.</w:t>
      </w:r>
    </w:p>
    <w:p>
      <w:pPr>
        <w:spacing w:after="0" w:line="105"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to make distributions.</w:t>
      </w:r>
    </w:p>
    <w:p>
      <w:pPr>
        <w:spacing w:after="0" w:line="62"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income available to pay dividends or interest and principal on our securities and could cause you to lose all or part of your investment.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operating results and credit spreads.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and spreads.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70"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91"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62"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65"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our ability to respond to changes in our business.</w:t>
      </w:r>
    </w:p>
    <w:p>
      <w:pPr>
        <w:spacing w:after="0" w:line="129"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With certain limited exceptions, we are only allowed to borrow amounts or issue senior securities such that our asset coverage, as defined in the 1940 Act, is at least 200% immediately after such borrowing or issuance. As of December 31, 2015, our asset coverage ratio was 202%. The amount of leverage that we employ in the future will depend on our management’s and our Board of Directors’ assessment of market and other factors at the time of any proposed borrowing. There is no assurance that a leveraging strategy will be successful. As a result of the level of our leverage:</w:t>
      </w:r>
    </w:p>
    <w:p>
      <w:pPr>
        <w:spacing w:after="0" w:line="64" w:lineRule="exact"/>
        <w:rPr>
          <w:sz w:val="20"/>
          <w:szCs w:val="20"/>
          <w:color w:val="auto"/>
        </w:rPr>
      </w:pPr>
    </w:p>
    <w:p>
      <w:pPr>
        <w:ind w:left="600" w:right="579" w:hanging="322"/>
        <w:spacing w:after="0" w:line="264"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73" w:lineRule="exact"/>
        <w:rPr>
          <w:rFonts w:ascii="Arial" w:cs="Arial" w:eastAsia="Arial" w:hAnsi="Arial"/>
          <w:sz w:val="18"/>
          <w:szCs w:val="18"/>
          <w:color w:val="auto"/>
        </w:rPr>
      </w:pPr>
    </w:p>
    <w:p>
      <w:pPr>
        <w:ind w:left="600" w:right="739" w:hanging="322"/>
        <w:spacing w:after="0" w:line="302"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46" w:lineRule="exact"/>
        <w:rPr>
          <w:rFonts w:ascii="Arial" w:cs="Arial" w:eastAsia="Arial" w:hAnsi="Arial"/>
          <w:sz w:val="16"/>
          <w:szCs w:val="16"/>
          <w:color w:val="auto"/>
        </w:rPr>
      </w:pPr>
    </w:p>
    <w:p>
      <w:pPr>
        <w:ind w:left="600" w:right="77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required to dedicate a portion of our cash flow to interest payments, limiting the availability of cash for dividends and other purposes;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may be impaired.</w:t>
      </w:r>
    </w:p>
    <w:p>
      <w:pPr>
        <w:spacing w:after="0" w:line="117" w:lineRule="exact"/>
        <w:rPr>
          <w:sz w:val="20"/>
          <w:szCs w:val="20"/>
          <w:color w:val="auto"/>
        </w:rPr>
      </w:pPr>
    </w:p>
    <w:p>
      <w:pPr>
        <w:jc w:val="both"/>
        <w:ind w:left="40" w:right="619" w:firstLine="270"/>
        <w:spacing w:after="0" w:line="312" w:lineRule="auto"/>
        <w:rPr>
          <w:sz w:val="20"/>
          <w:szCs w:val="20"/>
          <w:color w:val="auto"/>
        </w:rPr>
      </w:pPr>
      <w:r>
        <w:rPr>
          <w:rFonts w:ascii="Arial" w:cs="Arial" w:eastAsia="Arial" w:hAnsi="Arial"/>
          <w:sz w:val="16"/>
          <w:szCs w:val="16"/>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79"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order to continue to qualify as a RIC, to avoid payment of excise taxes and to minimize or avoid payment of income taxes, we intend to continue to distribute to our stockholders substantially all of our net ordinary income and realized net capital gains except for certain net long-term capital gains (which we may retain, pay applicable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12"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We may from time to time expand our business through acquisitions, which could disrupt our business and harm our financial condition.</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We may pursue potential acquisitions of, and investments in, businesses complementary to our business and from time to time engage in discussions regarding such possible acquisitions. For example, in February 2012, we completed the acquisition of Trimaran Advisors. Such acquisition and any other acquisitions we may undertake involve a number of risks, including:</w:t>
      </w:r>
    </w:p>
    <w:p>
      <w:pPr>
        <w:spacing w:after="0" w:line="39"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acquired businesses to achieve the results we expect;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capital and management attention from operational matters;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businesses;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debt and contingent liabilities and risks associated with unanticipated events or liabilities; and</w:t>
      </w:r>
    </w:p>
    <w:p>
      <w:pPr>
        <w:spacing w:after="0" w:line="117"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including the Trimaran Advisors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77"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As a BDC under the 1940 Act, we are generally not permitted to incur indebtedness unless immediately after such borrowing we have an asset coverage for total borrowings of at least 200% (i.e., the amount of debt may not exceed 50% of the value of our assets). Recent legislation introduced in the U.S. House of Representatives, if eventually passed, would modify this section of the 1940 Act and increase the amount of debt that business development companies may incur by modifying the percentage from 200% to 150%, as proposed. As a result, we may be able to incur additional indebtedness in the future and therefore your risk of an investment in our securities may increase.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businesses may be adversely affected by litigation and regulatory proceedings.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governing our operation as a BDC affect our ability to, and the way in which we, raise additional capital.</w:t>
      </w:r>
    </w:p>
    <w:p>
      <w:pPr>
        <w:spacing w:after="0" w:line="129"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immediately</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80"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74" w:lineRule="exact"/>
        <w:rPr>
          <w:sz w:val="20"/>
          <w:szCs w:val="20"/>
          <w:color w:val="auto"/>
        </w:rPr>
      </w:pPr>
    </w:p>
    <w:p>
      <w:pPr>
        <w:jc w:val="both"/>
        <w:ind w:left="40" w:right="659" w:firstLine="270"/>
        <w:spacing w:after="0" w:line="288"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then-current net asset value of our common stock if our board of directors determines that such sale is in the best interests of KCAP and its stockholders, and our stockholders approve giving us the authority to do so.</w:t>
      </w:r>
    </w:p>
    <w:p>
      <w:pPr>
        <w:ind w:left="40" w:right="539"/>
        <w:spacing w:after="0" w:line="287" w:lineRule="auto"/>
        <w:rPr>
          <w:sz w:val="20"/>
          <w:szCs w:val="20"/>
          <w:color w:val="auto"/>
        </w:rPr>
      </w:pPr>
      <w:r>
        <w:rPr>
          <w:rFonts w:ascii="Arial" w:cs="Arial" w:eastAsia="Arial" w:hAnsi="Arial"/>
          <w:sz w:val="16"/>
          <w:szCs w:val="16"/>
          <w:color w:val="auto"/>
        </w:rPr>
        <w:t>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 In addition to issuing securities to raise capital as described above; we may securitize a portion of the loans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85"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Changes in the laws or regulations governing our business and the business of our Asset Manager Affiliates, or changes in the interpretations thereof, and any failure by us or our Asset Manager Affiliates to comply with these laws or regulations, could negatively affect the profitability of our operations.</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Changes in the laws or regulations or the interpretations of the laws and regulations that govern BDCs, Registered Investment Advisers (such as our Asset Manager Affiliates), RICs or non-depository commercial lenders could significantly affect our operations and our cost of doing business. We are subject to federal, state and local laws and regulations as well as the rules of the stock exchange on which our securities are listed,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The various regulatory bodies, including the SEC and the NASDAQ Global Select Market, that administer these laws and regulations have issued a significant number of new and increasingly complex requirements and regulations over the course of the last several years and continue to develop additional regulations.</w:t>
      </w:r>
    </w:p>
    <w:p>
      <w:pPr>
        <w:spacing w:after="0" w:line="74" w:lineRule="exact"/>
        <w:rPr>
          <w:sz w:val="20"/>
          <w:szCs w:val="20"/>
          <w:color w:val="auto"/>
        </w:rPr>
      </w:pPr>
    </w:p>
    <w:p>
      <w:pPr>
        <w:ind w:left="40" w:right="799" w:firstLine="270"/>
        <w:spacing w:after="0" w:line="293" w:lineRule="auto"/>
        <w:rPr>
          <w:sz w:val="20"/>
          <w:szCs w:val="20"/>
          <w:color w:val="auto"/>
        </w:rPr>
      </w:pPr>
      <w:r>
        <w:rPr>
          <w:rFonts w:ascii="Arial" w:cs="Arial" w:eastAsia="Arial" w:hAnsi="Arial"/>
          <w:sz w:val="16"/>
          <w:szCs w:val="16"/>
          <w:color w:val="auto"/>
        </w:rPr>
        <w:t>In addition, as registered investment advisers, the Asset Manager Affiliates are subject to new and existing regulations, regulatory risks, costs and expenses associated with operating as registered investment advisers that may limit their ability to operate, structure or expand their businesses in the future. If these laws, regulations or decisions change, or if we expand our business into jurisdictions that have adopted more stringent requirements than those in which we currently conduct business, we may have to incur significant expenses in order to comply or we might have to restrict our operations. In addition, if we do not comply with applicable laws, regulations and decisions, we may lose licenses needed for the conduct of our business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and be subject to civil fines and criminal penalties, any of which could have a material adverse effect upon our business, results of operations or financial condition.</w:t>
      </w:r>
    </w:p>
    <w:p>
      <w:pPr>
        <w:spacing w:after="0" w:line="62"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Moreover, the Dodd-Frank Wall Street Reform and Consumer Protection Act (the “Dodd-Frank Act”) has increased and may significantly increase the regulation of the financial services industry. The Dodd-Frank Act contains a broad set of provisions designed to govern the practices and oversight of financial institutions and other participants in the financial markets. One such provision, Section 619 of the Dodd-Frank Act, commonly referred to as the Volcker Rule, contains certain prohibitions and restrictions on the ability of a “banking entity” — which includes insured depository institutions, bank holding companies, foreign banking entities regulated by the Federal Reserve Board and their respective affiliates — and nonbank financial company supervised by the Federal Reserve to engage in proprietary trading and have certain interests in, or relationships with certain private funds (“covered funds”). Under the final regulations implementing the Volcker Rule, which were adopted in December 2013, many CLOs will be covered funds if they invest, or are permitted to invest, in assets other than loans, certain cash equivalents and interest rate or currency hedges. As a result, many banking entities, including many U.S. and non-U.S. broker-dealers with affiliated banks, may be unable to invest in, or in some cases to make a market in, the securities of CLOs in which we have invested, which may reduce liquidity in these securities and have a material adverse effect on their valuation. Moreover, the Volcker Rule regulations may affect the market for CLOs such that our Asset Manager Affiliates may be unable to establish, or to obtain warehouse funding for, new CLOs that would be covered funds. If our Asset Manager Affiliates establish CLOs that are structured not to be covered funds and thus do not permit investments in customary assets such as corporate bonds, asset-backed securities or synthetic investments, and we invest in such CLOs, the ability of our Asset Manager Affiliates to manage such CLOs will be constrained by those limitations, which could materially adversely affect any investments we make in such CLOs.</w:t>
      </w:r>
    </w:p>
    <w:p>
      <w:pPr>
        <w:spacing w:after="0" w:line="67"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adopted final rules that will mandate risk retention for securitizations, including CLOs, beginning on December 24, 2016. Under the final risk-retentions rules, our Asset Manager Affiliates (or a majority-owned affiliate of such entities, including the Company) may be required to hold interests equal to 5% of the fair value of any CLO they sponsor (unless the CLO invests only in certain qualifying loans, which we do not expect to be the case) and would be prohibited from selling or hedging those interests in accordance with the limitations on such sales or hedges set forth in the final rule. Our Asset Manager Affiliates (or a majority-owned affiliate of such entities, including the Company) will need to have the requisite capital to hold such interests as a condition to their ability to sponsor new CLOs, and the restrictions on hedging such interests may create greater risk with respect to those interests.</w:t>
      </w:r>
    </w:p>
    <w:p>
      <w:pPr>
        <w:spacing w:after="0" w:line="58"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Our Asset Manager Affiliates’ (or a majority owned affiliate’s) investments in such CLOs, or their inability to invest in such CLOs (and thus inability to sponsor them) could each have a material adverse effect upon our business, results of operations or financial condition.</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In April 2010, the SEC proposed revised rules for asset-backed securities offerings (“Regulation AB II”) that, if adopted, would substantially change the disclosure, reporting and offering process for public and private offerings of asset-backed securities, including CLOs. The proposed rules, if adopted, would have required significant additional disclosures and would have altered the safe-harbor standards for the private placement of asset-backed securities to impose informational requirements similar to those that would apply to registered public offerings of such securities. The application of such informational requirements to CLOs, which have not historically been publicly registered, was unclear. On August 27, 2014, the SEC adopted a set of Regulation AB II final rules that was limited to asset-backed securities that were publicly registered. These rules impose changes to the offering process for publicly registered asset-backed securities and require disclosure of loan-level data for a subset of classes addressed in the proposed rules, but do not at this time extend to privately offered CLOs. However, the SEC has indicated that many aspects of the rule proposals, including the expansion of loan-level or grouped data disclosure requirements to additional asset classes and the possible application of the rules to private offerings of securities, remain under active consideration. The timing of the adoption of any additional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Other financial reform regulations, including regulations requiring clearing and margining of swap transactions, which may affect our ability to enter into hedging transactions; changes in the definition and regulation of commodity pool operators and commodity trading advisors, which could subject our Asset Manager Affiliates to additional regulations; leveraged lending guidance that may affect the ways in which banking institutions originate the loans in which we and our affiliates invest; heightened regulatory capital and liquidity requirements for banks that may affect our ability to borrow on reasonable terms; and non-US regulations of financial market participants that may overlap, expand upon or be inconsistent with US regulations may all have material adverse effects on our business.</w:t>
      </w:r>
    </w:p>
    <w:p>
      <w:pPr>
        <w:spacing w:after="0" w:line="108"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be precluded from investing according to our current business strategy.</w:t>
      </w:r>
    </w:p>
    <w:p>
      <w:pPr>
        <w:spacing w:after="0" w:line="62" w:lineRule="exact"/>
        <w:rPr>
          <w:sz w:val="20"/>
          <w:szCs w:val="20"/>
          <w:color w:val="auto"/>
        </w:rPr>
      </w:pPr>
    </w:p>
    <w:p>
      <w:pPr>
        <w:ind w:left="40" w:right="599" w:firstLine="270"/>
        <w:spacing w:after="0" w:line="342" w:lineRule="auto"/>
        <w:rPr>
          <w:sz w:val="20"/>
          <w:szCs w:val="20"/>
          <w:color w:val="auto"/>
        </w:rPr>
      </w:pPr>
      <w:r>
        <w:rPr>
          <w:rFonts w:ascii="Arial" w:cs="Arial" w:eastAsia="Arial" w:hAnsi="Arial"/>
          <w:sz w:val="16"/>
          <w:szCs w:val="16"/>
          <w:color w:val="auto"/>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16"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 are attractive investments, which would have a material adverse effect on our business, financial condition and results of operations. These restrictions could also prevent us from making investments in the equity securities of CLO Funds, which could limit our Asset Manager Affiliates’ ability to organize new CLO Funds. Similarly, these rules could prevent us from making follow-on investments in existing portfolio companies (which could result in the dilution of our position).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 As a result of these restrictions, we may be prohibited from buying or selling any security (other than any security of which we are the issuer) from or to any portfolio company of a private equity fund managed by our investment adviser without the prior approval of the SEC, which may limit the scope of investment opportunities that would otherwise be available to us.</w:t>
      </w:r>
    </w:p>
    <w:p>
      <w:pPr>
        <w:spacing w:after="0" w:line="80"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We have received certain exemptive relief from the SEC to permit us to co-invest, subject to the conditions of the relief granted by the SEC, with other funds managed by our Asset Manager Affiliates in a manner consistent with our investment objectives, positions, policies, strategies and restrictions as well as regulatory requirements and other pertinent factors. The conditions of such exemptive relief may limit our ability or the ability of our Asset Manager Affiliates, each a registered investment adviser, to operate, structure or expand their business in the future.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failure on our part to maintain our status as a BDC would significantly reduce our operating flexibility.</w:t>
      </w:r>
    </w:p>
    <w:p>
      <w:pPr>
        <w:spacing w:after="0" w:line="117"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If we fail to maintain our status as a BDC, we might be regulated as a closed-end investment company that is required to register under the Investment Company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taxes if we are unable to qualify as a RIC under Subchapter M of the Code.</w:t>
      </w:r>
    </w:p>
    <w:p>
      <w:pPr>
        <w:spacing w:after="0" w:line="62"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To maintain RIC tax treatment under the Code, we must meet the following annual distribution, income source and asset diversification requirements:</w:t>
      </w:r>
    </w:p>
    <w:p>
      <w:pPr>
        <w:spacing w:after="0" w:line="62" w:lineRule="exact"/>
        <w:rPr>
          <w:sz w:val="20"/>
          <w:szCs w:val="20"/>
          <w:color w:val="auto"/>
        </w:rPr>
      </w:pPr>
    </w:p>
    <w:p>
      <w:pPr>
        <w:ind w:left="600" w:right="519" w:hanging="322"/>
        <w:spacing w:after="0" w:line="255"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81" w:lineRule="exact"/>
        <w:rPr>
          <w:rFonts w:ascii="Arial" w:cs="Arial" w:eastAsia="Arial" w:hAnsi="Arial"/>
          <w:sz w:val="18"/>
          <w:szCs w:val="18"/>
          <w:color w:val="auto"/>
        </w:rPr>
      </w:pPr>
    </w:p>
    <w:p>
      <w:pPr>
        <w:ind w:left="600" w:right="95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600" w:right="539" w:hanging="322"/>
        <w:spacing w:after="0" w:line="270"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4"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Risks Associated with Our Information Technology Systems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Disruptions in current systems or difficulties in integrating new systems.</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b w:val="1"/>
          <w:bCs w:val="1"/>
          <w:i w:val="1"/>
          <w:iCs w:val="1"/>
          <w:color w:val="auto"/>
        </w:rPr>
        <w:t>If we are unable to maintain the availability of our electronic data systems and safeguard the security of our data, our ability to conduct business may be compromised, which impair our liquidity, disrupt our business, damage our reputation and cause losses.</w:t>
      </w:r>
    </w:p>
    <w:p>
      <w:pPr>
        <w:spacing w:after="0" w:line="73"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Cybersecurity refers to the combination of technologies, processes, and procedures established to protect information technology systems and data from unauthorized access, attack, or damage. We are subject to cybersecurity risks. Information cyber security risks have significantly increased in recent years and, while we have not experienced any material losses relating to cyber attacks or other information security breaches, we could suffer such losses in the future. Our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our computer systems and networks, or otherwise cause interruptions or malfunctions in our operations or the operations of our customers or counterparties, which could result in significant losses or reputational damage. This could result in significant losses, reputational damage, litigation, regulatory fines or penalties, or otherwise adversely affect our business, financial condition or results of operations.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We currently do not maintain insurance coverage relating to cybersecurity risks, and we may be required to expend significant additional resources to modify our protective measures or to investigate and remediate vulnerabilities or other exposures, and we may be subject to litigation and financial losses that are not fully insured.</w:t>
      </w:r>
    </w:p>
    <w:p>
      <w:pPr>
        <w:spacing w:after="0" w:line="7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risks. We outsource certain functions and these relationships allow for the storage and processing of our information, as well as customer,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Risks Related to Our Debt Securitization Financing Transactions</w:t>
      </w:r>
    </w:p>
    <w:p>
      <w:pPr>
        <w:spacing w:after="0" w:line="162"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 a result of our indirect interests in the subordinated notes and membership interests of KCAP Senior Funding I, LLC.</w:t>
      </w:r>
    </w:p>
    <w:p>
      <w:pPr>
        <w:spacing w:after="0" w:line="62"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In December 2014, KCAP Senior Funding I, LLC, issued an additional $56 million of notes. The KCAP Senior Funding I Notes are backed by a diversified portfolio of bank loans.</w:t>
      </w:r>
    </w:p>
    <w:p>
      <w:pPr>
        <w:spacing w:after="0" w:line="39"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Under the terms of the master loan sale agreement governing the debt securitization financing transaction, (1) we sold and/or contributed to KCAP Senior Funding I Holdings, LLC (“Holdings”) all of our ownership interest in our portfolio loans and participations for the purchase price and other consideration set forth in the master loan sale agreement and (2) Holdings, in turn, sold and/or contributed to KCAP Senior Funding I, LLC (the “Issuer”) all of its ownership interest in such portfolio loans and participations for the purchase price and the consideration set forth in the master loan sale agreement. Following these transfers, the Issuer, and not Holdings or us, held all of the ownership interest in such portfolio loans and participations. As a result of the debt securitization financing transaction, we hold indirectly through Holdings all of the subordinated notes and membership interests of the Issuer. As a result, we consolidate the financial statements of Holdings and the Issuer in our consolidated financial statements. Because Holdings and the Issuer are disregarded as entities separate from its owner for U.S. federal income tax purposes, each of the sale or contribution of portfolio loans by us to Holdings, and the sale of portfolio loans by Holdings to the Issuer, did not constitute a taxable event for U.S. federal income tax purposes. If the U.S. Internal Revenue Service were to take a contrary position, there could be a material adverse effect on our business, financial condition, results of operations or cash flows.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subordinated notes and membership interests of the Issuer are subordinated obligations of the Issuer.</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subordinated notes of the Issuer are the junior class of notes issued by the Issuer, are subordinated in priority of payment to the secured notes issued by the Issuer and are subject to certain payment restrictions set forth in the indenture governing the notes of the Issuer. Therefore, Holdings only receives cash distributions on the subordinated notes if the Issuer has made all cash interest payments on the secured notes it has issued, and we only receive cash distributions in respect of our indirect ownership of the Issuer to the extent that Holdings receives any cash distributions in respect of its direct ownership of the Issuer. The subordinated notes of the Issuer are also unsecured and rank behind all of the secured creditors, known or unknown, of the Issuer, including the holders of the secured notes it has issued. Consequently, to the extent that the value of either the Issuer’s portfolio of loan investments has been reduced as a result of conditions in the credit markets, or as a result of defaulted loans or individual fund assets, the value of the subordinated notes of such securitization issuer at their redemption could be reduced. Accordingly, our investment in the Issuer may be subject to complete loss.</w:t>
      </w:r>
    </w:p>
    <w:p>
      <w:pPr>
        <w:spacing w:after="0" w:line="70"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membership interests in the Issuer represent all of the residual economic interest in the Issuer. As such, the holder of the membership interests of the Issuer is the residual claimant on distributions, if any, made by the Issuer after holders of all classes of notes issued by the Issuer have been paid in full on each payment date or upon maturity of such notes under the debt securitization financing transaction documents.</w:t>
      </w:r>
    </w:p>
    <w:p>
      <w:pPr>
        <w:spacing w:after="0" w:line="7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If an event of default has occurred and acceleration occurs in accordance with the terms of the indenture governing the notes of the Issuer, the secured notes of the Issuer then outstanding will be paid in full before any further payment or distribution on the subordinated notes of the Issuer. In addition, if an event of default occurs, holders of a majority of the most senior class of secured notes then outstanding will be entitled to determine the remedies to be exercised under the indenture, subject to the terms of the indenture. For example, upon the occurrence of an event of default with respect to the notes issued by the Issuer, the trustee or holders of a majority of the most senior class of secured notes of the Issuer then outstanding may declare the principal, together with any accrued interest, of all the notes of such class and any junior classes to be immediately due and payable. This would have the effect of accelerating the principal on such notes, triggering a repayment obligation on the part of the Issuer. If at such time the portfolio loans of the Issuer were not performing well, the Issuer may not have sufficient proceeds available to enable the trustee under the indenture to repay the obligations of holders of the subordinated notes of the Securitization Issuer, or to pay a dividend to holders of the membership interests of the Issuer.</w:t>
      </w:r>
    </w:p>
    <w:p>
      <w:pPr>
        <w:spacing w:after="0" w:line="75"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Remedies pursued by the holders of the secured notes of the Issuer could be adverse to the interests of the holders of the subordinated notes of the Issuer, and the holders of such secured notes will have no obligation to consider any possible adverse effect on such other interests. Thus, any remedies pursued by the holders of the secured notes of the Issuer may not be in our best interests and we may not receive payments or distributions upon an acceleration of the secured notes. Any failure of the Issuer to make distributions on the subordinated notes we hold, directly or indirectly, whether as a result of an event of default or otherwise, could have a material adverse effect on our business, financial condition, results of operations and cash flows and may result in an inability of us to make distributions sufficient to allow our qualification as a RIC.</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Issuer may fail to meet certain coverage tests.</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Under the documents governing the debt securitization financing transaction, there are two coverage tests applicable to the secured notes. The first such test compares the amount of interest received on the portfolio loans held by the Issuer to the amount of interest payable in respect of the secured notes of the Issuer. To meet this test at any time, interest received on the portfolio loans must equal at least 127% to 150% (based upon a graduated scale for the most senior class of secured notes then outstanding as provided for in the indenture) of the interest payable in respect of the secured notes of the Issuer. The second such test compares the principal amount of the portfolio loans held by the Issuer to the aggregate outstanding principal amount of the secured notes of the Issuer. To meet this test at any time, the aggregate principal amount of the portfolio loans held by the Issuer must equal at least 124% to 147% (based upon a graduated scale for the most senior class of secured notes then outstanding as provided for in the indenture) of the outstanding principal amount of the secured notes of the Issuer. If either coverage test is not satisfied, interest and principal received by the Issuer are diverted on the following payment date to pay the most senior class or classes of secured notes to</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76" w:lineRule="auto"/>
        <w:rPr>
          <w:sz w:val="20"/>
          <w:szCs w:val="20"/>
          <w:color w:val="auto"/>
        </w:rPr>
      </w:pPr>
      <w:r>
        <w:rPr>
          <w:rFonts w:ascii="Arial" w:cs="Arial" w:eastAsia="Arial" w:hAnsi="Arial"/>
          <w:sz w:val="17"/>
          <w:szCs w:val="17"/>
          <w:color w:val="auto"/>
        </w:rPr>
        <w:t>the extent necessary to cause all coverage tests to be satisfied on a pro forma basis after giving effect to all payments made in respect of the notes, which, with respect to the payment of any principal amount of the secured notes, we refer to as a mandatory redemption. If any coverage test with respect to the secured notes is not met, proceeds from the portfolio of loan investments that otherwise would have been distributed to the Issuer and the holders of its subordinated notes will instead be used to redeem first the secured notes of the Issuer, to the extent necessary to satisfy the applicable coverage tests.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receive cash on our equity interests in the Issuer.</w:t>
      </w:r>
    </w:p>
    <w:p>
      <w:pPr>
        <w:spacing w:after="0" w:line="117"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We receive cash from the Issuer only to the extent that we or Holdings, as applicable, receives payments on the subordinated notes or membership interests of the Issuer. The Issuer may only make payments on such securities to the extent permitted by the payment priority provisions of the indenture governing the notes, which generally provides that principal payments on the subordinated notes may not be made on any payment date unless all amounts owing under the secured notes issued under such indenture are paid in full. In addition, if the Issuer does not meet the coverage tests set forth in the documents governing the debt securitization financing transaction, cash would be diverted from the subordinated notes of the Issuer to first pay the secured notes of the Issuer in amounts sufficient to cause such tests to be satisfied. In the event that we fail to directly or indirectly receive cash from the Issuer, we could be unable to make distributions in amounts sufficient to maintain our status as a RIC, or at all. We also could be forced to sell investments in portfolio companies at less than their fair value in order to continue making such distributions. However, the indenture places significant restrictions on the Issuer’s ability to sell investments. As a result, there may be times or circumstances during which the Issuer is unable to sell investments or take other actions that might be in our best interests.</w:t>
      </w:r>
    </w:p>
    <w:p>
      <w:pPr>
        <w:spacing w:after="0" w:line="112" w:lineRule="exact"/>
        <w:rPr>
          <w:sz w:val="20"/>
          <w:szCs w:val="20"/>
          <w:color w:val="auto"/>
        </w:rPr>
      </w:pPr>
    </w:p>
    <w:p>
      <w:pPr>
        <w:ind w:left="40" w:right="699"/>
        <w:spacing w:after="0" w:line="286" w:lineRule="auto"/>
        <w:rPr>
          <w:sz w:val="20"/>
          <w:szCs w:val="20"/>
          <w:color w:val="auto"/>
        </w:rPr>
      </w:pPr>
      <w:r>
        <w:rPr>
          <w:rFonts w:ascii="Arial" w:cs="Arial" w:eastAsia="Arial" w:hAnsi="Arial"/>
          <w:sz w:val="17"/>
          <w:szCs w:val="17"/>
          <w:b w:val="1"/>
          <w:bCs w:val="1"/>
          <w:i w:val="1"/>
          <w:iCs w:val="1"/>
          <w:color w:val="auto"/>
        </w:rPr>
        <w:t>A significant portion of the assets reflected on our financial statements are held by the Issuer and are subject to security interests under the senior secured notes issued by the Issuer and if it defaults on its obligations under the senior secured notes we and the Issuer may suffer adverse consequences, including foreclosure on those assets.</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 connection with our debt securitization financing transaction, we transferred all of our interests in certain portfolio loans to the Issuer. In doing so, we transferred any right we previously had to the payments made on such portfolio loans in exchange for 100% of the residual interests in the Issuer. As a result, we face a heightened risk of loss due to the impact of leverage utilized by the Issuer, which would have the effect of magnifying the impact on us of a loss on any portfolio loan held by the Issuer. In addition, while we serve as the collateral manager for the Issuer, which provides us with the authority to enforce payment obligations and loan covenants of the portfolio loans that we transferred to the Issuer, we are required to exercise such authority for the interests of the Issuer, rather than for our own interests alone.</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The structure of the debt securitization financing transaction is intended to prevent, in the event of our bankruptcy or the bankruptcy of Holdings, the consolidation for purposes of such bankruptcy proceedings of the Issuer with our operations or those of Holdings. If the true sale of these assets were not respected in the event of our insolvency, a trustee or debtor-in-possession might reclaim the assets of the Issuer for our estate. However, in doing so, we would become directly liable for all of the indebtedness then outstanding under the debt securitization financing transaction, which would equal the full amount of debt of the Issuer reflected on our consolidated balance sheet. In addition, we cannot assure that the recovery in the event we were consolidated with the Issuer for purposes of any bankruptcy proceeding would exceed the amount to which we would otherwise be entitled as a direct or indirect.</w:t>
      </w:r>
    </w:p>
    <w:p>
      <w:pPr>
        <w:spacing w:after="0" w:line="84"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As of December 31, 2015, $183.8 million of the assets that are reflected on our financial statements were held by the Issuer and pledged as collateral under the senior secured notes issued by the Issuer. If the Issuer defaults on its obligations under the senior secured notes, the holders of the senior secured notes may have the right to foreclose upon and sell, or otherwise transfer, the collateral subject to their security interests. In such event, we and the Issuer may be forced to sell our investments to raise funds to repay the Issuer’s outstanding borrowings in order to avoid foreclosure and these forced sales may be at times and at prices we and the Issuer would not consider advantageous. Moreover, such deleveraging of our company could significantly impair our ability to effectively operate our business in the manner in which we have historically operated. As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19"/>
        <w:spacing w:after="0" w:line="277" w:lineRule="auto"/>
        <w:rPr>
          <w:sz w:val="20"/>
          <w:szCs w:val="20"/>
          <w:color w:val="auto"/>
        </w:rPr>
      </w:pPr>
      <w:r>
        <w:rPr>
          <w:rFonts w:ascii="Arial" w:cs="Arial" w:eastAsia="Arial" w:hAnsi="Arial"/>
          <w:sz w:val="18"/>
          <w:szCs w:val="18"/>
          <w:color w:val="auto"/>
        </w:rPr>
        <w:t>a result, we could be forced to curtail or cease new investment activities and lower or eliminate the dividends that we have historically paid to our stockholders.</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addition, in certain limited circumstances in the event of default, if the holders of the senior secured notes exercise their right to sell the assets pledged by the Issuer, such sales may be completed at distressed sale prices, thereby diminishing or potentially eliminating the amount of cash available to the Issuer and us after repayment of the amounts outstanding under the senior secured notes.</w:t>
      </w:r>
    </w:p>
    <w:p>
      <w:pPr>
        <w:spacing w:after="0" w:line="1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Investments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We invest primarily in senior secured term loans, mezzanine debt, selected equity investments issued by middle market companies, CLO Funds and our Asset Manager Affiliates.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6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i w:val="1"/>
          <w:iCs w:val="1"/>
          <w:color w:val="auto"/>
        </w:rPr>
        <w:t>Secured Loans</w:t>
      </w:r>
      <w:r>
        <w:rPr>
          <w:rFonts w:ascii="Arial" w:cs="Arial" w:eastAsia="Arial" w:hAnsi="Arial"/>
          <w:sz w:val="16"/>
          <w:szCs w:val="16"/>
          <w:color w:val="auto"/>
        </w:rPr>
        <w:t>. When we extend secured term loans, we generally take a security interest (either as a first lien position or as a</w:t>
      </w:r>
      <w:r>
        <w:rPr>
          <w:rFonts w:ascii="Arial" w:cs="Arial" w:eastAsia="Arial" w:hAnsi="Arial"/>
          <w:sz w:val="16"/>
          <w:szCs w:val="16"/>
          <w:i w:val="1"/>
          <w:iCs w:val="1"/>
          <w:color w:val="auto"/>
        </w:rPr>
        <w:t xml:space="preserve"> </w:t>
      </w:r>
      <w:r>
        <w:rPr>
          <w:rFonts w:ascii="Arial" w:cs="Arial" w:eastAsia="Arial" w:hAnsi="Arial"/>
          <w:sz w:val="16"/>
          <w:szCs w:val="16"/>
          <w:color w:val="auto"/>
        </w:rPr>
        <w:t>second lien position) in 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6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generally are subordinated to senior loans and generally are unsecured. This</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an above average amount of risk and volatility or loss of principal.</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79" w:lineRule="exact"/>
        <w:rPr>
          <w:sz w:val="20"/>
          <w:szCs w:val="20"/>
          <w:color w:val="auto"/>
        </w:rPr>
      </w:pPr>
    </w:p>
    <w:p>
      <w:pPr>
        <w:jc w:val="both"/>
        <w:ind w:left="40" w:right="1159" w:firstLine="270"/>
        <w:spacing w:after="0" w:line="288" w:lineRule="auto"/>
        <w:rPr>
          <w:sz w:val="20"/>
          <w:szCs w:val="20"/>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make selected equity investments in the middle market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when we invest in senior secured loans or mezzanine debt, we may acquire warrants in the equity of the portfolio company. Our goal is ultimately to dispose of such equity interests and realize gains upon our disposition of such interests.</w:t>
      </w:r>
    </w:p>
    <w:p>
      <w:pPr>
        <w:ind w:left="40" w:right="559"/>
        <w:spacing w:after="0" w:line="255" w:lineRule="auto"/>
        <w:rPr>
          <w:sz w:val="20"/>
          <w:szCs w:val="20"/>
          <w:color w:val="auto"/>
        </w:rPr>
      </w:pPr>
      <w:r>
        <w:rPr>
          <w:rFonts w:ascii="Arial" w:cs="Arial" w:eastAsia="Arial" w:hAnsi="Arial"/>
          <w:sz w:val="18"/>
          <w:szCs w:val="18"/>
          <w:color w:val="auto"/>
        </w:rPr>
        <w:t>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82"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i w:val="1"/>
          <w:iCs w:val="1"/>
          <w:color w:val="auto"/>
        </w:rPr>
        <w:t>Risks Associated with Middle Market Companies</w:t>
      </w:r>
      <w:r>
        <w:rPr>
          <w:rFonts w:ascii="Arial" w:cs="Arial" w:eastAsia="Arial" w:hAnsi="Arial"/>
          <w:sz w:val="18"/>
          <w:szCs w:val="18"/>
          <w:color w:val="auto"/>
        </w:rPr>
        <w:t>. Investments in middle market companies also involve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risks, including:</w:t>
      </w:r>
    </w:p>
    <w:p>
      <w:pPr>
        <w:spacing w:after="0" w:line="62" w:lineRule="exact"/>
        <w:rPr>
          <w:sz w:val="20"/>
          <w:szCs w:val="20"/>
          <w:color w:val="auto"/>
        </w:rPr>
      </w:pPr>
    </w:p>
    <w:p>
      <w:pPr>
        <w:ind w:left="600" w:right="51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73" w:lineRule="exact"/>
        <w:rPr>
          <w:rFonts w:ascii="Arial" w:cs="Arial" w:eastAsia="Arial" w:hAnsi="Arial"/>
          <w:sz w:val="18"/>
          <w:szCs w:val="18"/>
          <w:color w:val="auto"/>
        </w:rPr>
      </w:pPr>
    </w:p>
    <w:p>
      <w:pPr>
        <w:ind w:left="600" w:right="759" w:hanging="322"/>
        <w:spacing w:after="0" w:line="342"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200" w:lineRule="exact"/>
        <w:rPr>
          <w:sz w:val="20"/>
          <w:szCs w:val="20"/>
          <w:color w:val="auto"/>
        </w:rPr>
      </w:pP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7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55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less publicly available information about their businesses, operations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CLO Fund Investments. </w:t>
      </w:r>
      <w:r>
        <w:rPr>
          <w:rFonts w:ascii="Arial" w:cs="Arial" w:eastAsia="Arial" w:hAnsi="Arial"/>
          <w:sz w:val="18"/>
          <w:szCs w:val="18"/>
          <w:color w:val="auto"/>
        </w:rPr>
        <w:t>Investments in CLO Funds also involve a number of significant risks, including:</w:t>
      </w:r>
    </w:p>
    <w:p>
      <w:pPr>
        <w:spacing w:after="0" w:line="117" w:lineRule="exact"/>
        <w:rPr>
          <w:sz w:val="20"/>
          <w:szCs w:val="20"/>
          <w:color w:val="auto"/>
        </w:rPr>
      </w:pPr>
    </w:p>
    <w:p>
      <w:pPr>
        <w:ind w:left="600" w:right="57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investments are exposed to leveraged credit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Funds are highly leveraged;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the potential for interruption and deferral of cash-flow from CLO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rates paid by corporate borrowers are subject to volatility;</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a CLO collateral manager to reinvest the proceeds of the prepayment of senior secured loans may adversely affect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CLO investments are subject to prepayments and calls, increasing re-investment risk;</w:t>
      </w:r>
    </w:p>
    <w:p>
      <w:pPr>
        <w:spacing w:after="0" w:line="117" w:lineRule="exact"/>
        <w:rPr>
          <w:rFonts w:ascii="Arial" w:cs="Arial" w:eastAsia="Arial" w:hAnsi="Arial"/>
          <w:sz w:val="18"/>
          <w:szCs w:val="18"/>
          <w:color w:val="auto"/>
        </w:rPr>
      </w:pPr>
    </w:p>
    <w:p>
      <w:pPr>
        <w:ind w:left="600" w:right="9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senior secured loans owned by the CLOs in which we invest;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any CLO in which we invest;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secured loans of CLOs may be sold and replaced resulting in a loss to us;</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non-investment grade debt involves a greater risk of default and higher price volatility than investment grade debt.</w:t>
      </w:r>
    </w:p>
    <w:p>
      <w:pPr>
        <w:spacing w:after="0" w:line="129"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We may not receive all or a portion of the cash distributions we expect to continue to receive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 Manager Affiliates, including incentive fees.</w:t>
      </w:r>
    </w:p>
    <w:p>
      <w:pPr>
        <w:spacing w:after="0" w:line="62"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We expect to receive cash distributions from our Asset Manager Affiliates. However, the existing asset management agreements pursuant to which our Asset Manager Affiliates receive fee income from the CLO Funds for which they serve as managers may be terminated for “cause” by the holders of a majority of the most senior class of securities issued by such CLO Funds and the holders of a majority of the subordinated securities issued by such CLO Funds. “Cause” is defined in the asset management agreements to include a material breach by our Asset Manager Affiliates of the indenture governing the applicable CLO Fund, breaches by our Asset Manager Affiliates of certain specified provisions of the indenture (including, in some cases, a “key person” provision), material breaches of representations or warranties made by our Asset Manager Affiliates, bankruptcy or insolvency of our Asset Manager Affiliates, fraud or criminal activity on the part of our Asset Manager Affiliates or an event of default under the indenture governing the CLO Funds. We expect that future asset management agreements will contain comparable provisions.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Further, a significant portion of the asset management fees payable to our Asset Manager Affiliates under the asset management agreements are subordinated to the prior payments of interest on the senior securities issued by the CLO Funds. If the asset management agreements are terminated, or the CLO Funds do not generate enough income (due to run-off of existing funds and de-leveraging), or otherwise have insufficient residual cash flow due to diversion of cash as a result of the failure by the CLO Funds to satisfy certain restrictive covenants contained in their indenture agreements to pay the subordinated management fees, the Asset Manager Affiliates will not receive the fee income that they expect to continue to receive which would reduce cash distributions available to us, and in turn reduce our ability to make distributions to our stockholders.</w:t>
      </w:r>
    </w:p>
    <w:p>
      <w:pPr>
        <w:spacing w:after="0" w:line="86"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Our portfolio investments for which there is no readily available market, including our investment in our Asset Manager Affiliates and our investments in CLO Funds, are recorded at fair value as determined in good faith by our Board of Directors. As a result, there is uncertainty as to the value of these investments.</w:t>
      </w:r>
    </w:p>
    <w:p>
      <w:pPr>
        <w:spacing w:after="0" w:line="73"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of Directors pursuant to a valuation methodology approved by our Board of Directors. These valuations are initially prepared by our management and reviewed by our Valuation Committee, which uses its best judgment in arriving at the fair value of these securities. However, the Board of Directors retains ultimate authority to determine the appropriate valuation for each investment.</w:t>
      </w:r>
    </w:p>
    <w:p>
      <w:pPr>
        <w:spacing w:after="0" w:line="59"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performs third party valuations on the Company’s material investments in illiquid securities, such that they are reviewed at least once during a trailing 12 month period. These third party valuation estimates are one of the relevant data points in the Board of Director’s determination of fair value. The Board of Directors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108" w:lineRule="exact"/>
        <w:rPr>
          <w:sz w:val="20"/>
          <w:szCs w:val="20"/>
          <w:color w:val="auto"/>
        </w:rPr>
      </w:pPr>
    </w:p>
    <w:p>
      <w:pPr>
        <w:ind w:left="40" w:right="599"/>
        <w:spacing w:after="0" w:line="312" w:lineRule="auto"/>
        <w:rPr>
          <w:sz w:val="20"/>
          <w:szCs w:val="20"/>
          <w:color w:val="auto"/>
        </w:rPr>
      </w:pPr>
      <w:r>
        <w:rPr>
          <w:rFonts w:ascii="Arial" w:cs="Arial" w:eastAsia="Arial" w:hAnsi="Arial"/>
          <w:sz w:val="16"/>
          <w:szCs w:val="16"/>
          <w:b w:val="1"/>
          <w:bCs w:val="1"/>
          <w:i w:val="1"/>
          <w:iCs w:val="1"/>
          <w:color w:val="auto"/>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39"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We are classified as a non-diversified investment company within the meaning of the 1940 Act, and therefore we may invest a significant portion of our assets in a relatively small number of issuers in a limited number of industries. As of December 31, 2015, our largest investment, our 100% equity interest in our Asset Manager Affiliates, equaled approximately 14.0% of the fair value of our total investments. Beyond the asset diversification requirements associated with our qualification as a RIC, we do not have fixed guidelines for diversification, and while we are not targeting any specific industries, relatively few industries may become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302" w:lineRule="auto"/>
        <w:rPr>
          <w:sz w:val="20"/>
          <w:szCs w:val="20"/>
          <w:color w:val="auto"/>
        </w:rPr>
      </w:pPr>
      <w:r>
        <w:rPr>
          <w:rFonts w:ascii="Arial" w:cs="Arial" w:eastAsia="Arial" w:hAnsi="Arial"/>
          <w:sz w:val="16"/>
          <w:szCs w:val="16"/>
          <w:color w:val="auto"/>
        </w:rPr>
        <w:t>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could harm our operating results.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105" w:lineRule="exact"/>
        <w:rPr>
          <w:sz w:val="20"/>
          <w:szCs w:val="20"/>
          <w:color w:val="auto"/>
        </w:rPr>
      </w:pPr>
    </w:p>
    <w:p>
      <w:pPr>
        <w:ind w:left="40" w:right="639"/>
        <w:spacing w:after="0" w:line="342" w:lineRule="auto"/>
        <w:rPr>
          <w:sz w:val="20"/>
          <w:szCs w:val="20"/>
          <w:color w:val="auto"/>
        </w:rPr>
      </w:pPr>
      <w:r>
        <w:rPr>
          <w:rFonts w:ascii="Arial" w:cs="Arial" w:eastAsia="Arial" w:hAnsi="Arial"/>
          <w:sz w:val="16"/>
          <w:szCs w:val="16"/>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16"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have limited access to information about privately held companies in which we invest.</w:t>
      </w:r>
    </w:p>
    <w:p>
      <w:pPr>
        <w:spacing w:after="0" w:line="117" w:lineRule="exact"/>
        <w:rPr>
          <w:sz w:val="20"/>
          <w:szCs w:val="20"/>
          <w:color w:val="auto"/>
        </w:rPr>
      </w:pPr>
    </w:p>
    <w:p>
      <w:pPr>
        <w:jc w:val="both"/>
        <w:ind w:left="40" w:right="639" w:firstLine="270"/>
        <w:spacing w:after="0" w:line="276" w:lineRule="auto"/>
        <w:rPr>
          <w:sz w:val="20"/>
          <w:szCs w:val="20"/>
          <w:color w:val="auto"/>
        </w:rPr>
      </w:pPr>
      <w:r>
        <w:rPr>
          <w:rFonts w:ascii="Arial" w:cs="Arial" w:eastAsia="Arial" w:hAnsi="Arial"/>
          <w:sz w:val="17"/>
          <w:szCs w:val="17"/>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Prepayments of our debt investments by our portfolio companies could negatively impact our operating results.</w:t>
      </w:r>
    </w:p>
    <w:p>
      <w:pPr>
        <w:spacing w:after="0" w:line="12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10"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and repayments from investments on acceptable terms, which would harm our financial condition and operating results.</w:t>
      </w:r>
    </w:p>
    <w:p>
      <w:pPr>
        <w:spacing w:after="0" w:line="62" w:lineRule="exact"/>
        <w:rPr>
          <w:sz w:val="20"/>
          <w:szCs w:val="20"/>
          <w:color w:val="auto"/>
        </w:rPr>
      </w:pPr>
    </w:p>
    <w:p>
      <w:pPr>
        <w:jc w:val="both"/>
        <w:ind w:left="40" w:right="619" w:firstLine="270"/>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obligations under our credit facility, if any. We cannot assure you that we will be able to find enough appropriate investments that meet our investment criteria or that any investment we complete using the proceeds from an offering will produce a sufficient return.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 with, or senior to, our investments in such companies.</w:t>
      </w:r>
    </w:p>
    <w:p>
      <w:pPr>
        <w:spacing w:after="0" w:line="12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10"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20"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in equity securities involve a substantial degree of risk.</w:t>
      </w:r>
    </w:p>
    <w:p>
      <w:pPr>
        <w:spacing w:after="0" w:line="117"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We may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access additional capital and failure to pay current distributions. Investments in preferred securities involve special risks, such as the risk of deferred distributions, credit risk, illiquidity and limited voting rights.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22"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may not receive any return on our investment in the CLO Funds in which we have invested and the Asset Manager Affiliates may be unable to raise additional CLO Funds.</w:t>
      </w:r>
    </w:p>
    <w:p>
      <w:pPr>
        <w:spacing w:after="0" w:line="62"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As of December 31, 2015, we had $55.9 million at fair value invested in the subordinated securities, preferred shares, or other securities issued by the CLO Funds managed by our Asset Manager Affiliates and certain other third party asset managers. Subject to market conditions and legal requirements applicable to us under the 1940 Act, we expect to continue to acquire subordinated securities in the future in CLO Funds managed by our Asset Manager Affiliates and/or third party managers.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 Additionally, the Asset Manager Affiliates may not be able to continue to raise new CLO Funds due to prevailing CLO market conditions, regulatory requirements or other factors.</w:t>
      </w:r>
    </w:p>
    <w:p>
      <w:pPr>
        <w:spacing w:after="0" w:line="101"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If our Asset Manager Affiliates do not meet certain risk retention requirements, they may not be able to sponsor and manage new CLOs, which would negatively impact our results of operations and financial conditions.</w:t>
      </w:r>
    </w:p>
    <w:p>
      <w:pPr>
        <w:spacing w:after="0" w:line="38"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finalized regulations that mandate risk retention for securitizations. The rules will be effective for CLOs beginning December 24, 2016. Under the final rules, our Asset Manager Affiliates (directly or through any of their majority-controlled affiliates, including the Company) may be required to hold interests equal to 5% of the credit risk of the assets of any CLO sponsored by our Asset Manager Affiliates (unless the CLO invests only in certain qualifying loans which we do not expect will be the case) and would be prohibited from selling or hedging those interests in accordance with the limitations on such sales or hedges set forth in the final rule. Thus, our Asset Manager Affiliates (or any of their majority-controlled affiliates, including the Company, permitted to retain risk on their behalf) will need to have the requisite capital to hold such interests as a condition to their ability to sponsor new CLOs, and the restrictions on selling or hedging such interests may create greater risk with respect to those interests, including, to the extent that we retain risk in the CLOs managed by the Asset Manager Affiliates on their behalf, our ability to sell CLO Fund Securities when advantageous for us to do so. These mandatory investments in such CLOs, or the inability to invest in such CLOs (and thus inability to sponsor them) could each have a material adverse effect upon our business, results of operations or financial condition of the Asset Manager Affiliates, which would, in turn, negatively impact our business results of operations and financial condition. In addition, the application of the risk retention rules to CLOs may have broader effects on the CLO and loan markets in general, potentially resulting in fewer or less desirable investment opportunities for the Company, our Asset Manager Affiliates, and any CLOs that our Asset Manager Affiliates sponsor or in which we otherwise invest.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firstLine="270"/>
        <w:spacing w:after="0" w:line="291" w:lineRule="auto"/>
        <w:rPr>
          <w:sz w:val="20"/>
          <w:szCs w:val="20"/>
          <w:color w:val="auto"/>
        </w:rPr>
      </w:pPr>
      <w:r>
        <w:rPr>
          <w:rFonts w:ascii="Arial" w:cs="Arial" w:eastAsia="Arial" w:hAnsi="Arial"/>
          <w:sz w:val="16"/>
          <w:szCs w:val="16"/>
          <w:color w:val="auto"/>
        </w:rPr>
        <w:t>On August 27, 2014, the SEC finalized revised rules for asset-backed securities offerings (“Regulation AB II”). Although the proposed rules would have substantially changed the disclosure, reporting and offering process for public and private offerings of asset-backed securities, including CLOs, the final rules only apply to public offerings of asset-backed securities and thus will not affect CLOs at this time. However, the SEC has indicated that it is continuing to consider the proposals that were not included in the final regulations, and may issue further rules in that regard. The timing and likelihood of the adoption of additional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16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40" w:right="1259"/>
        <w:spacing w:after="0" w:line="277" w:lineRule="auto"/>
        <w:rPr>
          <w:sz w:val="20"/>
          <w:szCs w:val="20"/>
          <w:color w:val="auto"/>
        </w:rPr>
      </w:pPr>
      <w:r>
        <w:rPr>
          <w:rFonts w:ascii="Arial" w:cs="Arial" w:eastAsia="Arial" w:hAnsi="Arial"/>
          <w:sz w:val="18"/>
          <w:szCs w:val="18"/>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a covenant that we agreed to in connection with the issuance of the 7.375% Notes Due 2019, we are limited in our ability to make distributions in certain circumstances. In this regard, we agreed in connection with our issuance of the 7.375% Notes Due 2019 that for the period of time during which the 7.375% Notes Due 2019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8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All distributions will be paid at the discretion of our Board of Directors and will depend on our earnings and those of the Asset Manager Affiliates, our financial condition, maintenance of our RIC status, compliance with applicable BDC regulations and such other factors as our Board of Directors may deem relevant from time to time. We cannot assure you that we will pay distributions to our stockholders in the future.</w:t>
      </w:r>
    </w:p>
    <w:p>
      <w:pPr>
        <w:spacing w:after="0" w:line="7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8 — “Distributable Taxable Income” to our consolidated financial statements included elsewhere in this Annual Report.</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117"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both"/>
        <w:ind w:left="40" w:right="939"/>
        <w:spacing w:after="0" w:line="375" w:lineRule="auto"/>
        <w:rPr>
          <w:sz w:val="20"/>
          <w:szCs w:val="20"/>
          <w:color w:val="auto"/>
        </w:rPr>
      </w:pPr>
      <w:r>
        <w:rPr>
          <w:rFonts w:ascii="Arial" w:cs="Arial" w:eastAsia="Arial" w:hAnsi="Arial"/>
          <w:sz w:val="15"/>
          <w:szCs w:val="15"/>
          <w:b w:val="1"/>
          <w:bCs w:val="1"/>
          <w:i w:val="1"/>
          <w:iCs w:val="1"/>
          <w:color w:val="auto"/>
        </w:rPr>
        <w:t>Shares of closed-end investment companies, including BDCs, frequently trade at a discount to their net asset value, and we cannot assure you that the market price of our common stock will not decline following any offering of our common stock.</w:t>
      </w:r>
    </w:p>
    <w:p>
      <w:pPr>
        <w:spacing w:after="0" w:line="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 and may fluctuate substantially.</w:t>
      </w:r>
    </w:p>
    <w:p>
      <w:pPr>
        <w:spacing w:after="0" w:line="117"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6"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 or to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deploy or invest our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rules, particularly with respect to RICs or BDCs;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our qualification as a RIC for U.S. federal income tax purposes;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value of our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trends;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158"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Delaware General Corporation Law, our certificate of incorporation and our bylaws contain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of our common stock.</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Notes.</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8.75% convertible notes due 2016 (the “Convertible Notes”) are convertible into shares of our common stock at any time prior to the end of business on the business day preceding the maturity date. Upon conversion, we will satisfy holder with shares of our common stock or cash, at our option. Our stockholders may experience dilution in their ownership percentage of common stock upon our issuance of common stock on any conversion of the Convertible Notes and any dividends paid on our common stock will also be paid on shares issued on any conversion, which may result in a reduction of the per share dividend.</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Risks Related to Our 7.375% Notes Due 2019 and our Convertible Notes</w:t>
      </w:r>
    </w:p>
    <w:p>
      <w:pPr>
        <w:spacing w:after="0" w:line="148"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b w:val="1"/>
          <w:bCs w:val="1"/>
          <w:i w:val="1"/>
          <w:iCs w:val="1"/>
          <w:color w:val="auto"/>
        </w:rPr>
        <w:t>Our 7.375% Notes Due 2019 and Convertible Notes are unsecured and therefore are effectively subordinated to any secured indebtedness we have currently incurred or may incur in the future.</w:t>
      </w:r>
    </w:p>
    <w:p>
      <w:pPr>
        <w:spacing w:after="0" w:line="62"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Our 7.375% Notes Due 2019 and Convertible Notes are not secured by any of our assets or any of the assets of our subsidiaries or the Asset Manager Affiliates. As a result, the 7.375% Notes Due 2019 and Convertible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and the Asset Manager Affiliates may assert rights against the assets pledged to secure that indebtedness in order to receive full payment of their indebtedness before the assets may be used to pay other creditors, including the holders of the 7.375% Notes Due 2019 or Convertible Notes.</w:t>
      </w:r>
    </w:p>
    <w:p>
      <w:pPr>
        <w:spacing w:after="0" w:line="99" w:lineRule="exact"/>
        <w:rPr>
          <w:sz w:val="20"/>
          <w:szCs w:val="20"/>
          <w:color w:val="auto"/>
        </w:rPr>
      </w:pPr>
    </w:p>
    <w:p>
      <w:pPr>
        <w:ind w:left="40" w:right="1019"/>
        <w:spacing w:after="0" w:line="342" w:lineRule="auto"/>
        <w:rPr>
          <w:sz w:val="20"/>
          <w:szCs w:val="20"/>
          <w:color w:val="auto"/>
        </w:rPr>
      </w:pPr>
      <w:r>
        <w:rPr>
          <w:rFonts w:ascii="Arial" w:cs="Arial" w:eastAsia="Arial" w:hAnsi="Arial"/>
          <w:sz w:val="16"/>
          <w:szCs w:val="16"/>
          <w:b w:val="1"/>
          <w:bCs w:val="1"/>
          <w:i w:val="1"/>
          <w:iCs w:val="1"/>
          <w:color w:val="auto"/>
        </w:rPr>
        <w:t>The 7.375% Notes Due 2019 are structurally subordinated to the indebtedness and other liabilities of our subsidiaries and portfolio companies with respect to which we hold equity investments, including the Asset Manager Affiliates.</w:t>
      </w:r>
    </w:p>
    <w:p>
      <w:pPr>
        <w:spacing w:after="0" w:line="16"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7.375% Notes Due 2019 are obligations exclusively of KCAP Financial, Inc., and not of any of our subsidiaries or the Asset Manager Affiliates. None of our subsidiaries or the Asset Manager Affiliates are guarantors of the 7.375% Notes Due 2019, and the 7.375% Notes Due 2019 will not be required to be guaranteed by any subsidiary or asset management firm we may acquire or create in the future. Any assets of our subsidiaries and the Asset Manager Affiliates will not be directly available to satisfy the claims of our creditors, including holders of the 7.375% Notes Due 2019. Except to the extent we are a creditor with recognized claims against our subsidiaries, all claims of creditors of our subsidiaries will have priority over our equity interests in such entities (and therefore the claims of our creditors, including holders of the 7.375% Notes Due 2019)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7.375% Notes Due 2019 are structurally subordinated to all indebtedness and other liabilities of any of our subsidiaries and portfolio companies with respect to which we hold equity investments, including the Asset Manager Affiliates and any subsidiaries of the Asset Manager Affiliates that we may in the future acquire or establish. These entities may incur substantial indebtedness in the future, all of which would be structurally senior to the 7.375% Notes Due 2019.</w:t>
      </w:r>
    </w:p>
    <w:p>
      <w:pPr>
        <w:spacing w:after="0" w:line="107"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The indenture under which the 7.375% Notes Due 2019 are issued contains limited protection for holders of the 7.375% Notes Due 2019.</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indenture under which the 7.375% Notes Due 2019 are issued offers limited protection to holders of the 7.375% Notes Due 2019. The terms of the indenture and the 7.375% Notes Due 2019 do not restrict our or any of our subsidiaries or the Asset Manager Affiliates’ ability to engage in, or otherwise be a party to, a variety of corporate transactions, circumstances or events that could have a material adverse impact on your investment in the 7.375% Notes Due 2019. In particular, the terms of the indenture and the 7.375% Notes Due 2019 do not place any restrictions on our or our subsidiaries or the Asset Manager Affiliates’ ability to:</w:t>
      </w:r>
    </w:p>
    <w:p>
      <w:pPr>
        <w:spacing w:after="0" w:line="50" w:lineRule="exact"/>
        <w:rPr>
          <w:sz w:val="20"/>
          <w:szCs w:val="20"/>
          <w:color w:val="auto"/>
        </w:rPr>
      </w:pPr>
    </w:p>
    <w:p>
      <w:pPr>
        <w:ind w:left="600" w:right="559" w:hanging="322"/>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7.375% Notes Due 2019, (2) any indebtedness or other obligations that would be secured and therefore rank effectively senior in right of payment to the 7.375% Notes Due 2019 to the extent of the values of the assets securing such debt, (3) indebtedness of ours that is guaranteed by one or more of our subsidiaries or the Asset Manager Affiliates and which therefore is structurally senior to the 7.375% Notes Due 2019 and</w:t>
      </w:r>
    </w:p>
    <w:p>
      <w:pPr>
        <w:spacing w:after="0" w:line="2" w:lineRule="exact"/>
        <w:rPr>
          <w:rFonts w:ascii="Arial" w:cs="Arial" w:eastAsia="Arial" w:hAnsi="Arial"/>
          <w:sz w:val="16"/>
          <w:szCs w:val="16"/>
          <w:color w:val="auto"/>
        </w:rPr>
      </w:pPr>
    </w:p>
    <w:p>
      <w:pPr>
        <w:ind w:left="600" w:right="619"/>
        <w:spacing w:after="0" w:line="254" w:lineRule="auto"/>
        <w:rPr>
          <w:rFonts w:ascii="Arial" w:cs="Arial" w:eastAsia="Arial" w:hAnsi="Arial"/>
          <w:sz w:val="16"/>
          <w:szCs w:val="16"/>
          <w:color w:val="auto"/>
        </w:rPr>
      </w:pPr>
      <w:r>
        <w:rPr>
          <w:rFonts w:ascii="Arial" w:cs="Arial" w:eastAsia="Arial" w:hAnsi="Arial"/>
          <w:sz w:val="18"/>
          <w:szCs w:val="18"/>
          <w:color w:val="auto"/>
        </w:rPr>
        <w:t>(4) securities, indebtedness or obligations issued or incurred by our subsidiaries or the Asset Manager Affiliates that would be senior to our equity interests in those entities and therefore rank structurally senior to the 7.375% Notes Due 2019 with respect to the assets of our subsidiaries and the Asset Manager Affiliates, in each case other than an incurrence of indebtedness or other</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779"/>
        <w:spacing w:after="0" w:line="259" w:lineRule="auto"/>
        <w:rPr>
          <w:sz w:val="20"/>
          <w:szCs w:val="20"/>
          <w:color w:val="auto"/>
        </w:rPr>
      </w:pPr>
      <w:r>
        <w:rPr>
          <w:rFonts w:ascii="Arial" w:cs="Arial" w:eastAsia="Arial" w:hAnsi="Arial"/>
          <w:sz w:val="18"/>
          <w:szCs w:val="18"/>
          <w:color w:val="auto"/>
        </w:rPr>
        <w:t>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79" w:lineRule="exact"/>
        <w:rPr>
          <w:sz w:val="20"/>
          <w:szCs w:val="20"/>
          <w:color w:val="auto"/>
        </w:rPr>
      </w:pPr>
    </w:p>
    <w:p>
      <w:pPr>
        <w:ind w:left="600" w:right="559" w:hanging="322"/>
        <w:spacing w:after="0" w:line="272"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7.375% Notes Due 2019,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600" w:right="81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In addition, the indenture does not require us to offer to purchase the 7.375% Notes Due 2019 in connection with a change of control or any other event.</w:t>
      </w:r>
    </w:p>
    <w:p>
      <w:pPr>
        <w:spacing w:after="0" w:line="62"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Furthermore, the terms of the indenture and the 7.375% Notes Due 2019 do not protect holders of the 7.375% Notes Due 2019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7.375% Notes Due 2019. See “Item 1A. Risk Factors — Risks Related to Our Business and Structure — Pending legislation may allow us to incur additional leverage.”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ability to recapitalize, incur additional debt and take a number of other actions that are not limited by the terms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7.375% Notes Due 2019 may have important consequences for you as a holder of the 7.375% Notes Due 2019, including making 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more difficult for us to satisfy our obligations with respect to the 7.375% Notes Due 2019 or negatively affecting the trading value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the 7.375% Notes Due 2019.</w:t>
      </w:r>
    </w:p>
    <w:p>
      <w:pPr>
        <w:spacing w:after="0" w:line="103" w:lineRule="exact"/>
        <w:rPr>
          <w:sz w:val="20"/>
          <w:szCs w:val="20"/>
          <w:color w:val="auto"/>
        </w:rPr>
      </w:pPr>
    </w:p>
    <w:p>
      <w:pPr>
        <w:ind w:left="40" w:right="959" w:firstLine="270"/>
        <w:spacing w:after="0" w:line="312" w:lineRule="auto"/>
        <w:rPr>
          <w:sz w:val="20"/>
          <w:szCs w:val="20"/>
          <w:color w:val="auto"/>
        </w:rPr>
      </w:pPr>
      <w:r>
        <w:rPr>
          <w:rFonts w:ascii="Arial" w:cs="Arial" w:eastAsia="Arial" w:hAnsi="Arial"/>
          <w:sz w:val="16"/>
          <w:szCs w:val="16"/>
          <w:color w:val="auto"/>
        </w:rPr>
        <w:t>Other debt we issue or incur in the future could contain more protections for its holders than the indenture and the 7.375% Notes Due 2019, including additional covenants and events of default. The issuance or incurrence of any such debt with incremental protections could affect the market for and trading levels and prices of the 7.375% Notes Due 2019.</w:t>
      </w:r>
    </w:p>
    <w:p>
      <w:pPr>
        <w:spacing w:after="0" w:line="66"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Even though the 7.375% Notes Due 2019 are listed on the NYSE, an active trading market for the 7.375% Notes Due 2019 may not develop, or if it does develop, it will be sustained, which could limit your ability to sell the 7.375% Notes Due 2019 or affect the market price of the 7.375% Notes Due 2019.</w:t>
      </w:r>
    </w:p>
    <w:p>
      <w:pPr>
        <w:spacing w:after="0" w:line="73"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cannot provide any assurances that an active trading market will develop for the 7.375% Notes Due 2019 or that, if it does develop, it will be sustained or that you will be able to sell your 7.375% Notes Due 2019. The 7.375% Notes Due 2019 may trade at a discount from the price paid for the notes depending on prevailing interest rates, the market for similar securities, our credit ratings, if any, general economic conditions, our financial condition, performance and prospects and other factors.</w:t>
      </w:r>
    </w:p>
    <w:p>
      <w:pPr>
        <w:spacing w:after="0" w:line="46"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Accordingly, we cannot assure you that a liquid trading market will develop for the 7.375% Notes Due 2019, or that, if an active trading market for the 7.375% Notes Due 2019 does develop, it will be sustained,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that you will be able to sell your 7.375% Notes Due 2019 at a particular time or that the price you receive when you sell will be favorable. To the extent an active trading market does not develop the liquidity and trading price for the 7.375% Notes Due 2019 may be harmed. Accordingly, you may be required to bear the financial risk of an investment in the 7.375% Notes Due 2019 for an indefinite period of time.</w:t>
      </w:r>
    </w:p>
    <w:p>
      <w:pPr>
        <w:spacing w:after="0" w:line="10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7.375% Notes Due 2019 or Convertible Notes.</w:t>
      </w:r>
    </w:p>
    <w:p>
      <w:pPr>
        <w:spacing w:after="0" w:line="62"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the 7.375% Notes due 2019 or Convertible Notes and other indebtedness to which we may be a party that is not waived by the required lenders, and the remedies sought by the holders of such indebtedness could make us unable to pay principal, premium, if any, and interest on the Convertible Notes and substantially decrease the market value of the Convertible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the 7.375% Notes Due 2019 and Convertible Notes have, and any future debt we issue will likely have, customary cross-default provisions, if the indebtedness under the 7.375% Notes Due 2019 or Convertible Notes or any other debt we may issue is accelerated, we may be unable to repay or finance the amounts due.</w:t>
      </w:r>
    </w:p>
    <w:p>
      <w:pPr>
        <w:spacing w:after="0" w:line="105"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b w:val="1"/>
          <w:bCs w:val="1"/>
          <w:i w:val="1"/>
          <w:iCs w:val="1"/>
          <w:color w:val="auto"/>
        </w:rPr>
        <w:t>We may not have, or have the ability to raise, the funds necessary to repurchase our Convertible Notes upon a fundamental change, and our debt may contain limitations on our ability to deliver shares of our common stock upon conversion or pay cash upon repurchase of our convertible notes.</w:t>
      </w:r>
    </w:p>
    <w:p>
      <w:pPr>
        <w:spacing w:after="0" w:line="73"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Holders of our Convertible Notes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convertible notes surrendered therefor. In addition, our ability to repurchase our convertible notes or deliver shares of our common stock upon conversions of the convertible notes may be limited by law, by regulatory authority or by agreements governing our indebtedness. Our failure to repurchase the notes at a time when the repurchase is required by the indenture relating to the convertible notes or to deliver any shares of our common stock deliverable on future conversions of the convertible notes as required by the indenture would constitute a default under the indenture. A default under the indenture or the occurrence of a fundamental change itself could also lead to a default under agreements governing our indebtedness. If the repayment of the related indebtedness were to be accelerated after any applicable notice or grace periods, we may not have sufficient funds to repay the indebtedness and repurchase our convertible notes.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do not own any real estate or other real property. Our wholly-owned portfolio company, Katonah Debt Advisors, is the</w:t>
      </w:r>
    </w:p>
    <w:p>
      <w:pPr>
        <w:spacing w:after="0" w:line="63" w:lineRule="exact"/>
        <w:rPr>
          <w:sz w:val="20"/>
          <w:szCs w:val="20"/>
          <w:color w:val="auto"/>
        </w:rPr>
      </w:pPr>
    </w:p>
    <w:p>
      <w:pPr>
        <w:jc w:val="both"/>
        <w:ind w:left="40" w:right="959"/>
        <w:spacing w:after="0" w:line="221" w:lineRule="auto"/>
        <w:rPr>
          <w:sz w:val="20"/>
          <w:szCs w:val="20"/>
          <w:color w:val="auto"/>
        </w:rPr>
      </w:pPr>
      <w:r>
        <w:rPr>
          <w:rFonts w:ascii="Arial" w:cs="Arial" w:eastAsia="Arial" w:hAnsi="Arial"/>
          <w:sz w:val="18"/>
          <w:szCs w:val="18"/>
          <w:color w:val="auto"/>
        </w:rPr>
        <w:t>lessee for our principal headquarters at 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We have entered into an Overhead Allocation Agreement with Katonah Debt Advisors which provides for the sharing of the expenses under the lease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60" w:right="1059" w:hanging="39"/>
        <w:spacing w:after="0" w:line="39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PRICE RANGE OF COMMON STOCK</w:t>
      </w:r>
    </w:p>
    <w:p>
      <w:pPr>
        <w:spacing w:after="0" w:line="1"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Our common stock is quoted on The NASDAQ Global Select Market under the symbol “KCAP.” We completed our initial public offering on December 11, 2006 at an initial public offering (“IPO”) price of $15.00 per share. Prior to such date there was no public market for our common stock.</w:t>
      </w:r>
    </w:p>
    <w:p>
      <w:pPr>
        <w:spacing w:after="0" w:line="73"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following table sets forth the range of high and low closing sales prices per share of our common stock as reported on The NASDAQ Global Select Market in respect of the periods indicated. The stock quotations are interdealer quotations and do not include markups, markdowns or commissions and may not necessarily represent actual transactions.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Stock Prices for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7"/>
              </w:rPr>
              <w:t>During the 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At Quarter End</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w w:val="88"/>
              </w:rPr>
              <w:t>2015:</w:t>
            </w:r>
          </w:p>
        </w:tc>
        <w:tc>
          <w:tcPr>
            <w:tcW w:w="4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Close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line="197"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100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3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 Value (“NAV”) per share is determined as of the last day in the relevant quarter and therefore may not reflect the NAV per share on the date of the high and low closing sales prices.</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began paying quarterly distributions in our first full quarter of operations following our IPO. See “Management’s Discussion and Analysis of Financial Condition and Results of Operations” and Note 8 — “Distributable Tax Income” from our Notes to the Financial Statements included herein. The table below provides information relating to distributions we paid in respect of the periods indicated.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Declaration</w:t>
            </w:r>
          </w:p>
        </w:tc>
        <w:tc>
          <w:tcPr>
            <w:tcW w:w="140" w:type="dxa"/>
            <w:vAlign w:val="bottom"/>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2015:</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12/16/2015</w:t>
            </w: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9/22/2015</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10/14/2015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6/23/2015</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7/6/2015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3/24/2015</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4/6/2015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2015</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2014:</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12/17/2014</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12/29/2014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9/19/2014</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10/14/2014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6/20/2014</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7/3/2014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3/21/2014</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4/4/2014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2014</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Since the record date of this distribution is in 2016, it is a 2016 tax event.</w:t>
      </w:r>
    </w:p>
    <w:p>
      <w:pPr>
        <w:spacing w:after="0" w:line="117" w:lineRule="exact"/>
        <w:rPr>
          <w:sz w:val="20"/>
          <w:szCs w:val="20"/>
          <w:color w:val="auto"/>
        </w:rPr>
      </w:pPr>
    </w:p>
    <w:p>
      <w:pPr>
        <w:ind w:left="60" w:right="819" w:firstLine="270"/>
        <w:spacing w:after="0" w:line="277" w:lineRule="auto"/>
        <w:rPr>
          <w:sz w:val="20"/>
          <w:szCs w:val="20"/>
          <w:color w:val="auto"/>
        </w:rPr>
      </w:pPr>
      <w:r>
        <w:rPr>
          <w:rFonts w:ascii="Arial" w:cs="Arial" w:eastAsia="Arial" w:hAnsi="Arial"/>
          <w:sz w:val="18"/>
          <w:szCs w:val="18"/>
          <w:color w:val="auto"/>
        </w:rPr>
        <w:t>The determination of the tax attributes of our distributions is made annually, based upon our taxable income for the full year and distributions paid for the full year. Ordinary dividend distributions from a RIC do</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9" w:lineRule="auto"/>
        <w:rPr>
          <w:sz w:val="20"/>
          <w:szCs w:val="20"/>
          <w:color w:val="auto"/>
        </w:rPr>
      </w:pPr>
      <w:r>
        <w:rPr>
          <w:rFonts w:ascii="Arial" w:cs="Arial" w:eastAsia="Arial" w:hAnsi="Arial"/>
          <w:sz w:val="17"/>
          <w:szCs w:val="17"/>
          <w:color w:val="auto"/>
        </w:rPr>
        <w:t>not qualify for the tax rate applicable to “qualified dividend income” from domestic corporations and qualified foreign corporations, except to the extent that the RIC received the income in the form of qualifying dividends from domestic corporations and qualified foreign corporations. For further information about the tax attributes, see Note 8 “Distributable Taxable Income” of our notes to the financial statements, which can be found elsewhere in this Annual Report.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Russell 2000 Index and the Nasdaq Financial 100 Index (IXF), for the period December 11, 2006 (the date of our initial public offering) to December 31, 2015.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Shareholder Return Performance Graph</w:t>
      </w:r>
    </w:p>
    <w:p>
      <w:pPr>
        <w:ind w:left="2620"/>
        <w:spacing w:after="0" w:line="217" w:lineRule="auto"/>
        <w:rPr>
          <w:sz w:val="20"/>
          <w:szCs w:val="20"/>
          <w:color w:val="auto"/>
        </w:rPr>
      </w:pPr>
      <w:r>
        <w:rPr>
          <w:rFonts w:ascii="Arial" w:cs="Arial" w:eastAsia="Arial" w:hAnsi="Arial"/>
          <w:sz w:val="18"/>
          <w:szCs w:val="18"/>
          <w:b w:val="1"/>
          <w:bCs w:val="1"/>
          <w:color w:val="auto"/>
        </w:rPr>
        <w:t>Cumulative Total Return Since Initial Public Offering</w:t>
      </w:r>
      <w:r>
        <w:rPr>
          <w:rFonts w:ascii="Arial" w:cs="Arial" w:eastAsia="Arial" w:hAnsi="Arial"/>
          <w:sz w:val="30"/>
          <w:szCs w:val="30"/>
          <w:b w:val="1"/>
          <w:bCs w:val="1"/>
          <w:color w:val="auto"/>
          <w:vertAlign w:val="superscript"/>
        </w:rPr>
        <w:t>(1)</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582920" cy="2769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292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80" w:right="919" w:hanging="272"/>
        <w:spacing w:after="0" w:line="312" w:lineRule="auto"/>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return includes reinvestment of distributions through December 31, 2015.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As of December 31, 2015, there were 48 shareholders of record of our common stock and approximately 16,243 beneficial shareholders of the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During the year ended December 31, 2015, we issued 175,922 shares of common stock pursuant to a dividend reinvestment plan. This issuance was not subject to the registration requirements of the Securities Act. See Note 9 “Stockholders’ Equity,” of our Notes to the Consolidated Financial Statements included herein.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will be determined by our Board of Directors. To maintain our RIC status, we must timely distribute an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59"/>
        <w:spacing w:after="0" w:line="269" w:lineRule="auto"/>
        <w:rPr>
          <w:sz w:val="20"/>
          <w:szCs w:val="20"/>
          <w:color w:val="auto"/>
        </w:rPr>
      </w:pPr>
      <w:r>
        <w:rPr>
          <w:rFonts w:ascii="Arial" w:cs="Arial" w:eastAsia="Arial" w:hAnsi="Arial"/>
          <w:sz w:val="17"/>
          <w:szCs w:val="17"/>
          <w:color w:val="auto"/>
        </w:rPr>
        <w:t>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75"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79"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0" w:right="719" w:firstLine="270"/>
        <w:spacing w:after="0" w:line="264" w:lineRule="auto"/>
        <w:rPr>
          <w:sz w:val="20"/>
          <w:szCs w:val="20"/>
          <w:color w:val="auto"/>
        </w:rPr>
      </w:pPr>
      <w:r>
        <w:rPr>
          <w:rFonts w:ascii="Arial" w:cs="Arial" w:eastAsia="Arial" w:hAnsi="Arial"/>
          <w:sz w:val="18"/>
          <w:szCs w:val="18"/>
          <w:color w:val="auto"/>
        </w:rPr>
        <w:t>The following table summarizes certain information regarding the Amended and Restated 2006 Equity Incentive Plan (the “Equity Incentive Plan”) and the Amended and Restated Non-Employee Director Plan (the “Non-Employee Director Plan”)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25"/>
        </w:trPr>
        <w:tc>
          <w:tcPr>
            <w:tcW w:w="3000" w:type="dxa"/>
            <w:vAlign w:val="bottom"/>
            <w:vMerge w:val="restart"/>
          </w:tcPr>
          <w:p>
            <w:pPr>
              <w:ind w:left="20"/>
              <w:spacing w:after="0"/>
              <w:rPr>
                <w:sz w:val="20"/>
                <w:szCs w:val="20"/>
                <w:color w:val="auto"/>
              </w:rPr>
            </w:pPr>
            <w:r>
              <w:rPr>
                <w:rFonts w:ascii="Arial" w:cs="Arial" w:eastAsia="Arial" w:hAnsi="Arial"/>
                <w:sz w:val="18"/>
                <w:szCs w:val="18"/>
                <w:color w:val="auto"/>
                <w:w w:val="90"/>
              </w:rPr>
              <w:t>Equity Compensation Plans Approved by</w:t>
            </w:r>
          </w:p>
        </w:tc>
        <w:tc>
          <w:tcPr>
            <w:tcW w:w="1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tcPr>
          <w:p>
            <w:pPr>
              <w:ind w:left="200"/>
              <w:spacing w:after="0" w:line="266" w:lineRule="exact"/>
              <w:rPr>
                <w:sz w:val="20"/>
                <w:szCs w:val="20"/>
                <w:color w:val="auto"/>
              </w:rPr>
            </w:pPr>
            <w:r>
              <w:rPr>
                <w:rFonts w:ascii="Arial" w:cs="Arial" w:eastAsia="Arial" w:hAnsi="Arial"/>
                <w:sz w:val="18"/>
                <w:szCs w:val="18"/>
                <w:color w:val="auto"/>
              </w:rPr>
              <w:t>Security Holders</w:t>
            </w:r>
            <w:r>
              <w:rPr>
                <w:rFonts w:ascii="Arial" w:cs="Arial" w:eastAsia="Arial" w:hAnsi="Arial"/>
                <w:sz w:val="30"/>
                <w:szCs w:val="30"/>
                <w:color w:val="auto"/>
                <w:vertAlign w:val="superscript"/>
              </w:rPr>
              <w:t>(1)</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200"/>
              <w:spacing w:after="0" w:line="266" w:lineRule="exact"/>
              <w:rPr>
                <w:sz w:val="20"/>
                <w:szCs w:val="20"/>
                <w:color w:val="auto"/>
              </w:rPr>
            </w:pPr>
            <w:r>
              <w:rPr>
                <w:rFonts w:ascii="Arial" w:cs="Arial" w:eastAsia="Arial" w:hAnsi="Arial"/>
                <w:sz w:val="18"/>
                <w:szCs w:val="18"/>
                <w:color w:val="auto"/>
              </w:rPr>
              <w:t>891,713</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Equity Compensation Plans Not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 Security Holders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891,713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475107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hanging="27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Equity Incentive Plan and Non-Employee Director Plan.</w:t>
      </w:r>
    </w:p>
    <w:p>
      <w:pPr>
        <w:spacing w:after="0" w:line="117" w:lineRule="exact"/>
        <w:rPr>
          <w:rFonts w:ascii="Arial" w:cs="Arial" w:eastAsia="Arial" w:hAnsi="Arial"/>
          <w:sz w:val="18"/>
          <w:szCs w:val="18"/>
          <w:color w:val="auto"/>
        </w:rPr>
      </w:pPr>
    </w:p>
    <w:p>
      <w:pPr>
        <w:ind w:left="300" w:right="559" w:hanging="272"/>
        <w:spacing w:after="0" w:line="287" w:lineRule="auto"/>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the following additional limitations: The aggregate number of shares of restricted stock that may be issued under the Equity Incentive Plan may not exceed 10% of the outstanding shares on June 13, 2008, the effective date of the Equity Incentive Plan, plus 10% of the number of shares issued or delivered by the Company (other than pursuant to compensation plans) during the term of the Equity Incentive Plan. No one person may be granted more than 25% of the shares of restricted stock reserved for issuance under the Equity Incentive Plan. In addition, the amount of voting securities that would result from the exercise of all of the Company’s outstanding warrants, options and rights, together with any restricted stock issued by the Company, at the time of issuance may not exceed 25%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stock issued by the Company, would exceed 15% of the outstanding voting securities of the Company, the total amount of voting securities that would result from the exercise of all outstanding warrants, options and rights, together with</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any restricted stock issued by the Company, at the time of issuance may not exceed 20% of the outstanding voting securities of the Company.</w:t>
      </w:r>
    </w:p>
    <w:p>
      <w:pPr>
        <w:spacing w:after="0" w:line="62" w:lineRule="exact"/>
        <w:rPr>
          <w:sz w:val="20"/>
          <w:szCs w:val="20"/>
          <w:color w:val="auto"/>
        </w:rPr>
      </w:pPr>
    </w:p>
    <w:p>
      <w:pPr>
        <w:ind w:left="300" w:right="559" w:hanging="272"/>
        <w:spacing w:after="0" w:line="264"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issuable under the Company’s Equity Incentive Plan may be issued in the form of options, restricted stock or other stock-based awards. The shares issuable under the Company’s Non-Employee Director Plan may currently be issued in the form of restricted stock.</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 xml:space="preserve">The following selected consolidated financial data should be read in conjunction with Part II,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 and Part II,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Annual Report on Form 10-K. The following selected financial and other data for the years ended December 31, 2015, 2014, 2013, 2012 and 2011 is derived from the audited consolidated financial statements for such years, included in Part II, Item 8</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26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4"/>
                <w:szCs w:val="14"/>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Interest and related portfolio income: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39,811,558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34,802,690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33,144,195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29,821,676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19,024,979</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Fees and other income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366,859</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934,871</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305,376</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304,882</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86,057</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from Asset Manager Affiliates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5,348,554</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5,467,914</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5,735,045</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1,214,998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1,060,000</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2,000,000</w:t>
            </w:r>
          </w:p>
        </w:tc>
      </w:tr>
      <w:tr>
        <w:trPr>
          <w:trHeight w:val="186"/>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interest and related portfolio</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3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45,526,971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41,205,475</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39,184,616</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31,341,556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22,171,036</w:t>
            </w:r>
          </w:p>
        </w:tc>
      </w:tr>
      <w:tr>
        <w:trPr>
          <w:trHeight w:val="199"/>
        </w:trPr>
        <w:tc>
          <w:tcPr>
            <w:tcW w:w="32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Expenses:</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amortization of debt issuance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costs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11,727,880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11,538,179</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10,116,271</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6,976,018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4,588,482</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3,843,799</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4,951,745</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4,630,481</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3,172,814</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3,907,900</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5,772,502</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4,594,983</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4,563,749</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4,344,611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3,490,939</w:t>
            </w:r>
          </w:p>
        </w:tc>
      </w:tr>
      <w:tr>
        <w:trPr>
          <w:trHeight w:val="20"/>
        </w:trPr>
        <w:tc>
          <w:tcPr>
            <w:tcW w:w="3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21,344,181</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21,084,907</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19,310,501</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14,493,443</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11,987,321</w:t>
            </w:r>
          </w:p>
        </w:tc>
      </w:tr>
      <w:tr>
        <w:trPr>
          <w:trHeight w:val="20"/>
        </w:trPr>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Income</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24,182,790</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20,120,568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19,874,115</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16,848,113</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10,183,715</w:t>
            </w:r>
          </w:p>
        </w:tc>
      </w:tr>
      <w:tr>
        <w:trPr>
          <w:trHeight w:val="193"/>
        </w:trPr>
        <w:tc>
          <w:tcPr>
            <w:tcW w:w="3260" w:type="dxa"/>
            <w:vAlign w:val="bottom"/>
          </w:tcPr>
          <w:p>
            <w:pPr>
              <w:ind w:left="20"/>
              <w:spacing w:after="0"/>
              <w:rPr>
                <w:sz w:val="20"/>
                <w:szCs w:val="20"/>
                <w:color w:val="auto"/>
              </w:rPr>
            </w:pPr>
            <w:r>
              <w:rPr>
                <w:rFonts w:ascii="Arial" w:cs="Arial" w:eastAsia="Arial" w:hAnsi="Arial"/>
                <w:sz w:val="16"/>
                <w:szCs w:val="16"/>
                <w:color w:val="auto"/>
              </w:rPr>
              <w:t>Realized and unrealized gains (losses) on</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realized gains (losses)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(6,647,478)</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8"/>
              </w:rPr>
              <w:t>(11,132,491)</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(12,627,314)</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(3,232,974)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(18,476,608)</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Net change in unrealized gains (losses)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(36,169,870)</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6,045,517</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9,976,171</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12,510,641</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15,942,437</w:t>
            </w:r>
          </w:p>
        </w:tc>
      </w:tr>
      <w:tr>
        <w:trPr>
          <w:trHeight w:val="20"/>
        </w:trPr>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net gains (losses)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(42,817,348)</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(5,086,974)</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(2,651,143)</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9,277,667</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(2,534,171)</w:t>
            </w:r>
          </w:p>
        </w:tc>
      </w:tr>
      <w:tr>
        <w:trPr>
          <w:trHeight w:val="186"/>
        </w:trPr>
        <w:tc>
          <w:tcPr>
            <w:tcW w:w="32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7"/>
              </w:rPr>
              <w:t>Net increase (decrease) in net assets resulting</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9"/>
        </w:trPr>
        <w:tc>
          <w:tcPr>
            <w:tcW w:w="3260" w:type="dxa"/>
            <w:vAlign w:val="bottom"/>
          </w:tcPr>
          <w:p>
            <w:pPr>
              <w:ind w:left="200"/>
              <w:spacing w:after="0"/>
              <w:rPr>
                <w:sz w:val="20"/>
                <w:szCs w:val="20"/>
                <w:color w:val="auto"/>
              </w:rPr>
            </w:pPr>
            <w:r>
              <w:rPr>
                <w:rFonts w:ascii="Arial" w:cs="Arial" w:eastAsia="Arial" w:hAnsi="Arial"/>
                <w:sz w:val="16"/>
                <w:szCs w:val="16"/>
                <w:color w:val="auto"/>
              </w:rPr>
              <w:t>from operations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(18,634,558)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15,033,594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17,222,972</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26,125,779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7,649,544</w:t>
            </w:r>
          </w:p>
        </w:tc>
      </w:tr>
      <w:tr>
        <w:trPr>
          <w:trHeight w:val="24"/>
        </w:trPr>
        <w:tc>
          <w:tcPr>
            <w:tcW w:w="32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Earnings per common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0.53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0.33</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0.33</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Net investment income per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0.62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0.45</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0.45</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Distributions declared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0.69</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Taxable Distributable Income per basic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-2778125</wp:posOffset>
            </wp:positionV>
            <wp:extent cx="521398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-2125980</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-1200150</wp:posOffset>
            </wp:positionV>
            <wp:extent cx="5213985"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ind w:left="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4"/>
        </w:trPr>
        <w:tc>
          <w:tcPr>
            <w:tcW w:w="20" w:type="dxa"/>
            <w:vAlign w:val="bottom"/>
          </w:tcPr>
          <w:p>
            <w:pPr>
              <w:spacing w:after="0"/>
              <w:rPr>
                <w:sz w:val="22"/>
                <w:szCs w:val="22"/>
                <w:color w:val="auto"/>
              </w:rPr>
            </w:pPr>
          </w:p>
        </w:tc>
        <w:tc>
          <w:tcPr>
            <w:tcW w:w="1540" w:type="dxa"/>
            <w:vAlign w:val="bottom"/>
            <w:tcBorders>
              <w:top w:val="single" w:sz="8" w:color="0000EE"/>
            </w:tcBorders>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196"/>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Investment assets at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409,570,495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479,706,494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89"/>
              </w:rPr>
              <w:t>440,549,994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312,044,763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239,791,681</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425,242,341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510,446,797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459,172,388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319,260,473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248,133,661</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Total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205,141,405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223,884,593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89"/>
              </w:rPr>
              <w:t>192,592,373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101,400,000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97"/>
              </w:rPr>
              <w:t>60,000,000</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216,100,470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255,316,701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250,369,693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207,875,659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180,525,942</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Net asset value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5.82</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6.94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7.51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7.85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7.85</w:t>
            </w:r>
          </w:p>
        </w:tc>
      </w:tr>
      <w:tr>
        <w:trPr>
          <w:trHeight w:val="20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shares outstanding at end of year</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9"/>
              </w:rPr>
              <w:t>37,100,005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36,775,127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99"/>
              </w:rPr>
              <w:t>33,332,123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26,470,408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99"/>
              </w:rPr>
              <w:t>22,992,211</w:t>
            </w:r>
          </w:p>
        </w:tc>
      </w:tr>
      <w:tr>
        <w:trPr>
          <w:trHeight w:val="203"/>
        </w:trPr>
        <w:tc>
          <w:tcPr>
            <w:tcW w:w="32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Data:</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32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Investments funded</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130,954,741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235,905,130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243,966,586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7"/>
              </w:rPr>
              <w:t>123,165,150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7"/>
              </w:rPr>
              <w:t>85,541,809</w:t>
            </w: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Principal collections related to investment</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240" w:type="dxa"/>
            <w:vAlign w:val="bottom"/>
            <w:gridSpan w:val="2"/>
          </w:tcPr>
          <w:p>
            <w:pPr>
              <w:ind w:left="180"/>
              <w:spacing w:after="0" w:line="254" w:lineRule="exact"/>
              <w:rPr>
                <w:sz w:val="20"/>
                <w:szCs w:val="20"/>
                <w:color w:val="auto"/>
              </w:rPr>
            </w:pPr>
            <w:r>
              <w:rPr>
                <w:rFonts w:ascii="Arial" w:cs="Arial" w:eastAsia="Arial" w:hAnsi="Arial"/>
                <w:sz w:val="16"/>
                <w:szCs w:val="16"/>
                <w:color w:val="auto"/>
              </w:rPr>
              <w:t>repayments or sales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w w:val="89"/>
              </w:rPr>
              <w:t>129,793,338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193,554,964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w w:val="99"/>
              </w:rPr>
              <w:t>94,197,886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87"/>
              </w:rPr>
              <w:t>104,556,500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w w:val="97"/>
              </w:rPr>
              <w:t>81,681,314</w:t>
            </w:r>
          </w:p>
        </w:tc>
      </w:tr>
      <w:tr>
        <w:trPr>
          <w:trHeight w:val="192"/>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Number of portfolio investments at year</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end</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68</w:t>
            </w:r>
          </w:p>
        </w:tc>
      </w:tr>
      <w:tr>
        <w:trPr>
          <w:trHeight w:val="192"/>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Weighted average yield of income producing</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3240" w:type="dxa"/>
            <w:vAlign w:val="bottom"/>
            <w:gridSpan w:val="2"/>
          </w:tcPr>
          <w:p>
            <w:pPr>
              <w:ind w:left="180"/>
              <w:spacing w:after="0"/>
              <w:rPr>
                <w:sz w:val="20"/>
                <w:szCs w:val="20"/>
                <w:color w:val="auto"/>
              </w:rPr>
            </w:pPr>
            <w:r>
              <w:rPr>
                <w:rFonts w:ascii="Arial" w:cs="Arial" w:eastAsia="Arial" w:hAnsi="Arial"/>
                <w:sz w:val="16"/>
                <w:szCs w:val="16"/>
                <w:color w:val="auto"/>
              </w:rPr>
              <w:t>debt investments</w:t>
            </w:r>
            <w:r>
              <w:rPr>
                <w:rFonts w:ascii="Arial" w:cs="Arial" w:eastAsia="Arial" w:hAnsi="Arial"/>
                <w:sz w:val="27"/>
                <w:szCs w:val="27"/>
                <w:color w:val="auto"/>
                <w:vertAlign w:val="superscript"/>
              </w:rPr>
              <w:t>(2)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-2454910</wp:posOffset>
            </wp:positionV>
            <wp:extent cx="54800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108585</wp:posOffset>
            </wp:positionV>
            <wp:extent cx="6172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hanging="27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investments in time deposits or money markets.</w:t>
      </w:r>
    </w:p>
    <w:p>
      <w:pPr>
        <w:spacing w:after="0" w:line="117" w:lineRule="exact"/>
        <w:rPr>
          <w:rFonts w:ascii="Arial" w:cs="Arial" w:eastAsia="Arial" w:hAnsi="Arial"/>
          <w:sz w:val="18"/>
          <w:szCs w:val="18"/>
          <w:color w:val="auto"/>
        </w:rPr>
      </w:pPr>
    </w:p>
    <w:p>
      <w:pPr>
        <w:ind w:left="300" w:right="97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Weighted average yield of income producing investments is calculated as the average yield to par outstanding balances for investments in loans, bonds, and mezzanine debt in our Debt Securities portfolio.</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40" w:right="839" w:firstLine="270"/>
        <w:spacing w:after="0" w:line="297"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839" w:firstLine="270"/>
        <w:spacing w:after="0" w:line="342" w:lineRule="auto"/>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 Investment Company Act of 1940 (the “1940 Act”). We have three principal areas of investments:</w:t>
      </w:r>
    </w:p>
    <w:p>
      <w:pPr>
        <w:spacing w:after="0" w:line="16"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Second, the Company have invested in asset management companies (Katonah Debt Advisors and Trimaran Advisors, collectively the “Asset Manager Affiliates”) that manage CLO Funds.</w:t>
      </w:r>
    </w:p>
    <w:p>
      <w:pPr>
        <w:spacing w:after="0" w:line="62"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collateralized loan obligation funds CLOs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79"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larger,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72"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The Asset Manager Affiliates manage CLO Funds that invest in broadly syndicated loans, high-yield bonds and other credit instruments. Collectively, the Asset Manager Affiliates have approximately $2.7 billion of par value assets under management as of December 31, 2015.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81"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Manager Affiliates, are anticipated to provide the Company with recurring cash distributions and complement the growth of our Asset Manager Affiliates.</w:t>
      </w:r>
    </w:p>
    <w:p>
      <w:pPr>
        <w:spacing w:after="0" w:line="62"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79"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60" w:right="679" w:firstLine="270"/>
        <w:spacing w:after="0" w:line="291"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w:t>
      </w:r>
    </w:p>
    <w:p>
      <w:pPr>
        <w:ind w:left="60" w:right="799" w:firstLine="8"/>
        <w:spacing w:after="0" w:line="26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investments in our Asset Manager Affiliates, which manage portfolios of broadly syndicated loans, high-yield bonds and other credit instruments, and (3) CLO Fund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portfolio investment activity (excluding activity in time deposit and money market investments)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2015, December 31, 2014, and December 31, 2013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CLO Fund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Manager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Affiliates</w:t>
            </w: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Portfolio</w:t>
            </w: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Fair Value at December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111,037,882</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83,257,507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8,020,716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77,242,000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279,558,105</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2013 Activity: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232,226,295</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11,957,500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3,813,838</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217,212</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248,214,845</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(80,089,537)</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(2,882,106)</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(7,014,955)</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(89,986,598)</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238,554</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(2,473,528)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(2,234,974)</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realized losses</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(11,538,868)</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(551,636)</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(12,090,504)</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14,956,101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(13,289,259)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2,605,586</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5,703,743</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9,976,171</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Pr>
          <w:p>
            <w:pPr>
              <w:ind w:left="200"/>
              <w:spacing w:after="0"/>
              <w:rPr>
                <w:sz w:val="20"/>
                <w:szCs w:val="20"/>
                <w:color w:val="auto"/>
              </w:rPr>
            </w:pPr>
            <w:r>
              <w:rPr>
                <w:rFonts w:ascii="Arial" w:cs="Arial" w:eastAsia="Arial" w:hAnsi="Arial"/>
                <w:sz w:val="16"/>
                <w:szCs w:val="16"/>
                <w:color w:val="auto"/>
              </w:rPr>
              <w:t>Fair Value at December 31, 2013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266,830,427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79,452,220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11,006,398</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76,148,000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433,437,045</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 Activity: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224,513,503</w:t>
            </w: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22,421,847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2,216,847</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545,979</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249,698,176</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(168,429,374)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(10,132,500)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(5,007,311)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(6,432,086)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(190,001,271)</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410,718</w:t>
            </w:r>
          </w:p>
        </w:tc>
        <w:tc>
          <w:tcPr>
            <w:tcW w:w="10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(11,102,015)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(10,691,297)</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realized gains (losses)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(8,823,507)</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5,575,498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(7,136,408)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(10,384,417)</w:t>
            </w:r>
          </w:p>
        </w:tc>
        <w:tc>
          <w:tcPr>
            <w:tcW w:w="0" w:type="dxa"/>
            <w:vAlign w:val="bottom"/>
          </w:tcPr>
          <w:p>
            <w:pPr>
              <w:spacing w:after="0"/>
              <w:rPr>
                <w:sz w:val="1"/>
                <w:szCs w:val="1"/>
                <w:color w:val="auto"/>
              </w:rPr>
            </w:pPr>
          </w:p>
        </w:tc>
      </w:tr>
      <w:tr>
        <w:trPr>
          <w:trHeight w:val="193"/>
        </w:trPr>
        <w:tc>
          <w:tcPr>
            <w:tcW w:w="2900" w:type="dxa"/>
            <w:vAlign w:val="bottom"/>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5,641,403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(8,700,148)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7,040,155</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2,064,107</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6,045,517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Fair Value at December 31, 2014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320,143,170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77,514,902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8,119,681</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72,326,000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478,103,753</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2015 Activity: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108,670,472</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11,952,000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1,953,299</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124,023,641</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(135,328,386)</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(3,872,700)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(317,340)</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(3,701,446)</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(143,219,872)</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accretion (amortization)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1,860,670</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(9,507,050)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(9,094,250)</w:t>
            </w: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6"/>
                <w:szCs w:val="16"/>
                <w:color w:val="auto"/>
              </w:rPr>
              <w:t>Net realized gains (losses)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41,580</w:t>
            </w:r>
          </w:p>
        </w:tc>
        <w:tc>
          <w:tcPr>
            <w:tcW w:w="10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(6,246,883)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3,015</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(6,202,288)</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fair</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(10,748,262)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(13,967,887)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(210,167)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(11,243,554)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(36,169,870)</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Pr>
          <w:p>
            <w:pPr>
              <w:ind w:left="200"/>
              <w:spacing w:after="0"/>
              <w:rPr>
                <w:sz w:val="20"/>
                <w:szCs w:val="20"/>
                <w:color w:val="auto"/>
              </w:rPr>
            </w:pPr>
            <w:r>
              <w:rPr>
                <w:rFonts w:ascii="Arial" w:cs="Arial" w:eastAsia="Arial" w:hAnsi="Arial"/>
                <w:sz w:val="16"/>
                <w:szCs w:val="16"/>
                <w:color w:val="auto"/>
              </w:rPr>
              <w:t>Fair Value at December 31,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284,639,244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$ 55,872,382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9,548,488</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$ 57,381,000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$ 407,441,114</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-2245995</wp:posOffset>
            </wp:positionV>
            <wp:extent cx="521398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firstLine="270"/>
        <w:spacing w:after="0" w:line="279" w:lineRule="auto"/>
        <w:rPr>
          <w:sz w:val="20"/>
          <w:szCs w:val="20"/>
          <w:color w:val="auto"/>
        </w:rPr>
      </w:pPr>
      <w:r>
        <w:rPr>
          <w:rFonts w:ascii="Arial" w:cs="Arial" w:eastAsia="Arial" w:hAnsi="Arial"/>
          <w:sz w:val="17"/>
          <w:szCs w:val="17"/>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December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96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96"/>
        </w:trPr>
        <w:tc>
          <w:tcPr>
            <w:tcW w:w="2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Security Type</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50"/>
        </w:trPr>
        <w:tc>
          <w:tcPr>
            <w:tcW w:w="240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8"/>
                <w:szCs w:val="28"/>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2,129,381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2,129,381</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1,602,741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203,819,074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194,123,223</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220,965,922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218,329,859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Junior Secured Loan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40,221,557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37,591,900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38,664,199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38,569,006</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24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23,000,000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33,066,984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33,066,984</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First Lien Bond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2,216,700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2,962,507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2,580,000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Subordinated Bond</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4,615,569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4,240,301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Senior Unsecured Bond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11,879,187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10,551,724</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11,208,178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11,386,218</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4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1,503,755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83,214,947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55,872,382</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90,889,190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77,514,902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4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10,467,787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8,828,812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Preferred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10,411,673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11,036,373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10,206,016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10,418,302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57"/>
        </w:trPr>
        <w:tc>
          <w:tcPr>
            <w:tcW w:w="2400" w:type="dxa"/>
            <w:vAlign w:val="bottom"/>
            <w:tcBorders>
              <w:right w:val="single" w:sz="8" w:color="CCEEFF"/>
            </w:tcBorders>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56,591,230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57,381,000</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60,292,677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72,326,000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450,712,189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409,570,495</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484,498,354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479,706,494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percentage of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121"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At December 31, 2015 and December 31, 2014, our investments in income producing loans and debt securities, excluding CLO Fund Securities, had a weighted average interest rate of approximately 7.4% and 7.3%, respectively.</w:t>
      </w:r>
    </w:p>
    <w:p>
      <w:pPr>
        <w:spacing w:after="0" w:line="62" w:lineRule="exact"/>
        <w:rPr>
          <w:sz w:val="20"/>
          <w:szCs w:val="20"/>
          <w:color w:val="auto"/>
        </w:rPr>
      </w:pPr>
    </w:p>
    <w:p>
      <w:pPr>
        <w:jc w:val="both"/>
        <w:ind w:left="60" w:right="679" w:firstLine="270"/>
        <w:spacing w:after="0" w:line="312" w:lineRule="auto"/>
        <w:rPr>
          <w:sz w:val="20"/>
          <w:szCs w:val="20"/>
          <w:color w:val="auto"/>
        </w:rPr>
      </w:pPr>
      <w:r>
        <w:rPr>
          <w:rFonts w:ascii="Arial" w:cs="Arial" w:eastAsia="Arial" w:hAnsi="Arial"/>
          <w:sz w:val="16"/>
          <w:szCs w:val="16"/>
          <w:color w:val="auto"/>
        </w:rPr>
        <w:t>The investment portfolio (excluding the Company’s investment in Asset Manager Affiliates and CLO Funds) at December 31, 2015 was spread across 27 different industries and 101 different entities with an average balance per entity of approximately $3.3 million. As of December 31, 2015, all but one of our portfolio companies were current on their debt service obligations.</w:t>
      </w:r>
    </w:p>
    <w:p>
      <w:pPr>
        <w:spacing w:after="0" w:line="39" w:lineRule="exact"/>
        <w:rPr>
          <w:sz w:val="20"/>
          <w:szCs w:val="20"/>
          <w:color w:val="auto"/>
        </w:rPr>
      </w:pPr>
    </w:p>
    <w:p>
      <w:pPr>
        <w:ind w:left="60" w:right="639" w:firstLine="270"/>
        <w:spacing w:after="0" w:line="271"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and distressed debt or equity securities of public companies. At December 31, 2015 and December 31, 2014, the total amount of non-qualifying assets was approximately 18% and 21%, respectively. The majority of non-qualifying assets were foreign investments which was approximately 13.5% and 15.6% of the Company’s total assets, respectively (including the Company’s investments in CLO Funds, which are typically domiciled outside the U.S. and represented approximately 13% and 15%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2015</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7"/>
                <w:szCs w:val="17"/>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of FMV</w:t>
            </w:r>
          </w:p>
        </w:tc>
      </w:tr>
      <w:tr>
        <w:trPr>
          <w:trHeight w:val="210"/>
        </w:trPr>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56,591,230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5"/>
              </w:rPr>
              <w:t>57,381,000</w:t>
            </w:r>
          </w:p>
        </w:tc>
        <w:tc>
          <w:tcPr>
            <w:tcW w:w="16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14%</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Trimaran Advisors,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23,000,000</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Katonah 2007-I CLO Ltd.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24,312,424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20,295,677</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8,585,578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12,975,447</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Crowley Holdings Preferred, LLC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10,411,673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11,036,373</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9,817,315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9,917,500</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Catamaran CLO 2015-1 Ltd.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11,869,751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8,789,651</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10,624,515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8,177,538</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Weiman Products, LLC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6,582,457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6,619,805</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Nielsen &amp; Bainbrige,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6,510,157</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0"/>
        </w:trPr>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168,598,548</w:t>
            </w:r>
          </w:p>
        </w:tc>
        <w:tc>
          <w:tcPr>
            <w:tcW w:w="1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$ 164,703,148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r>
      <w:tr>
        <w:trPr>
          <w:trHeight w:val="21"/>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2014</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7"/>
                <w:szCs w:val="17"/>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of FMV</w:t>
            </w:r>
          </w:p>
        </w:tc>
      </w:tr>
      <w:tr>
        <w:trPr>
          <w:trHeight w:val="210"/>
        </w:trPr>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60,292,677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5"/>
              </w:rPr>
              <w:t>72,326,000</w:t>
            </w:r>
          </w:p>
        </w:tc>
        <w:tc>
          <w:tcPr>
            <w:tcW w:w="16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15%</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Katonah 2007-I CLO Ltd.</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23,471,779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25,191,782</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Trimaran Advisors, L.L.C.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23,000,000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23,000,000</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11,378,111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10,539,567</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Crowley Holdings Preferred, LLC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10,206,016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10,418,302</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Restorix Health, Inc.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10,066,984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10,066,984</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Grupo HIMA San Pablo, Inc.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9,805,883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10,052,500</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Catamaran CLO 2014-1 Ltd.</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10,473,628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8,867,176</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Catamaran CLO 2014-2 Ltd.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9,862,799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8,761,500</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7,776,255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8,373,483</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r>
      <w:tr>
        <w:trPr>
          <w:trHeight w:val="20"/>
        </w:trPr>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176,334,132</w:t>
            </w:r>
          </w:p>
        </w:tc>
        <w:tc>
          <w:tcPr>
            <w:tcW w:w="1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$ 187,597,293</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39%</w:t>
            </w:r>
          </w:p>
        </w:tc>
      </w:tr>
      <w:tr>
        <w:trPr>
          <w:trHeight w:val="21"/>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-2108835</wp:posOffset>
            </wp:positionV>
            <wp:extent cx="475107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4751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19% and 17% of the total fair value of the Company’s investments at December 31, 2015 and December 31, 2014, respectively.</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December 31, 2015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96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9"/>
              </w:rPr>
              <w:t>December 31, 2014</w:t>
            </w:r>
            <w:r>
              <w:rPr>
                <w:rFonts w:ascii="Arial" w:cs="Arial" w:eastAsia="Arial" w:hAnsi="Arial"/>
                <w:sz w:val="23"/>
                <w:szCs w:val="23"/>
                <w:b w:val="1"/>
                <w:bCs w:val="1"/>
                <w:color w:val="auto"/>
                <w:w w:val="99"/>
                <w:vertAlign w:val="superscript"/>
              </w:rPr>
              <w:t>(2)</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r>
      <w:tr>
        <w:trPr>
          <w:trHeight w:val="196"/>
        </w:trPr>
        <w:tc>
          <w:tcPr>
            <w:tcW w:w="2460" w:type="dxa"/>
            <w:vAlign w:val="bottom"/>
            <w:gridSpan w:val="4"/>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0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10"/>
        </w:trPr>
        <w:tc>
          <w:tcPr>
            <w:tcW w:w="2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6,910,349</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6,383,724</w:t>
            </w:r>
          </w:p>
        </w:tc>
        <w:tc>
          <w:tcPr>
            <w:tcW w:w="8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10,059,487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9,533,092</w:t>
            </w:r>
          </w:p>
        </w:tc>
        <w:tc>
          <w:tcPr>
            <w:tcW w:w="8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5"/>
        </w:trPr>
        <w:tc>
          <w:tcPr>
            <w:tcW w:w="246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Asset Management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244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56,591,230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57,381,000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60,292,677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72,326,000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Related Party Loan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9,898,494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9,440,866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8,362,956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8,312,548</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Banking, Finance, Insurance &amp;</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6,270,984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6,008,587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7,660,721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7,639,365</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Beverage, Food and Tobacco</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17,334,746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16,882,750</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17,974,974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17,883,421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Capital Equipment</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9,519,342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7,846,767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9,486,407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10,351,329</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Chemicals, Plastics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Rubber</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3,494,086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3,359,916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6,348,226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6,210,253</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83,214,947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55,872,382</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90,889,190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77,514,902</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Construction &amp; Building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1,907,614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Consumer goods: Durable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13,983,607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12,753,455</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13,876,482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13,301,207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Consumer goods: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Non-durable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20,124,355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19,646,576</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13,535,975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13,314,952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w w:val="90"/>
              </w:rPr>
              <w:t>Containers, Packaging and Glass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2,992,443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2,946,734</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14,281,821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10,204,318</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13,866,208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13,289,753</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Energy: Electricity</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3,465,576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3,465,000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Environmental Industries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13,735,492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13,179,657</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12,942,593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12,911,017</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Forest Products &amp; Paper</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5,888,294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5,883,080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5,917,051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5,942,523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Healthcare &amp; Pharmaceuticals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58,649,512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55,417,827</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66,186,412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65,720,782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High Tech Industries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11,727,898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11,662,995</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14,457,495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14,419,110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Hotel, Gaming &amp; Leisure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3,392,481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2,962,315</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Media: Advertising, Printing &amp;</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11,167,950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10,340,449</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11,318,815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11,396,027</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7,428,110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7,406,792</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14,477,078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14,409,401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Metals &amp; Mining</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228,563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4,416,709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3,594,599</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4,234,086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3,773,847</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18,206,668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21,022,801</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16,550,255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16,066,421</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6,512,029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6,356,054</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6,798,372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6,752,521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Telecommunications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13,776,871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12,425,489</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22,030,434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21,865,864</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r>
      <w:tr>
        <w:trPr>
          <w:trHeight w:val="205"/>
        </w:trPr>
        <w:tc>
          <w:tcPr>
            <w:tcW w:w="246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Time Deposit and Money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244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Market Accounts</w:t>
            </w:r>
            <w:r>
              <w:rPr>
                <w:rFonts w:ascii="Arial" w:cs="Arial" w:eastAsia="Arial" w:hAnsi="Arial"/>
                <w:sz w:val="30"/>
                <w:szCs w:val="30"/>
                <w:color w:val="auto"/>
                <w:vertAlign w:val="superscript"/>
              </w:rPr>
              <w:t>(3)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Transportation: Cargo</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18,232,953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18,865,603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20,156,700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20,455,941</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Transportation: Consumer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2,472,795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2,324,381</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Utilities: Electric</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5,673,082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4,806,441</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5,859,532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5,803,428</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450,712,189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409,570,495</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484,498,354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479,706,494</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3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5519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5519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-213995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-187960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-213995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-187960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-213995</wp:posOffset>
            </wp:positionV>
            <wp:extent cx="180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-187960</wp:posOffset>
            </wp:positionV>
            <wp:extent cx="1803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-213995</wp:posOffset>
            </wp:positionV>
            <wp:extent cx="94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-187960</wp:posOffset>
            </wp:positionV>
            <wp:extent cx="946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-213995</wp:posOffset>
            </wp:positionV>
            <wp:extent cx="94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-187960</wp:posOffset>
            </wp:positionV>
            <wp:extent cx="94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-213995</wp:posOffset>
            </wp:positionV>
            <wp:extent cx="1289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-187960</wp:posOffset>
            </wp:positionV>
            <wp:extent cx="128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December 31, 2015, we had approximately $56 million invested in CLO Fund Securities, issued primarily by funds managed by our Asset Manager Affiliates.</w:t>
      </w:r>
    </w:p>
    <w:p>
      <w:pPr>
        <w:spacing w:after="0" w:line="79" w:lineRule="exact"/>
        <w:rPr>
          <w:sz w:val="20"/>
          <w:szCs w:val="20"/>
          <w:color w:val="auto"/>
        </w:rPr>
      </w:pPr>
    </w:p>
    <w:p>
      <w:pPr>
        <w:ind w:left="60" w:right="859" w:firstLine="270"/>
        <w:spacing w:after="0" w:line="264" w:lineRule="auto"/>
        <w:rPr>
          <w:sz w:val="20"/>
          <w:szCs w:val="20"/>
          <w:color w:val="auto"/>
        </w:rPr>
      </w:pPr>
      <w:r>
        <w:rPr>
          <w:rFonts w:ascii="Arial" w:cs="Arial" w:eastAsia="Arial" w:hAnsi="Arial"/>
          <w:sz w:val="18"/>
          <w:szCs w:val="18"/>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December 31, 2015 and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83"/>
        </w:trPr>
        <w:tc>
          <w:tcPr>
            <w:tcW w:w="2280" w:type="dxa"/>
            <w:vAlign w:val="bottom"/>
            <w:gridSpan w:val="3"/>
          </w:tcPr>
          <w:p>
            <w:pPr>
              <w:ind w:left="20"/>
              <w:spacing w:after="0"/>
              <w:rPr>
                <w:sz w:val="20"/>
                <w:szCs w:val="20"/>
                <w:color w:val="auto"/>
              </w:rPr>
            </w:pPr>
            <w:r>
              <w:rPr>
                <w:rFonts w:ascii="Arial" w:cs="Arial" w:eastAsia="Arial" w:hAnsi="Arial"/>
                <w:sz w:val="14"/>
                <w:szCs w:val="14"/>
                <w:b w:val="1"/>
                <w:bCs w:val="1"/>
                <w:color w:val="auto"/>
              </w:rPr>
              <w:t>CLO Fund Securities</w:t>
            </w:r>
          </w:p>
        </w:tc>
        <w:tc>
          <w:tcPr>
            <w:tcW w:w="60" w:type="dxa"/>
            <w:vAlign w:val="bottom"/>
          </w:tcPr>
          <w:p>
            <w:pPr>
              <w:spacing w:after="0"/>
              <w:rPr>
                <w:sz w:val="15"/>
                <w:szCs w:val="15"/>
                <w:color w:val="auto"/>
              </w:rPr>
            </w:pPr>
          </w:p>
        </w:tc>
        <w:tc>
          <w:tcPr>
            <w:tcW w:w="1580" w:type="dxa"/>
            <w:vAlign w:val="bottom"/>
          </w:tcPr>
          <w:p>
            <w:pPr>
              <w:ind w:left="440"/>
              <w:spacing w:after="0"/>
              <w:rPr>
                <w:sz w:val="20"/>
                <w:szCs w:val="20"/>
                <w:color w:val="auto"/>
              </w:rPr>
            </w:pPr>
            <w:r>
              <w:rPr>
                <w:rFonts w:ascii="Arial" w:cs="Arial" w:eastAsia="Arial" w:hAnsi="Arial"/>
                <w:sz w:val="14"/>
                <w:szCs w:val="14"/>
                <w:b w:val="1"/>
                <w:bCs w:val="1"/>
                <w:color w:val="auto"/>
              </w:rPr>
              <w:t>Investment</w:t>
            </w:r>
          </w:p>
        </w:tc>
        <w:tc>
          <w:tcPr>
            <w:tcW w:w="5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6"/>
        </w:trPr>
        <w:tc>
          <w:tcPr>
            <w:tcW w:w="22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Grant Grove CLO, Ltd.</w:t>
            </w:r>
          </w:p>
        </w:tc>
        <w:tc>
          <w:tcPr>
            <w:tcW w:w="60" w:type="dxa"/>
            <w:vAlign w:val="bottom"/>
          </w:tcPr>
          <w:p>
            <w:pPr>
              <w:spacing w:after="0"/>
              <w:rPr>
                <w:sz w:val="16"/>
                <w:szCs w:val="16"/>
                <w:color w:val="auto"/>
              </w:rPr>
            </w:pPr>
          </w:p>
        </w:tc>
        <w:tc>
          <w:tcPr>
            <w:tcW w:w="1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Subordinated</w:t>
            </w:r>
          </w:p>
        </w:tc>
        <w:tc>
          <w:tcPr>
            <w:tcW w:w="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22.2%  $</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2,484,943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280,164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2,254,638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469,132</w:t>
            </w: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EEFF"/>
          </w:tcPr>
          <w:p>
            <w:pPr>
              <w:ind w:left="20"/>
              <w:spacing w:after="0" w:line="246" w:lineRule="exact"/>
              <w:rPr>
                <w:sz w:val="20"/>
                <w:szCs w:val="20"/>
                <w:color w:val="auto"/>
              </w:rPr>
            </w:pPr>
            <w:r>
              <w:rPr>
                <w:rFonts w:ascii="Arial" w:cs="Arial" w:eastAsia="Arial" w:hAnsi="Arial"/>
                <w:sz w:val="16"/>
                <w:szCs w:val="16"/>
                <w:color w:val="auto"/>
              </w:rPr>
              <w:t>Katonah III, Ltd.</w:t>
            </w:r>
            <w:r>
              <w:rPr>
                <w:rFonts w:ascii="Arial" w:cs="Arial" w:eastAsia="Arial" w:hAnsi="Arial"/>
                <w:sz w:val="27"/>
                <w:szCs w:val="27"/>
                <w:color w:val="auto"/>
                <w:vertAlign w:val="superscript"/>
              </w:rPr>
              <w:t>(3)</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1,373,132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400,000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1,015,334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193"/>
        </w:trPr>
        <w:tc>
          <w:tcPr>
            <w:tcW w:w="2280" w:type="dxa"/>
            <w:vAlign w:val="bottom"/>
            <w:gridSpan w:val="3"/>
          </w:tcPr>
          <w:p>
            <w:pPr>
              <w:ind w:left="20"/>
              <w:spacing w:after="0" w:line="192" w:lineRule="exact"/>
              <w:rPr>
                <w:sz w:val="20"/>
                <w:szCs w:val="20"/>
                <w:color w:val="auto"/>
              </w:rPr>
            </w:pPr>
            <w:r>
              <w:rPr>
                <w:rFonts w:ascii="Arial" w:cs="Arial" w:eastAsia="Arial" w:hAnsi="Arial"/>
                <w:sz w:val="14"/>
                <w:szCs w:val="14"/>
                <w:color w:val="auto"/>
              </w:rPr>
              <w:t>Katonah VII CLO Ltd.</w:t>
            </w:r>
            <w:r>
              <w:rPr>
                <w:rFonts w:ascii="Arial" w:cs="Arial" w:eastAsia="Arial" w:hAnsi="Arial"/>
                <w:sz w:val="22"/>
                <w:szCs w:val="22"/>
                <w:color w:val="auto"/>
                <w:vertAlign w:val="superscript"/>
              </w:rPr>
              <w:t>(2)</w:t>
            </w:r>
          </w:p>
        </w:tc>
        <w:tc>
          <w:tcPr>
            <w:tcW w:w="6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98"/>
              </w:rPr>
              <w:t>3,563,252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5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4"/>
                <w:szCs w:val="14"/>
                <w:color w:val="auto"/>
              </w:rPr>
              <w:t>Katonah VIII CLO Ltd.</w:t>
            </w:r>
            <w:r>
              <w:rPr>
                <w:rFonts w:ascii="Arial" w:cs="Arial" w:eastAsia="Arial" w:hAnsi="Arial"/>
                <w:sz w:val="22"/>
                <w:szCs w:val="22"/>
                <w:color w:val="auto"/>
                <w:vertAlign w:val="superscript"/>
              </w:rPr>
              <w:t>(2)</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8"/>
              </w:rPr>
              <w:t>2,755,267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Securities</w:t>
            </w:r>
          </w:p>
        </w:tc>
        <w:tc>
          <w:tcPr>
            <w:tcW w:w="5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IX CLO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1,140,057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105,000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1,262,496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594,988</w:t>
            </w:r>
          </w:p>
        </w:tc>
        <w:tc>
          <w:tcPr>
            <w:tcW w:w="0" w:type="dxa"/>
            <w:vAlign w:val="bottom"/>
          </w:tcPr>
          <w:p>
            <w:pPr>
              <w:spacing w:after="0"/>
              <w:rPr>
                <w:sz w:val="1"/>
                <w:szCs w:val="1"/>
                <w:color w:val="auto"/>
              </w:rPr>
            </w:pPr>
          </w:p>
        </w:tc>
      </w:tr>
      <w:tr>
        <w:trPr>
          <w:trHeight w:val="193"/>
        </w:trPr>
        <w:tc>
          <w:tcPr>
            <w:tcW w:w="2280" w:type="dxa"/>
            <w:vAlign w:val="bottom"/>
            <w:gridSpan w:val="3"/>
            <w:shd w:val="clear" w:color="auto" w:fill="CCEEFF"/>
          </w:tcPr>
          <w:p>
            <w:pPr>
              <w:ind w:left="20"/>
              <w:spacing w:after="0" w:line="192" w:lineRule="exact"/>
              <w:rPr>
                <w:sz w:val="20"/>
                <w:szCs w:val="20"/>
                <w:color w:val="auto"/>
              </w:rPr>
            </w:pPr>
            <w:r>
              <w:rPr>
                <w:rFonts w:ascii="Arial" w:cs="Arial" w:eastAsia="Arial" w:hAnsi="Arial"/>
                <w:sz w:val="14"/>
                <w:szCs w:val="14"/>
                <w:color w:val="auto"/>
              </w:rPr>
              <w:t>Katonah X CLO Ltd.</w:t>
            </w:r>
            <w:r>
              <w:rPr>
                <w:rFonts w:ascii="Arial" w:cs="Arial" w:eastAsia="Arial" w:hAnsi="Arial"/>
                <w:sz w:val="22"/>
                <w:szCs w:val="22"/>
                <w:color w:val="auto"/>
                <w:vertAlign w:val="superscript"/>
              </w:rPr>
              <w:t>(2)</w:t>
            </w:r>
          </w:p>
        </w:tc>
        <w:tc>
          <w:tcPr>
            <w:tcW w:w="60" w:type="dxa"/>
            <w:vAlign w:val="bottom"/>
            <w:shd w:val="clear" w:color="auto" w:fill="CCEEFF"/>
          </w:tcPr>
          <w:p>
            <w:pPr>
              <w:spacing w:after="0"/>
              <w:rPr>
                <w:sz w:val="16"/>
                <w:szCs w:val="16"/>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33.3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7,637,499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8"/>
              </w:rPr>
              <w:t>8,910,471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4,863,001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Securities</w:t>
            </w:r>
          </w:p>
        </w:tc>
        <w:tc>
          <w:tcPr>
            <w:tcW w:w="5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2007-I CLO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24,312,424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20,295,677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23,471,779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25,191,782</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Trimaran CLO IV,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Preferred Shares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11,094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900,000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Trimaran CLO V,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1,292,698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1,657,020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Trimaran CLO VI,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Notes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1,531,142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1,950,000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Trimaran CLO VII,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Income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1,375,013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1,647,272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1,399,074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2,084,394</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6,791,980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3,312,940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7,994,677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5,793,924</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Class F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42.9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3,917,442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4,160,000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2013-1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6,256,090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5,639,106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7,492,702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7,874,910</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Arial" w:cs="Arial" w:eastAsia="Arial" w:hAnsi="Arial"/>
                <w:sz w:val="16"/>
                <w:szCs w:val="16"/>
                <w:color w:val="auto"/>
              </w:rPr>
              <w:t>Dryden 30 Senior Loan Fund</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1,592,303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1,634,647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2,263,321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2,506,075</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8,928,790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5,846,325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10,473,628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8,867,176</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Class E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1,428,797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1,170,000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1,417,376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1,340,000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2014-2 Ltd.</w:t>
            </w:r>
            <w:r>
              <w:rPr>
                <w:rFonts w:ascii="Arial" w:cs="Arial" w:eastAsia="Arial" w:hAnsi="Arial"/>
                <w:sz w:val="27"/>
                <w:szCs w:val="27"/>
                <w:color w:val="auto"/>
                <w:vertAlign w:val="superscript"/>
              </w:rPr>
              <w:t>(2)</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8,024,168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5,751,600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9,862,799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8,761,500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2015-1 Ltd.</w:t>
            </w:r>
            <w:r>
              <w:rPr>
                <w:rFonts w:ascii="Arial" w:cs="Arial" w:eastAsia="Arial" w:hAnsi="Arial"/>
                <w:sz w:val="27"/>
                <w:szCs w:val="27"/>
                <w:color w:val="auto"/>
                <w:vertAlign w:val="superscript"/>
              </w:rPr>
              <w:t>(2)</w:t>
            </w:r>
          </w:p>
        </w:tc>
        <w:tc>
          <w:tcPr>
            <w:tcW w:w="6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11,869,751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8,789,651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83,214,947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55,872,382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90,889,190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77,514,902</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December 31, 2015, this CLO Fund Security was not providing a dividend distribution.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December 31, 2015, our Asset Manager Affiliates had approximately $2.7 billion of par value of assets under management on which they earn management fees, and were valued at approximately $57 million.</w:t>
      </w:r>
    </w:p>
    <w:p>
      <w:pPr>
        <w:spacing w:after="0" w:line="80"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during 2015, our Asset Manager Affiliates received incentive fees from three funds.</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December 31, 2015, 2014, and 2013.</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4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$ 24,101,257</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$ 21,386,432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13,967,235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920" w:type="dxa"/>
            <w:vAlign w:val="bottom"/>
          </w:tcPr>
          <w:p>
            <w:pPr>
              <w:jc w:val="right"/>
              <w:spacing w:after="0"/>
              <w:rPr>
                <w:sz w:val="20"/>
                <w:szCs w:val="20"/>
                <w:color w:val="auto"/>
              </w:rPr>
            </w:pPr>
            <w:r>
              <w:rPr>
                <w:rFonts w:ascii="Arial" w:cs="Arial" w:eastAsia="Arial" w:hAnsi="Arial"/>
                <w:sz w:val="18"/>
                <w:szCs w:val="18"/>
                <w:color w:val="auto"/>
              </w:rPr>
              <w:t>10,239</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3,452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20,656</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14,691,428</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12,367,581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17,346,770</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non-affiliates</w:t>
            </w:r>
          </w:p>
        </w:tc>
        <w:tc>
          <w:tcPr>
            <w:tcW w:w="920" w:type="dxa"/>
            <w:vAlign w:val="bottom"/>
          </w:tcPr>
          <w:p>
            <w:pPr>
              <w:jc w:val="right"/>
              <w:spacing w:after="0"/>
              <w:rPr>
                <w:sz w:val="20"/>
                <w:szCs w:val="20"/>
                <w:color w:val="auto"/>
              </w:rPr>
            </w:pPr>
            <w:r>
              <w:rPr>
                <w:rFonts w:ascii="Arial" w:cs="Arial" w:eastAsia="Arial" w:hAnsi="Arial"/>
                <w:sz w:val="18"/>
                <w:szCs w:val="18"/>
                <w:color w:val="auto"/>
              </w:rPr>
              <w:t>1,008,634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1,045,225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1,809,534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5,348,554</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5,467,914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5,735,045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Capital structuring service fees</w:t>
            </w:r>
          </w:p>
        </w:tc>
        <w:tc>
          <w:tcPr>
            <w:tcW w:w="920" w:type="dxa"/>
            <w:vAlign w:val="bottom"/>
          </w:tcPr>
          <w:p>
            <w:pPr>
              <w:jc w:val="right"/>
              <w:spacing w:after="0"/>
              <w:rPr>
                <w:sz w:val="20"/>
                <w:szCs w:val="20"/>
                <w:color w:val="auto"/>
              </w:rPr>
            </w:pPr>
            <w:r>
              <w:rPr>
                <w:rFonts w:ascii="Arial" w:cs="Arial" w:eastAsia="Arial" w:hAnsi="Arial"/>
                <w:sz w:val="18"/>
                <w:szCs w:val="18"/>
                <w:color w:val="auto"/>
              </w:rPr>
              <w:t>366,859</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934,871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305,376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$ 45,526,971</w:t>
            </w:r>
          </w:p>
        </w:tc>
        <w:tc>
          <w:tcPr>
            <w:tcW w:w="12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$ 41,205,475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39,184,616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i w:val="1"/>
          <w:iCs w:val="1"/>
          <w:color w:val="auto"/>
        </w:rPr>
        <w:t>Interest from Investments in Debt Securities</w:t>
      </w:r>
      <w:r>
        <w:rPr>
          <w:rFonts w:ascii="Arial" w:cs="Arial" w:eastAsia="Arial" w:hAnsi="Arial"/>
          <w:sz w:val="16"/>
          <w:szCs w:val="16"/>
          <w:color w:val="auto"/>
        </w:rPr>
        <w:t>. We generate interest income from our investments in debt securities that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46" w:lineRule="exact"/>
        <w:rPr>
          <w:sz w:val="20"/>
          <w:szCs w:val="20"/>
          <w:color w:val="auto"/>
        </w:rPr>
      </w:pPr>
    </w:p>
    <w:p>
      <w:pPr>
        <w:ind w:left="60" w:right="519" w:firstLine="270"/>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(typically preferred 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200" w:lineRule="exact"/>
        <w:rPr>
          <w:sz w:val="20"/>
          <w:szCs w:val="20"/>
          <w:color w:val="auto"/>
        </w:rPr>
      </w:pPr>
    </w:p>
    <w:p>
      <w:pPr>
        <w:spacing w:after="0" w:line="30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 xml:space="preserve">Interest income on investments in CLO equity investments is recorded using the effective interest method in accordance with the provisions of ASC 325-40, </w:t>
      </w:r>
      <w:r>
        <w:rPr>
          <w:rFonts w:ascii="Arial" w:cs="Arial" w:eastAsia="Arial" w:hAnsi="Arial"/>
          <w:sz w:val="16"/>
          <w:szCs w:val="16"/>
          <w:i w:val="1"/>
          <w:iCs w:val="1"/>
          <w:color w:val="auto"/>
        </w:rPr>
        <w:t>Beneficial Interests in Securitized Financial Assets</w:t>
      </w:r>
      <w:r>
        <w:rPr>
          <w:rFonts w:ascii="Arial" w:cs="Arial" w:eastAsia="Arial" w:hAnsi="Arial"/>
          <w:sz w:val="16"/>
          <w:szCs w:val="16"/>
          <w:color w:val="auto"/>
        </w:rPr>
        <w:t xml:space="preserve">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58"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62"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which are wholly-owned 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years ended December 31, 2015 and 2014, the Asset Manager Affiliates received incentive fees from three and five funds, respectively.</w:t>
      </w:r>
    </w:p>
    <w:p>
      <w:pPr>
        <w:spacing w:after="0" w:line="80" w:lineRule="exact"/>
        <w:rPr>
          <w:sz w:val="20"/>
          <w:szCs w:val="20"/>
          <w:color w:val="auto"/>
        </w:rPr>
      </w:pPr>
    </w:p>
    <w:p>
      <w:pPr>
        <w:ind w:left="40" w:right="579" w:firstLine="270"/>
        <w:spacing w:after="0" w:line="284"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During the years ended December 31, 2015 and 2014, three and five CLO Funds have achieved the minimum investment return threshold and are paying the Asset Manager Affiliates incentive fees, respectively. The fair value of our investment in our Asset Manager Affiliates was approximately $57 million at December 31, 2015, with an unrealized loss for the year ending December 31, 2015 of approximately $11 million. For the years ended December 31, 2015, 2014, and 2013, we recognized dividend income of $5.3 million, $5.5 million and $5.7 million, from the Asset Manager Affiliates, respectively, while cash distributions received were approximately $9.1 million, $11.9 million and $12.8 million for those years,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assets under management by our Asset Manager Affiliates was $2.7 billion and $3.0 billion as of December 31, 2015 and 2014, respectively.</w:t>
      </w:r>
    </w:p>
    <w:p>
      <w:pPr>
        <w:spacing w:after="0" w:line="62"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or liquidation of debt and investment securities.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Investment income for the years ended December 31, 2015, 2014, and 2013 was approximately $46 million, $41 million, and $39 million, respectively. Of these amounts, approximately $24 million, $21 million and $14 million, respectively, was attributable to interest income on our Debt Securities Portfolio. Increases in interest income from 2013 to 2014 and 2014 to 2015 were due to higher yields and higher average invested assets stemming primarily from capital raising activities.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yield on debt securities portfolio was 7.4% and 7.3% as of December 31, 2015 and 2014, respectively.</w:t>
      </w:r>
    </w:p>
    <w:p>
      <w:pPr>
        <w:spacing w:after="0" w:line="140" w:lineRule="exact"/>
        <w:rPr>
          <w:sz w:val="20"/>
          <w:szCs w:val="20"/>
          <w:color w:val="auto"/>
        </w:rPr>
      </w:pPr>
    </w:p>
    <w:p>
      <w:pPr>
        <w:ind w:left="60" w:right="559" w:firstLine="270"/>
        <w:spacing w:after="0" w:line="279" w:lineRule="auto"/>
        <w:rPr>
          <w:sz w:val="20"/>
          <w:szCs w:val="20"/>
          <w:color w:val="auto"/>
        </w:rPr>
      </w:pPr>
      <w:r>
        <w:rPr>
          <w:rFonts w:ascii="Arial" w:cs="Arial" w:eastAsia="Arial" w:hAnsi="Arial"/>
          <w:sz w:val="17"/>
          <w:szCs w:val="17"/>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63" w:lineRule="exact"/>
        <w:rPr>
          <w:sz w:val="20"/>
          <w:szCs w:val="20"/>
          <w:color w:val="auto"/>
        </w:rPr>
      </w:pPr>
    </w:p>
    <w:p>
      <w:pPr>
        <w:ind w:left="60" w:right="599" w:firstLine="270"/>
        <w:spacing w:after="0" w:line="270" w:lineRule="auto"/>
        <w:rPr>
          <w:sz w:val="20"/>
          <w:szCs w:val="20"/>
          <w:color w:val="auto"/>
        </w:rPr>
      </w:pPr>
      <w:r>
        <w:rPr>
          <w:rFonts w:ascii="Arial" w:cs="Arial" w:eastAsia="Arial" w:hAnsi="Arial"/>
          <w:sz w:val="17"/>
          <w:szCs w:val="17"/>
          <w:color w:val="auto"/>
        </w:rPr>
        <w:t>For the years ended December 31, 2015, 2014, and 2013, approximately $15.7 million, $13.4 million and $19.2 million, respectively, of investment income was attributable to investments in CLO Fund Securities. On a tax-basis, the Company recognized $14.7 million, $19.4 million and $22.0 million of taxable distributable income on distributions from our CLO Fund Securities during the years ended December 31, 2015, 2014, and 2013,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42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Expenses:</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1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$ 11,727,880</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$ 11,538,179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10,116,271</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3,843,799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4,951,745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4,630,481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3,520,461</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2,614,479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2,191,305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980" w:type="dxa"/>
            <w:vAlign w:val="bottom"/>
          </w:tcPr>
          <w:p>
            <w:pPr>
              <w:jc w:val="right"/>
              <w:spacing w:after="0"/>
              <w:rPr>
                <w:sz w:val="20"/>
                <w:szCs w:val="20"/>
                <w:color w:val="auto"/>
              </w:rPr>
            </w:pPr>
            <w:r>
              <w:rPr>
                <w:rFonts w:ascii="Arial" w:cs="Arial" w:eastAsia="Arial" w:hAnsi="Arial"/>
                <w:sz w:val="18"/>
                <w:szCs w:val="18"/>
                <w:color w:val="auto"/>
              </w:rPr>
              <w:t>433,561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471,276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552,568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1,818,480</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1,819,876</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9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21,344,181</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21,084,907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19,310,501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79" w:lineRule="exact"/>
        <w:rPr>
          <w:sz w:val="20"/>
          <w:szCs w:val="20"/>
          <w:color w:val="auto"/>
        </w:rPr>
      </w:pPr>
    </w:p>
    <w:p>
      <w:pPr>
        <w:ind w:left="60" w:right="679" w:firstLine="270"/>
        <w:spacing w:after="0" w:line="312" w:lineRule="auto"/>
        <w:rPr>
          <w:sz w:val="20"/>
          <w:szCs w:val="20"/>
          <w:color w:val="auto"/>
        </w:rPr>
      </w:pPr>
      <w:r>
        <w:rPr>
          <w:rFonts w:ascii="Arial" w:cs="Arial" w:eastAsia="Arial" w:hAnsi="Arial"/>
          <w:sz w:val="16"/>
          <w:szCs w:val="16"/>
          <w:i w:val="1"/>
          <w:iCs w:val="1"/>
          <w:color w:val="auto"/>
        </w:rPr>
        <w:t>Interest and Amortization of Debt Issuance Costs</w:t>
      </w:r>
      <w:r>
        <w:rPr>
          <w:rFonts w:ascii="Arial" w:cs="Arial" w:eastAsia="Arial" w:hAnsi="Arial"/>
          <w:sz w:val="16"/>
          <w:szCs w:val="16"/>
          <w:color w:val="auto"/>
        </w:rPr>
        <w:t>. Interest expense is dependent on the average outstanding balance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and the base index rate for the period. Debt issuance costs represent fees and other direct costs incurred in connection with the Company’s borrowings. These amounts are capitalized and amortized ratably over the contractual term of the borrowing.</w:t>
      </w:r>
    </w:p>
    <w:p>
      <w:pPr>
        <w:spacing w:after="0" w:line="200" w:lineRule="exact"/>
        <w:rPr>
          <w:sz w:val="20"/>
          <w:szCs w:val="20"/>
          <w:color w:val="auto"/>
        </w:rPr>
      </w:pPr>
    </w:p>
    <w:p>
      <w:pPr>
        <w:spacing w:after="0" w:line="2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79" w:firstLine="270"/>
        <w:spacing w:after="0" w:line="273" w:lineRule="auto"/>
        <w:rPr>
          <w:sz w:val="20"/>
          <w:szCs w:val="20"/>
          <w:color w:val="auto"/>
        </w:rPr>
      </w:pPr>
      <w:r>
        <w:rPr>
          <w:rFonts w:ascii="Arial" w:cs="Arial" w:eastAsia="Arial" w:hAnsi="Arial"/>
          <w:sz w:val="17"/>
          <w:szCs w:val="17"/>
          <w:i w:val="1"/>
          <w:iCs w:val="1"/>
          <w:color w:val="auto"/>
        </w:rPr>
        <w:t xml:space="preserve">Compensation Expense. </w:t>
      </w:r>
      <w:r>
        <w:rPr>
          <w:rFonts w:ascii="Arial" w:cs="Arial" w:eastAsia="Arial" w:hAnsi="Arial"/>
          <w:sz w:val="17"/>
          <w:szCs w:val="17"/>
          <w:color w:val="auto"/>
        </w:rPr>
        <w:t>Compensation expense includes base salaries, bonuses, stock compensation, employee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employer-related payroll 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70" w:lineRule="exact"/>
        <w:rPr>
          <w:sz w:val="20"/>
          <w:szCs w:val="20"/>
          <w:color w:val="auto"/>
        </w:rPr>
      </w:pPr>
    </w:p>
    <w:p>
      <w:pPr>
        <w:ind w:left="60" w:right="519" w:firstLine="270"/>
        <w:spacing w:after="0" w:line="342" w:lineRule="auto"/>
        <w:rPr>
          <w:sz w:val="20"/>
          <w:szCs w:val="20"/>
          <w:color w:val="auto"/>
        </w:rPr>
      </w:pPr>
      <w:r>
        <w:rPr>
          <w:rFonts w:ascii="Arial" w:cs="Arial" w:eastAsia="Arial" w:hAnsi="Arial"/>
          <w:sz w:val="16"/>
          <w:szCs w:val="16"/>
          <w:i w:val="1"/>
          <w:iCs w:val="1"/>
          <w:color w:val="auto"/>
        </w:rPr>
        <w:t xml:space="preserve">Professional Fees and General and Administrative Expenses. </w:t>
      </w:r>
      <w:r>
        <w:rPr>
          <w:rFonts w:ascii="Arial" w:cs="Arial" w:eastAsia="Arial" w:hAnsi="Arial"/>
          <w:sz w:val="16"/>
          <w:szCs w:val="16"/>
          <w:color w:val="auto"/>
        </w:rPr>
        <w:t>The balance of our expenses includes professional fees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legal, accounting, valuation and other professional services), occupancy costs and general administrative and other costs.</w:t>
      </w:r>
    </w:p>
    <w:p>
      <w:pPr>
        <w:spacing w:after="0" w:line="16" w:lineRule="exact"/>
        <w:rPr>
          <w:sz w:val="20"/>
          <w:szCs w:val="20"/>
          <w:color w:val="auto"/>
        </w:rPr>
      </w:pPr>
    </w:p>
    <w:p>
      <w:pPr>
        <w:jc w:val="both"/>
        <w:ind w:left="60" w:right="659" w:firstLine="270"/>
        <w:spacing w:after="0" w:line="312" w:lineRule="auto"/>
        <w:rPr>
          <w:sz w:val="20"/>
          <w:szCs w:val="20"/>
          <w:color w:val="auto"/>
        </w:rPr>
      </w:pPr>
      <w:r>
        <w:rPr>
          <w:rFonts w:ascii="Arial" w:cs="Arial" w:eastAsia="Arial" w:hAnsi="Arial"/>
          <w:sz w:val="16"/>
          <w:szCs w:val="16"/>
          <w:color w:val="auto"/>
        </w:rPr>
        <w:t>Total expenses for the years ended December 31, 2015, 2014, and 2013 were approximately $21 million, $21 million, and $19 million, respectively. Interest expense and amortization on debt issuance costs for the period was approximately $12 million, $12 million, and $10 million, respectively, on average debt outstanding of $224 million, $197 million, and $151 million, respectively.</w:t>
      </w:r>
    </w:p>
    <w:p>
      <w:pPr>
        <w:spacing w:after="0" w:line="39"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For the years ended December 31, 2015, 2014, and 2013, approximately $3.8 million, $5.0 million, and $4.6 million, respectively, of expenses were attributable to employee compensation, including salaries, bonuses, employee benefits, payroll taxes and stock-based compensation expense. For the years ended December 31, 2015, 2014, and 2013, professional fees and insurance expenses totaled approximately $4.0 million, $3.1 million and $2.7 million, respectively. Administrative costs, which include occupancy expense, technology and other office expenses, totaled approximately $1.8 million, $1.5 million and $1.8 million for the years ended December 31, 2015, 2014, and 2013,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left="60" w:right="639" w:firstLine="270"/>
        <w:spacing w:after="0" w:line="255" w:lineRule="auto"/>
        <w:rPr>
          <w:sz w:val="20"/>
          <w:szCs w:val="20"/>
          <w:color w:val="auto"/>
        </w:rPr>
      </w:pPr>
      <w:r>
        <w:rPr>
          <w:rFonts w:ascii="Arial" w:cs="Arial" w:eastAsia="Arial" w:hAnsi="Arial"/>
          <w:sz w:val="18"/>
          <w:szCs w:val="18"/>
          <w:color w:val="auto"/>
        </w:rPr>
        <w:t>Net investment income and net realized gains (losses) represents the stockholder’s equity before net unrealized appreciation or depreciation on investments. For the year ended December 31, 2015, net investment income and net realized losses (including realized losses on extinguishment of debt) were approximately $18 million, or $0.47 per basic share. Net investment income represents the income earned on our investments less operating and interest expense before net realized gains or losses and unrealized appreciation or depreciation on investments. For the year ended December 31, 2015, GAAP-basis net investment income was approximately $24 million, or $0.65 per basic share, while tax-basis distributable income was approximately $23.3 million or $0.63 per share.</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60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(Losses) On Investments:</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Net change in unrealized appreciation (depreciation) on: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$(10,748,262)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5,641,403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14,956,103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7,040,155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2,605,586</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(12,990,404)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(11,584,257)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(11,195,901)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2,884,109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(2,093,360)</w:t>
            </w:r>
          </w:p>
        </w:tc>
        <w:tc>
          <w:tcPr>
            <w:tcW w:w="0" w:type="dxa"/>
            <w:vAlign w:val="bottom"/>
          </w:tcPr>
          <w:p>
            <w:pPr>
              <w:spacing w:after="0"/>
              <w:rPr>
                <w:sz w:val="1"/>
                <w:szCs w:val="1"/>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(11,243,554)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2,064,107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5,703,743</w:t>
            </w: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net unrealized (loss) gain from investment</w:t>
            </w: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(36,169,870)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6,045,517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9,976,171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During the year ended December 31, 2015, our total investments had net unrealized depreciation of approximately $36 million. Included in the net unrealized loss in 2015 are unrealized depreciation on CLO Fund Securities of approximately $14 million and unrealized depreciation of the Asset Manager Affiliates of $11 million, as well as unrealized depreciation on our debt securities of $11 million and equity securities of approximately $210,000. During the year ended December 31, 2014, our total investments had net unrealized appreciation of approximately $6 million, including net unrealized losses of approximately $9 million on CLO Fund Securities, offset by net unrealized gains on debt securities of approximately $6 million, net unrealized</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59"/>
        <w:spacing w:after="0" w:line="257" w:lineRule="auto"/>
        <w:rPr>
          <w:sz w:val="20"/>
          <w:szCs w:val="20"/>
          <w:color w:val="auto"/>
        </w:rPr>
      </w:pPr>
      <w:r>
        <w:rPr>
          <w:rFonts w:ascii="Arial" w:cs="Arial" w:eastAsia="Arial" w:hAnsi="Arial"/>
          <w:sz w:val="18"/>
          <w:szCs w:val="18"/>
          <w:color w:val="auto"/>
        </w:rPr>
        <w:t>gains of the Asset Manager Affiliates of approximately $2.1 million, and net unrealized gains on equity securities of $7 million. During the year ended December 31, 2013, our total investments had net unrealized appreciation of $10 million, including approximately $15 million of unrealized gains on debt securities, approximately $2.6 million of unrealized gains on equity securities, and approximately $5.7 million of unrealized gains on the Asset Manager Affiliates investments, offset by net unrealized losses of approximately $13 million related to CLO Fund Securities.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left="60" w:right="719" w:firstLine="270"/>
        <w:spacing w:after="0" w:line="302" w:lineRule="auto"/>
        <w:rPr>
          <w:sz w:val="20"/>
          <w:szCs w:val="20"/>
          <w:color w:val="auto"/>
        </w:rPr>
      </w:pPr>
      <w:r>
        <w:rPr>
          <w:rFonts w:ascii="Arial" w:cs="Arial" w:eastAsia="Arial" w:hAnsi="Arial"/>
          <w:sz w:val="16"/>
          <w:szCs w:val="16"/>
          <w:color w:val="auto"/>
        </w:rPr>
        <w:t>The net decrease in stockholders’ equity resulting from operations for the year ended December 31, 2015 was approximately $19 million, or $0.50 per basic share. Net increase in stockholders’ equity resulting from operations for the year ended December 31, 2014 was approximately $15 million, or $0.44 per basic share, and the net increase in stockholders’ equity resulting from operations for the year ended December 31, 2013 was approximately $17 million, or $0.53 per share.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December 31, 2014 the fair value of investments and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Investments at Fair Value</w:t>
            </w:r>
          </w:p>
        </w:tc>
        <w:tc>
          <w:tcPr>
            <w:tcW w:w="0" w:type="dxa"/>
            <w:vAlign w:val="bottom"/>
          </w:tcPr>
          <w:p>
            <w:pPr>
              <w:spacing w:after="0"/>
              <w:rPr>
                <w:sz w:val="1"/>
                <w:szCs w:val="1"/>
                <w:color w:val="auto"/>
              </w:rPr>
            </w:pPr>
          </w:p>
        </w:tc>
      </w:tr>
      <w:tr>
        <w:trPr>
          <w:trHeight w:val="119"/>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2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Senior Secured Loan</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194,123,223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218,329,860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Junior Secured Loan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37,591,900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38,569,005</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Senior Unsecured Loan</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33,066,984</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Lien Bond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2,580,000</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Senior Subordinated Bond</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4,615,569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4,240,301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Bond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10,551,724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11,386,218</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Senior Secured Bond</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1,503,755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1,552,500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55,872,382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77,514,902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9,548,488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8,119,681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11,036,373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10,418,302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Asset Manager Affiliates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57,381,000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409,570,495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480,927,292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December 31, 2015, we had approximately $208 million of par value of outstanding borrowings and our asset coverage ratio of total assets to total borrowings was 202%, compliant with the minimum asset coverage level of 200% generally required for a BDC by the 1940 Act. We may also borrow amounts of up to 5% of the value of our total assets for temporary purposes.</w:t>
      </w:r>
    </w:p>
    <w:p>
      <w:pPr>
        <w:spacing w:after="0" w:line="8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79"/>
        <w:spacing w:after="0" w:line="276" w:lineRule="auto"/>
        <w:rPr>
          <w:sz w:val="20"/>
          <w:szCs w:val="20"/>
          <w:color w:val="auto"/>
        </w:rPr>
      </w:pPr>
      <w:r>
        <w:rPr>
          <w:rFonts w:ascii="Arial" w:cs="Arial" w:eastAsia="Arial" w:hAnsi="Arial"/>
          <w:sz w:val="17"/>
          <w:szCs w:val="17"/>
          <w:color w:val="auto"/>
        </w:rPr>
        <w:t>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64"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The Convertible Notes are convertible into shares of the Company’s common stock. As of December 31, 2015, the conversion rate was 135.5441 shares of common stock per $1,000 principal amount of Convertible Notes, which is equivalent to a conversion price of approximately $7.38 per share of common stock. The conversion rate is subject to adjustment upon certain events. Upon conversion, the Company would issue the full amount of common stock or settle the conversion in cash, at its option, and retire the full amount of debt outstanding.</w:t>
      </w:r>
    </w:p>
    <w:p>
      <w:pPr>
        <w:spacing w:after="0" w:line="80" w:lineRule="exact"/>
        <w:rPr>
          <w:sz w:val="20"/>
          <w:szCs w:val="20"/>
          <w:color w:val="auto"/>
        </w:rPr>
      </w:pPr>
    </w:p>
    <w:p>
      <w:pPr>
        <w:jc w:val="both"/>
        <w:ind w:left="40" w:right="619" w:firstLine="270"/>
        <w:spacing w:after="0" w:line="285" w:lineRule="auto"/>
        <w:rPr>
          <w:sz w:val="20"/>
          <w:szCs w:val="20"/>
          <w:color w:val="auto"/>
        </w:rPr>
      </w:pPr>
      <w:r>
        <w:rPr>
          <w:rFonts w:ascii="Arial" w:cs="Arial" w:eastAsia="Arial" w:hAnsi="Arial"/>
          <w:sz w:val="16"/>
          <w:szCs w:val="16"/>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During 2015 the Company repurchased approximately $19.3 million of Convertible Notes at prices ranging between $101.5 to $102.375. KCAP subsequently surrendered these notes to the trustee for cancellation.</w:t>
      </w:r>
    </w:p>
    <w:p>
      <w:pPr>
        <w:spacing w:after="0" w:line="2" w:lineRule="exact"/>
        <w:rPr>
          <w:sz w:val="20"/>
          <w:szCs w:val="20"/>
          <w:color w:val="auto"/>
        </w:rPr>
      </w:pPr>
    </w:p>
    <w:p>
      <w:pPr>
        <w:ind w:left="40" w:right="579"/>
        <w:spacing w:after="0" w:line="252" w:lineRule="auto"/>
        <w:rPr>
          <w:sz w:val="20"/>
          <w:szCs w:val="20"/>
          <w:color w:val="auto"/>
        </w:rPr>
      </w:pPr>
      <w:r>
        <w:rPr>
          <w:rFonts w:ascii="Arial" w:cs="Arial" w:eastAsia="Arial" w:hAnsi="Arial"/>
          <w:sz w:val="18"/>
          <w:szCs w:val="18"/>
          <w:color w:val="auto"/>
        </w:rPr>
        <w:t>Due to the cash conversion option embedded in the Convertible Notes, the Company applied the guidance in ASC 470-40-20, Debt with Conversion and Other Options, and realized a loss on the extinguishment of this debt. For the year ended December 31, 2015 total realized losses on extinguishment of debt were approximately $445,000. The indenture governing the Convertible Notes contains certain restrictive covenants, including compliance with certain provisions of the 1940 Act and conditions governing the undertaking of new debt. As of December 31, 2015, there is approximately $19.3 million par value of Convertible Notes outstanding with a maturity date of March 15, 2016.</w:t>
      </w:r>
    </w:p>
    <w:p>
      <w:pPr>
        <w:spacing w:after="0" w:line="86"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In early March 2016, the Company had sufficient liquid resources available to satisfy its obligation under the Convertible Notes due March 15, 2016.</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December 31, 2015,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87"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December 31, 2015 and 2014, these junior notes eliminate in consolidation and the remaining notes with a par value of $147.4 million are reflected on our consolidated balance sheet, net of $2.9 million and $3.5 million of unamortized discount, respectively.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839" w:firstLine="270"/>
        <w:spacing w:after="0" w:line="264"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73" w:lineRule="exact"/>
        <w:rPr>
          <w:sz w:val="20"/>
          <w:szCs w:val="20"/>
          <w:color w:val="auto"/>
        </w:rPr>
      </w:pPr>
    </w:p>
    <w:p>
      <w:pPr>
        <w:ind w:left="60" w:right="599" w:firstLine="270"/>
        <w:spacing w:after="0" w:line="289"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new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Distributions</w:t>
      </w:r>
    </w:p>
    <w:p>
      <w:pPr>
        <w:spacing w:after="0" w:line="121"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62" w:lineRule="exact"/>
        <w:rPr>
          <w:sz w:val="20"/>
          <w:szCs w:val="20"/>
          <w:color w:val="auto"/>
        </w:rPr>
      </w:pPr>
    </w:p>
    <w:p>
      <w:pPr>
        <w:ind w:left="620" w:hanging="32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17" w:lineRule="exact"/>
        <w:rPr>
          <w:rFonts w:ascii="Arial" w:cs="Arial" w:eastAsia="Arial" w:hAnsi="Arial"/>
          <w:sz w:val="18"/>
          <w:szCs w:val="18"/>
          <w:color w:val="auto"/>
        </w:rPr>
      </w:pPr>
    </w:p>
    <w:p>
      <w:pPr>
        <w:ind w:left="620" w:right="719" w:hanging="322"/>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62" w:lineRule="exact"/>
        <w:rPr>
          <w:rFonts w:ascii="Arial" w:cs="Arial" w:eastAsia="Arial" w:hAnsi="Arial"/>
          <w:sz w:val="18"/>
          <w:szCs w:val="18"/>
          <w:color w:val="auto"/>
        </w:rPr>
      </w:pPr>
    </w:p>
    <w:p>
      <w:pPr>
        <w:ind w:left="620" w:right="999" w:hanging="322"/>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62" w:lineRule="exact"/>
        <w:rPr>
          <w:sz w:val="20"/>
          <w:szCs w:val="20"/>
          <w:color w:val="auto"/>
        </w:rPr>
      </w:pPr>
    </w:p>
    <w:p>
      <w:pPr>
        <w:ind w:left="60" w:right="939" w:firstLine="270"/>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62" w:lineRule="exact"/>
        <w:rPr>
          <w:sz w:val="20"/>
          <w:szCs w:val="20"/>
          <w:color w:val="auto"/>
        </w:rPr>
      </w:pPr>
    </w:p>
    <w:p>
      <w:pPr>
        <w:ind w:left="60" w:right="1059" w:firstLine="270"/>
        <w:spacing w:after="0" w:line="342" w:lineRule="auto"/>
        <w:rPr>
          <w:sz w:val="20"/>
          <w:szCs w:val="20"/>
          <w:color w:val="auto"/>
        </w:rPr>
      </w:pPr>
      <w:r>
        <w:rPr>
          <w:rFonts w:ascii="Arial" w:cs="Arial" w:eastAsia="Arial" w:hAnsi="Arial"/>
          <w:sz w:val="16"/>
          <w:szCs w:val="16"/>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6"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if our asset coverage, as defined in the 1940 Act, falls below 200%. In any such event, we would be prohibited from making distributions required in order to maintain our status as a RIC.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Declaration</w:t>
            </w:r>
          </w:p>
        </w:tc>
        <w:tc>
          <w:tcPr>
            <w:tcW w:w="180" w:type="dxa"/>
            <w:vAlign w:val="bottom"/>
          </w:tcPr>
          <w:p>
            <w:pPr>
              <w:spacing w:after="0"/>
              <w:rPr>
                <w:sz w:val="14"/>
                <w:szCs w:val="1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12/16/2015</w:t>
            </w:r>
          </w:p>
        </w:tc>
        <w:tc>
          <w:tcPr>
            <w:tcW w:w="13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1/6/2016</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9/22/2015</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10/14/2015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6/23/2015</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7/6/2015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3/24/2015</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4/6/2015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Total declared in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12/17/2014</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12/29/2014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9/19/2014</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10/14/2014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6/20/2014</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7/3/2014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3/21/2014</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4/4/2014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Total declared in 2014</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the record date of this distribution is in 2016, it is a 2016 tax event.</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500" w:type="dxa"/>
            <w:vAlign w:val="bottom"/>
            <w:gridSpan w:val="3"/>
            <w:vMerge w:val="restart"/>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b w:val="1"/>
                <w:bCs w:val="1"/>
                <w:color w:val="auto"/>
                <w:w w:val="89"/>
              </w:rPr>
              <w:t>2015</w:t>
            </w:r>
            <w:r>
              <w:rPr>
                <w:rFonts w:ascii="Arial" w:cs="Arial" w:eastAsia="Arial" w:hAnsi="Arial"/>
                <w:sz w:val="22"/>
                <w:szCs w:val="22"/>
                <w:b w:val="1"/>
                <w:bCs w:val="1"/>
                <w:color w:val="auto"/>
                <w:w w:val="89"/>
                <w:vertAlign w:val="superscript"/>
              </w:rPr>
              <w:t>(1)</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22"/>
                <w:szCs w:val="22"/>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 Accounting Difference on CLO Equity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Other tax accounting differences</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Taxable distributable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55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6"/>
              </w:rPr>
              <w:t>Cash distributed to the Company by Asset Manager Affiliates in excess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of their taxable earnings</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gridSpan w:val="3"/>
            <w:shd w:val="clear" w:color="auto" w:fill="CCEEFF"/>
          </w:tcPr>
          <w:p>
            <w:pPr>
              <w:ind w:left="20"/>
              <w:spacing w:after="0" w:line="251" w:lineRule="exact"/>
              <w:rPr>
                <w:sz w:val="20"/>
                <w:szCs w:val="20"/>
                <w:color w:val="auto"/>
              </w:rPr>
            </w:pPr>
            <w:r>
              <w:rPr>
                <w:rFonts w:ascii="Arial" w:cs="Arial" w:eastAsia="Arial" w:hAnsi="Arial"/>
                <w:sz w:val="18"/>
                <w:szCs w:val="18"/>
                <w:color w:val="auto"/>
              </w:rPr>
              <w:t>Available for distribution</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Distributed</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Difference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50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117" w:lineRule="exact"/>
        <w:rPr>
          <w:rFonts w:ascii="Arial" w:cs="Arial" w:eastAsia="Arial" w:hAnsi="Arial"/>
          <w:sz w:val="18"/>
          <w:szCs w:val="18"/>
          <w:color w:val="auto"/>
        </w:rPr>
      </w:pPr>
    </w:p>
    <w:p>
      <w:pPr>
        <w:ind w:left="300" w:right="559" w:hanging="272"/>
        <w:spacing w:after="0" w:line="25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$0.10 and $0.19 per share of cash distributed to the Company by the Asset Manager Affiliates in excess of their taxable earnings is subtracted from the “Available for distribution” financial measure for the year-ended December 31, 2015 and 2014, respectively. The Company’s management believes that the presentation of the non-GAAP “Available for distribution” financial measure provides useful information to investors.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December 31, 2015 and December 31, 2014, the Company had $360,000 and $0 outstanding commitments to make such investments, respectively.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contractual cash obligations and other commercial commitments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968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ind w:left="82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one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$ 208,049,000</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7"/>
              </w:rPr>
              <w:t>$ 19,299,000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41,400,000</w:t>
            </w:r>
          </w:p>
        </w:tc>
        <w:tc>
          <w:tcPr>
            <w:tcW w:w="1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147,350,000</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739" w:firstLine="270"/>
        <w:spacing w:after="0" w:line="273"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6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70"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62"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6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40" w:right="879" w:firstLine="270"/>
        <w:spacing w:after="0" w:line="264" w:lineRule="auto"/>
        <w:rPr>
          <w:sz w:val="20"/>
          <w:szCs w:val="20"/>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80"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2"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7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67"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5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1" w:lineRule="auto"/>
        <w:rPr>
          <w:sz w:val="20"/>
          <w:szCs w:val="20"/>
          <w:color w:val="auto"/>
        </w:rPr>
      </w:pPr>
      <w:r>
        <w:rPr>
          <w:rFonts w:ascii="Arial" w:cs="Arial" w:eastAsia="Arial" w:hAnsi="Arial"/>
          <w:sz w:val="17"/>
          <w:szCs w:val="17"/>
          <w:color w:val="auto"/>
        </w:rPr>
        <w:t>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79"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46"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Our Board of Directors may consider other methods of valuation to determine the fair value of investments as appropriate in conformity with GAAP.</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December 31, 2015, there was one issuer (representing less than 1% of our total investments at fair value) was on non-accrual status. As of December 31, 2014, there was one issuers (representing less than 1% of our total investments at fair value) was on non-accrual status.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 on CLO Fund Securities</w:t>
      </w:r>
    </w:p>
    <w:p>
      <w:pPr>
        <w:spacing w:after="0" w:line="12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the failure of CLO Funds in which we invest to comply with certain financial covenants may lead to the temporary suspension or deferral of cash distributions to us.</w:t>
      </w:r>
    </w:p>
    <w:p>
      <w:pPr>
        <w:spacing w:after="0" w:line="6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5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 from Asset Manager Affiliates</w:t>
      </w:r>
    </w:p>
    <w:p>
      <w:pPr>
        <w:spacing w:after="0" w:line="121" w:lineRule="exact"/>
        <w:rPr>
          <w:sz w:val="20"/>
          <w:szCs w:val="20"/>
          <w:color w:val="auto"/>
        </w:rPr>
      </w:pPr>
    </w:p>
    <w:p>
      <w:pPr>
        <w:ind w:left="40" w:right="739" w:firstLine="270"/>
        <w:spacing w:after="0" w:line="291" w:lineRule="auto"/>
        <w:rPr>
          <w:sz w:val="20"/>
          <w:szCs w:val="20"/>
          <w:color w:val="auto"/>
        </w:rPr>
      </w:pPr>
      <w:r>
        <w:rPr>
          <w:rFonts w:ascii="Arial" w:cs="Arial" w:eastAsia="Arial" w:hAnsi="Arial"/>
          <w:sz w:val="16"/>
          <w:szCs w:val="16"/>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Payment-in-Kind Interest</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jc w:val="both"/>
        <w:ind w:left="40" w:right="739" w:firstLine="270"/>
        <w:spacing w:after="0" w:line="276" w:lineRule="auto"/>
        <w:rPr>
          <w:sz w:val="20"/>
          <w:szCs w:val="20"/>
          <w:color w:val="auto"/>
        </w:rPr>
      </w:pPr>
      <w:r>
        <w:rPr>
          <w:rFonts w:ascii="Arial" w:cs="Arial" w:eastAsia="Arial" w:hAnsi="Arial"/>
          <w:sz w:val="17"/>
          <w:szCs w:val="17"/>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 During the year ended December 31, 2015, the Board of Directors approved a grant of restricted stock to officers and employees comprised of 190,166 shares of restricted stock with an aggregate fair value of approximately $1.2 million on the date of grant.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 to Shareholders</w:t>
      </w:r>
    </w:p>
    <w:p>
      <w:pPr>
        <w:spacing w:after="0" w:line="121" w:lineRule="exact"/>
        <w:rPr>
          <w:sz w:val="20"/>
          <w:szCs w:val="20"/>
          <w:color w:val="auto"/>
        </w:rPr>
      </w:pPr>
    </w:p>
    <w:p>
      <w:pPr>
        <w:ind w:left="60" w:right="999" w:firstLine="270"/>
        <w:spacing w:after="0" w:line="264"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out is determined by the Board of Directors each quarter and is generally based upon the earnings estimated by management for the period and year.</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2 to the financial statements included in this annual report, for a description of recent accounting pronouncements.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60" w:right="739" w:firstLine="270"/>
        <w:spacing w:after="0" w:line="257"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5" w:lineRule="exact"/>
        <w:rPr>
          <w:sz w:val="20"/>
          <w:szCs w:val="20"/>
          <w:color w:val="auto"/>
        </w:rPr>
      </w:pPr>
    </w:p>
    <w:p>
      <w:pPr>
        <w:ind w:left="60" w:right="599" w:firstLine="270"/>
        <w:spacing w:after="0" w:line="297"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December 31, 2015, approximately 97% of our Debt Securities Portfolio were either fixed rate or floating rate with a spread to an interest rate index such as LIBOR or the prime rate. Most of these floating rate loans contain LIBOR floors ranging between 0.75% and 3.0%. We generally expect that future portfolio investments will predominately be floating rate investments. As of December 31, 2015, we had $208 million of borrowings outstanding at a current weighted average rate of 4.08%.</w:t>
      </w:r>
    </w:p>
    <w:p>
      <w:pPr>
        <w:spacing w:after="0" w:line="50" w:lineRule="exact"/>
        <w:rPr>
          <w:sz w:val="20"/>
          <w:szCs w:val="20"/>
          <w:color w:val="auto"/>
        </w:rPr>
      </w:pPr>
    </w:p>
    <w:p>
      <w:pPr>
        <w:ind w:left="60" w:right="779" w:firstLine="270"/>
        <w:spacing w:after="0" w:line="288"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Convertible Notes or 7.375% Notes Due 2019 would remain the same at 8.75% and</w:t>
      </w:r>
    </w:p>
    <w:p>
      <w:pPr>
        <w:ind w:left="60" w:right="579"/>
        <w:spacing w:after="0" w:line="255" w:lineRule="auto"/>
        <w:rPr>
          <w:sz w:val="20"/>
          <w:szCs w:val="20"/>
          <w:color w:val="auto"/>
        </w:rPr>
      </w:pPr>
      <w:r>
        <w:rPr>
          <w:rFonts w:ascii="Arial" w:cs="Arial" w:eastAsia="Arial" w:hAnsi="Arial"/>
          <w:sz w:val="18"/>
          <w:szCs w:val="18"/>
          <w:color w:val="auto"/>
        </w:rPr>
        <w:t>7.375%, respectively,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82" w:lineRule="exact"/>
        <w:rPr>
          <w:sz w:val="20"/>
          <w:szCs w:val="20"/>
          <w:color w:val="auto"/>
        </w:rPr>
      </w:pPr>
    </w:p>
    <w:p>
      <w:pPr>
        <w:ind w:left="60" w:right="639" w:firstLine="270"/>
        <w:spacing w:after="0" w:line="312" w:lineRule="auto"/>
        <w:rPr>
          <w:sz w:val="20"/>
          <w:szCs w:val="20"/>
          <w:color w:val="auto"/>
        </w:rPr>
      </w:pPr>
      <w:r>
        <w:rPr>
          <w:rFonts w:ascii="Arial" w:cs="Arial" w:eastAsia="Arial" w:hAnsi="Arial"/>
          <w:sz w:val="16"/>
          <w:szCs w:val="16"/>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9"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December 31, 2015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25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05"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Impact on net investment income</w:t>
      </w:r>
    </w:p>
    <w:p>
      <w:pPr>
        <w:spacing w:after="0" w:line="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from a change in interest rates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-3175</wp:posOffset>
            </wp:positionV>
            <wp:extent cx="19551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Increase in interest rate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(171,611)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577,955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1,327,520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8"/>
              </w:rPr>
              <w:t>458,184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458,184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As shown above, net investment income assuming a 1% increase in interest rates would decrease by approximately $172,000 on an annualized basis, reflecting the impact to investments in our portfolio that are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$578,000 and $1.3 million, respectively. Since LIBOR underlying certain investments, as well as certain of our borrowings, is currently low, it is unlikely that the underlying rate will decrease by 1% or 2% or even 3%. If the underlying rate decreased to 0%, it would result in approximately a $458,000 increase in net investment income.</w:t>
      </w:r>
    </w:p>
    <w:p>
      <w:pPr>
        <w:spacing w:after="0" w:line="85" w:lineRule="exact"/>
        <w:rPr>
          <w:sz w:val="20"/>
          <w:szCs w:val="20"/>
          <w:color w:val="auto"/>
        </w:rPr>
      </w:pPr>
    </w:p>
    <w:p>
      <w:pPr>
        <w:ind w:left="40" w:right="599" w:firstLine="270"/>
        <w:spacing w:after="0" w:line="302" w:lineRule="auto"/>
        <w:rPr>
          <w:sz w:val="20"/>
          <w:szCs w:val="20"/>
          <w:color w:val="auto"/>
        </w:rPr>
      </w:pPr>
      <w:r>
        <w:rPr>
          <w:rFonts w:ascii="Arial" w:cs="Arial" w:eastAsia="Arial" w:hAnsi="Arial"/>
          <w:sz w:val="16"/>
          <w:szCs w:val="16"/>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hold any derivative financial instruments for hedging purposes as of December 31, 2015.</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Portfolio Valuation</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Our financial statements are annexed to this Annual Report beginning on page F-</w:t>
      </w:r>
      <w:hyperlink w:anchor="page77">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Controls and Procedures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management is responsible for establishing and maintaining adequate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i w:val="1"/>
          <w:iCs w:val="1"/>
          <w:color w:val="auto"/>
        </w:rPr>
        <w:t xml:space="preserve">Scope of Management’s Report on Internal Control Over Financial Reporting. </w:t>
      </w:r>
      <w:r>
        <w:rPr>
          <w:rFonts w:ascii="Arial" w:cs="Arial" w:eastAsia="Arial" w:hAnsi="Arial"/>
          <w:sz w:val="18"/>
          <w:szCs w:val="18"/>
          <w:color w:val="auto"/>
        </w:rPr>
        <w:t>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includes those policies and procedures that:</w:t>
      </w:r>
    </w:p>
    <w:p>
      <w:pPr>
        <w:spacing w:after="0" w:line="62" w:lineRule="exact"/>
        <w:rPr>
          <w:sz w:val="20"/>
          <w:szCs w:val="20"/>
          <w:color w:val="auto"/>
        </w:rPr>
      </w:pPr>
    </w:p>
    <w:p>
      <w:pPr>
        <w:ind w:left="600" w:right="61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38" w:lineRule="exact"/>
        <w:rPr>
          <w:rFonts w:ascii="Arial" w:cs="Arial" w:eastAsia="Arial" w:hAnsi="Arial"/>
          <w:sz w:val="16"/>
          <w:szCs w:val="16"/>
          <w:color w:val="auto"/>
        </w:rPr>
      </w:pPr>
    </w:p>
    <w:p>
      <w:pPr>
        <w:ind w:left="600" w:right="579" w:hanging="32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i w:val="1"/>
          <w:iCs w:val="1"/>
          <w:color w:val="auto"/>
        </w:rPr>
        <w:t xml:space="preserve">Conclusion. </w:t>
      </w:r>
      <w:r>
        <w:rPr>
          <w:rFonts w:ascii="Arial" w:cs="Arial" w:eastAsia="Arial" w:hAnsi="Arial"/>
          <w:sz w:val="17"/>
          <w:szCs w:val="17"/>
          <w:color w:val="auto"/>
        </w:rPr>
        <w:t>Management, including the Company’s CEO and CFO, assessed the effectiveness of the Company’s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as of December 31, 2015.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December 31, 2015.</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7"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Company’s independent registered public accounting firm has audited and issued a report on the Company’s internal control over financial reporting, which appears in Item 15 of this report.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since our last Quarterly Report filed on Form 10-Q for the period ended September 30, 2015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information required by this item will be contained in the Proxy Statement under the headings “Proposal 1: Election of Directors,” “Control Persons and Principal Stockholders” and “Corporate Governance Principles and Director Information”, to be filed with the Securities and Exchange Commission on or prior to April 30, 2016, and is incorporated herein by reference.</w:t>
      </w:r>
    </w:p>
    <w:p>
      <w:pPr>
        <w:spacing w:after="0" w:line="39"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7"/>
          <w:szCs w:val="17"/>
          <w:color w:val="auto"/>
        </w:rPr>
        <w:t xml:space="preserve">We have adopted a Sarbanes-Oxley Code of Ethics that applies to directors, officers and employees of the Company. This code of ethics is published on our website at </w:t>
      </w:r>
      <w:r>
        <w:rPr>
          <w:rFonts w:ascii="Arial" w:cs="Arial" w:eastAsia="Arial" w:hAnsi="Arial"/>
          <w:sz w:val="17"/>
          <w:szCs w:val="17"/>
          <w:i w:val="1"/>
          <w:iCs w:val="1"/>
          <w:color w:val="auto"/>
        </w:rPr>
        <w:t>www.kcapfinancial.com</w:t>
      </w:r>
      <w:r>
        <w:rPr>
          <w:rFonts w:ascii="Arial" w:cs="Arial" w:eastAsia="Arial" w:hAnsi="Arial"/>
          <w:sz w:val="17"/>
          <w:szCs w:val="17"/>
          <w:color w:val="auto"/>
        </w:rPr>
        <w:t>. We intend to disclose any future amendments to, or waivers from, this code of ethics within four business days of the waiver or amendment through a website posting.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The information required by this item will be contained in the Proxy Statement under the headings “Proposal 1: Election of Directors,” “Executive Compensation,” “Compensation Committee Interlocks and Insider Participation” and “Compensation Committee Report”, to be filed with the Securities and Exchange Commission on or prior to April 30, 2016, and is incorporated herein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“Control Persons and Principal Stockholders”, to be filed with the Securities and Exchange Commission on or prior to April 30, 2016, and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“Transactions with Related Persons” and “Proposal 1: Election of Directors”, to be filed with the Securities and Exchange Commission on or prior to April 30, 2016, and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 “Proposal 2: Ratification of Independent Registered Public Accounting Firm”, to be filed with the Securities and Exchange Commission on or prior to April 30, 2016, and is incorporated herein by reference.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300" w:hanging="252"/>
        <w:spacing w:after="0"/>
        <w:tabs>
          <w:tab w:leader="none" w:pos="3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report:</w:t>
      </w:r>
    </w:p>
    <w:p>
      <w:pPr>
        <w:spacing w:after="0" w:line="117" w:lineRule="exact"/>
        <w:rPr>
          <w:rFonts w:ascii="Arial" w:cs="Arial" w:eastAsia="Arial" w:hAnsi="Arial"/>
          <w:sz w:val="18"/>
          <w:szCs w:val="18"/>
          <w:i w:val="1"/>
          <w:iCs w:val="1"/>
          <w:color w:val="auto"/>
        </w:rPr>
      </w:pPr>
    </w:p>
    <w:p>
      <w:pPr>
        <w:ind w:left="320" w:right="539" w:firstLine="268"/>
        <w:spacing w:after="0" w:line="277" w:lineRule="auto"/>
        <w:tabs>
          <w:tab w:leader="none" w:pos="7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a list of the consolidated financial information included herein, see Index to the Consolidated Financial Statements on page F-</w:t>
      </w:r>
      <w:hyperlink w:anchor="page77">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320" w:right="559" w:firstLine="268"/>
        <w:spacing w:after="0" w:line="277" w:lineRule="auto"/>
        <w:tabs>
          <w:tab w:leader="none" w:pos="77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a list of the other financial statements and financial statement schedules included herein, see Index to Other Financial Statements and Financial Statement Schedules on page S-</w:t>
      </w:r>
      <w:hyperlink w:anchor="page137">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60" w:hanging="172"/>
        <w:spacing w:after="0"/>
        <w:tabs>
          <w:tab w:leader="none" w:pos="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a list of other exhibits included herein, see Exhibit List on page E-</w:t>
      </w:r>
      <w:hyperlink w:anchor="page185">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739" w:firstLine="8"/>
        <w:spacing w:after="0" w:line="277"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Reference is made to the Exhibit List filed as a part of this report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E-</w:t>
      </w:r>
      <w:hyperlink w:anchor="page185">
        <w:r>
          <w:rPr>
            <w:rFonts w:ascii="Arial" w:cs="Arial" w:eastAsia="Arial" w:hAnsi="Arial"/>
            <w:sz w:val="18"/>
            <w:szCs w:val="18"/>
            <w:u w:val="single" w:color="auto"/>
            <w:color w:val="0000EE"/>
          </w:rPr>
          <w:t>1</w:t>
        </w:r>
      </w:hyperlink>
      <w:r>
        <w:rPr>
          <w:rFonts w:ascii="Arial" w:cs="Arial" w:eastAsia="Arial" w:hAnsi="Arial"/>
          <w:sz w:val="18"/>
          <w:szCs w:val="18"/>
          <w:color w:val="auto"/>
        </w:rPr>
        <w:t>. Each of such exhibits is incorporated by reference herein.</w:t>
      </w:r>
    </w:p>
    <w:p>
      <w:pPr>
        <w:spacing w:after="0" w:line="62" w:lineRule="exact"/>
        <w:rPr>
          <w:rFonts w:ascii="Arial" w:cs="Arial" w:eastAsia="Arial" w:hAnsi="Arial"/>
          <w:sz w:val="18"/>
          <w:szCs w:val="18"/>
          <w:color w:val="auto"/>
        </w:rPr>
      </w:pPr>
    </w:p>
    <w:p>
      <w:pPr>
        <w:ind w:left="40" w:right="799"/>
        <w:spacing w:after="0" w:line="308" w:lineRule="auto"/>
        <w:rPr>
          <w:rFonts w:ascii="Arial" w:cs="Arial" w:eastAsia="Arial" w:hAnsi="Arial"/>
          <w:sz w:val="17"/>
          <w:szCs w:val="17"/>
          <w:color w:val="auto"/>
        </w:rPr>
      </w:pPr>
      <w:r>
        <w:rPr>
          <w:rFonts w:ascii="Arial" w:cs="Arial" w:eastAsia="Arial" w:hAnsi="Arial"/>
          <w:sz w:val="17"/>
          <w:szCs w:val="17"/>
          <w:i w:val="1"/>
          <w:iCs w:val="1"/>
          <w:color w:val="auto"/>
        </w:rPr>
        <w:t xml:space="preserve">(c). Other financial statements and financial statement schedules. </w:t>
      </w:r>
      <w:r>
        <w:rPr>
          <w:rFonts w:ascii="Arial" w:cs="Arial" w:eastAsia="Arial" w:hAnsi="Arial"/>
          <w:sz w:val="17"/>
          <w:szCs w:val="17"/>
          <w:color w:val="auto"/>
        </w:rPr>
        <w:t>Reference is made to the Index to Other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Financial Statement Schedules on page S-</w:t>
      </w:r>
      <w:hyperlink w:anchor="page137">
        <w:r>
          <w:rPr>
            <w:rFonts w:ascii="Arial" w:cs="Arial" w:eastAsia="Arial" w:hAnsi="Arial"/>
            <w:sz w:val="17"/>
            <w:szCs w:val="17"/>
            <w:u w:val="single" w:color="auto"/>
            <w:color w:val="0000EE"/>
          </w:rPr>
          <w:t>1</w:t>
        </w:r>
      </w:hyperlink>
      <w:r>
        <w:rPr>
          <w:rFonts w:ascii="Arial" w:cs="Arial" w:eastAsia="Arial" w:hAnsi="Arial"/>
          <w:sz w:val="17"/>
          <w:szCs w:val="17"/>
          <w:color w:val="auto"/>
        </w:rPr>
        <w:t>. Each of such documents is incorporated by reference herein.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ind w:left="6"/>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3"/>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6" w:right="65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188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6"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480" w:type="dxa"/>
            <w:vAlign w:val="bottom"/>
            <w:gridSpan w:val="2"/>
          </w:tcPr>
          <w:p>
            <w:pPr>
              <w:ind w:left="1240"/>
              <w:spacing w:after="0"/>
              <w:rPr>
                <w:sz w:val="20"/>
                <w:szCs w:val="20"/>
                <w:color w:val="auto"/>
              </w:rPr>
            </w:pPr>
            <w:r>
              <w:rPr>
                <w:rFonts w:ascii="Arial" w:cs="Arial" w:eastAsia="Arial" w:hAnsi="Arial"/>
                <w:sz w:val="18"/>
                <w:szCs w:val="18"/>
                <w:color w:val="auto"/>
              </w:rPr>
              <w:t>KCAP Financial, Inc.</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Date: March 9, 2016</w:t>
            </w:r>
          </w:p>
        </w:tc>
        <w:tc>
          <w:tcPr>
            <w:tcW w:w="5480" w:type="dxa"/>
            <w:vAlign w:val="bottom"/>
            <w:gridSpan w:val="2"/>
          </w:tcPr>
          <w:p>
            <w:pPr>
              <w:ind w:left="1240"/>
              <w:spacing w:after="0"/>
              <w:rPr>
                <w:sz w:val="20"/>
                <w:szCs w:val="20"/>
                <w:color w:val="auto"/>
              </w:rPr>
            </w:pPr>
            <w:r>
              <w:rPr>
                <w:rFonts w:ascii="Arial" w:cs="Arial" w:eastAsia="Arial" w:hAnsi="Arial"/>
                <w:sz w:val="18"/>
                <w:szCs w:val="18"/>
                <w:color w:val="auto"/>
              </w:rPr>
              <w:t>By  /s/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tc>
      </w:tr>
      <w:tr>
        <w:trPr>
          <w:trHeight w:val="191"/>
        </w:trPr>
        <w:tc>
          <w:tcPr>
            <w:tcW w:w="2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Dayl W. Pearson</w:t>
            </w:r>
          </w:p>
        </w:tc>
      </w:tr>
      <w:tr>
        <w:trPr>
          <w:trHeight w:val="234"/>
        </w:trPr>
        <w:tc>
          <w:tcPr>
            <w:tcW w:w="2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President and Chief Executive Officer</w:t>
            </w:r>
          </w:p>
        </w:tc>
      </w:tr>
      <w:tr>
        <w:trPr>
          <w:trHeight w:val="324"/>
        </w:trPr>
        <w:tc>
          <w:tcPr>
            <w:tcW w:w="2720" w:type="dxa"/>
            <w:vAlign w:val="bottom"/>
          </w:tcPr>
          <w:p>
            <w:pPr>
              <w:spacing w:after="0"/>
              <w:rPr>
                <w:sz w:val="24"/>
                <w:szCs w:val="24"/>
                <w:color w:val="auto"/>
              </w:rPr>
            </w:pPr>
          </w:p>
        </w:tc>
        <w:tc>
          <w:tcPr>
            <w:tcW w:w="5480" w:type="dxa"/>
            <w:vAlign w:val="bottom"/>
            <w:gridSpan w:val="2"/>
          </w:tcPr>
          <w:p>
            <w:pPr>
              <w:jc w:val="right"/>
              <w:ind w:right="2990"/>
              <w:spacing w:after="0"/>
              <w:rPr>
                <w:sz w:val="20"/>
                <w:szCs w:val="20"/>
                <w:color w:val="auto"/>
              </w:rPr>
            </w:pPr>
            <w:r>
              <w:rPr>
                <w:rFonts w:ascii="Arial" w:cs="Arial" w:eastAsia="Arial" w:hAnsi="Arial"/>
                <w:sz w:val="18"/>
                <w:szCs w:val="18"/>
                <w:b w:val="1"/>
                <w:bCs w:val="1"/>
                <w:color w:val="auto"/>
              </w:rPr>
              <w:t>* * * * *</w:t>
            </w:r>
          </w:p>
        </w:tc>
      </w:tr>
    </w:tbl>
    <w:p>
      <w:pPr>
        <w:spacing w:after="0" w:line="94" w:lineRule="exact"/>
        <w:rPr>
          <w:sz w:val="20"/>
          <w:szCs w:val="20"/>
          <w:color w:val="auto"/>
        </w:rPr>
      </w:pPr>
    </w:p>
    <w:p>
      <w:pPr>
        <w:ind w:left="46"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sectPr>
      </w:pPr>
    </w:p>
    <w:p>
      <w:pPr>
        <w:spacing w:after="0" w:line="16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3036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AYL</w:t>
      </w:r>
      <w:r>
        <w:rPr>
          <w:rFonts w:ascii="Arial" w:cs="Arial" w:eastAsia="Arial" w:hAnsi="Arial"/>
          <w:sz w:val="18"/>
          <w:szCs w:val="18"/>
          <w:b w:val="1"/>
          <w:bCs w:val="1"/>
          <w:color w:val="auto"/>
        </w:rPr>
        <w:t xml:space="preserve"> W. P</w:t>
      </w:r>
      <w:r>
        <w:rPr>
          <w:rFonts w:ascii="Arial" w:cs="Arial" w:eastAsia="Arial" w:hAnsi="Arial"/>
          <w:sz w:val="12"/>
          <w:szCs w:val="12"/>
          <w:b w:val="1"/>
          <w:bCs w:val="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U. G</w:t>
      </w:r>
      <w:r>
        <w:rPr>
          <w:rFonts w:ascii="Arial" w:cs="Arial" w:eastAsia="Arial" w:hAnsi="Arial"/>
          <w:sz w:val="12"/>
          <w:szCs w:val="12"/>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3036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6"/>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DWARD</w:t>
      </w:r>
      <w:r>
        <w:rPr>
          <w:rFonts w:ascii="Arial" w:cs="Arial" w:eastAsia="Arial" w:hAnsi="Arial"/>
          <w:sz w:val="18"/>
          <w:szCs w:val="18"/>
          <w:b w:val="1"/>
          <w:bCs w:val="1"/>
          <w:color w:val="auto"/>
        </w:rPr>
        <w:t xml:space="preserve"> U. G</w:t>
      </w:r>
      <w:r>
        <w:rPr>
          <w:rFonts w:ascii="Arial" w:cs="Arial" w:eastAsia="Arial" w:hAnsi="Arial"/>
          <w:sz w:val="12"/>
          <w:szCs w:val="12"/>
          <w:b w:val="1"/>
          <w:bCs w:val="1"/>
          <w:color w:val="auto"/>
        </w:rPr>
        <w:t>ILPIN</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w:t>
      </w:r>
      <w:r>
        <w:rPr>
          <w:rFonts w:ascii="Arial" w:cs="Arial" w:eastAsia="Arial" w:hAnsi="Arial"/>
          <w:sz w:val="11"/>
          <w:szCs w:val="11"/>
          <w:color w:val="auto"/>
        </w:rPr>
        <w:t>HRISTOPHER</w:t>
      </w:r>
      <w:r>
        <w:rPr>
          <w:rFonts w:ascii="Arial" w:cs="Arial" w:eastAsia="Arial" w:hAnsi="Arial"/>
          <w:sz w:val="17"/>
          <w:szCs w:val="17"/>
          <w:color w:val="auto"/>
        </w:rPr>
        <w:t xml:space="preserve"> L</w:t>
      </w:r>
      <w:r>
        <w:rPr>
          <w:rFonts w:ascii="Arial" w:cs="Arial" w:eastAsia="Arial" w:hAnsi="Arial"/>
          <w:sz w:val="11"/>
          <w:szCs w:val="11"/>
          <w:color w:val="auto"/>
        </w:rPr>
        <w:t>ACOVARA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HRISTOPHER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ARD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OHN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 M</w:t>
      </w:r>
      <w:r>
        <w:rPr>
          <w:rFonts w:ascii="Arial" w:cs="Arial" w:eastAsia="Arial" w:hAnsi="Arial"/>
          <w:sz w:val="12"/>
          <w:szCs w:val="12"/>
          <w:color w:val="auto"/>
        </w:rPr>
        <w:t>ICHAEL</w:t>
      </w:r>
      <w:r>
        <w:rPr>
          <w:rFonts w:ascii="Arial" w:cs="Arial" w:eastAsia="Arial" w:hAnsi="Arial"/>
          <w:sz w:val="18"/>
          <w:szCs w:val="18"/>
          <w:color w:val="auto"/>
        </w:rPr>
        <w:t xml:space="preserve"> J</w:t>
      </w:r>
      <w:r>
        <w:rPr>
          <w:rFonts w:ascii="Arial" w:cs="Arial" w:eastAsia="Arial" w:hAnsi="Arial"/>
          <w:sz w:val="12"/>
          <w:szCs w:val="12"/>
          <w:color w:val="auto"/>
        </w:rPr>
        <w:t>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303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6"/>
        <w:spacing w:after="0"/>
        <w:rPr>
          <w:sz w:val="20"/>
          <w:szCs w:val="20"/>
          <w:color w:val="auto"/>
        </w:rPr>
      </w:pPr>
      <w:r>
        <w:rPr>
          <w:rFonts w:ascii="Arial" w:cs="Arial" w:eastAsia="Arial" w:hAnsi="Arial"/>
          <w:sz w:val="18"/>
          <w:szCs w:val="18"/>
          <w:b w:val="1"/>
          <w:bCs w:val="1"/>
          <w:color w:val="auto"/>
        </w:rPr>
        <w:t>C. M</w:t>
      </w:r>
      <w:r>
        <w:rPr>
          <w:rFonts w:ascii="Arial" w:cs="Arial" w:eastAsia="Arial" w:hAnsi="Arial"/>
          <w:sz w:val="12"/>
          <w:szCs w:val="12"/>
          <w:b w:val="1"/>
          <w:bCs w:val="1"/>
          <w:color w:val="auto"/>
        </w:rPr>
        <w:t>ICHAEL</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ACOBI</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w:t>
      </w:r>
      <w:r>
        <w:rPr>
          <w:rFonts w:ascii="Arial" w:cs="Arial" w:eastAsia="Arial" w:hAnsi="Arial"/>
          <w:sz w:val="12"/>
          <w:szCs w:val="12"/>
          <w:color w:val="auto"/>
        </w:rPr>
        <w:t>LBERT</w:t>
      </w:r>
      <w:r>
        <w:rPr>
          <w:rFonts w:ascii="Arial" w:cs="Arial" w:eastAsia="Arial" w:hAnsi="Arial"/>
          <w:sz w:val="18"/>
          <w:szCs w:val="18"/>
          <w:color w:val="auto"/>
        </w:rPr>
        <w:t xml:space="preserve"> G. P</w:t>
      </w:r>
      <w:r>
        <w:rPr>
          <w:rFonts w:ascii="Arial" w:cs="Arial" w:eastAsia="Arial" w:hAnsi="Arial"/>
          <w:sz w:val="12"/>
          <w:szCs w:val="12"/>
          <w:color w:val="auto"/>
        </w:rPr>
        <w:t>ASTINO</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LBERT</w:t>
      </w:r>
      <w:r>
        <w:rPr>
          <w:rFonts w:ascii="Arial" w:cs="Arial" w:eastAsia="Arial" w:hAnsi="Arial"/>
          <w:sz w:val="18"/>
          <w:szCs w:val="18"/>
          <w:b w:val="1"/>
          <w:bCs w:val="1"/>
          <w:color w:val="auto"/>
        </w:rPr>
        <w:t xml:space="preserve"> G. P</w:t>
      </w:r>
      <w:r>
        <w:rPr>
          <w:rFonts w:ascii="Arial" w:cs="Arial" w:eastAsia="Arial" w:hAnsi="Arial"/>
          <w:sz w:val="12"/>
          <w:szCs w:val="12"/>
          <w:b w:val="1"/>
          <w:bCs w:val="1"/>
          <w:color w:val="auto"/>
        </w:rPr>
        <w:t>ASTINO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 T</w:t>
      </w:r>
      <w:r>
        <w:rPr>
          <w:rFonts w:ascii="Arial" w:cs="Arial" w:eastAsia="Arial" w:hAnsi="Arial"/>
          <w:sz w:val="11"/>
          <w:szCs w:val="11"/>
          <w:color w:val="auto"/>
        </w:rPr>
        <w:t>URNEY</w:t>
      </w:r>
      <w:r>
        <w:rPr>
          <w:rFonts w:ascii="Arial" w:cs="Arial" w:eastAsia="Arial" w:hAnsi="Arial"/>
          <w:sz w:val="17"/>
          <w:szCs w:val="17"/>
          <w:color w:val="auto"/>
        </w:rPr>
        <w:t xml:space="preserve"> S</w:t>
      </w:r>
      <w:r>
        <w:rPr>
          <w:rFonts w:ascii="Arial" w:cs="Arial" w:eastAsia="Arial" w:hAnsi="Arial"/>
          <w:sz w:val="11"/>
          <w:szCs w:val="11"/>
          <w:color w:val="auto"/>
        </w:rPr>
        <w:t>TEVENS</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1" w:lineRule="exact"/>
        <w:rPr>
          <w:sz w:val="20"/>
          <w:szCs w:val="20"/>
          <w:color w:val="auto"/>
        </w:rPr>
      </w:pPr>
    </w:p>
    <w:p>
      <w:pPr>
        <w:ind w:left="6" w:right="120" w:hanging="6"/>
        <w:spacing w:after="0" w:line="258" w:lineRule="auto"/>
        <w:tabs>
          <w:tab w:leader="none" w:pos="22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URNEY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TEVENS</w:t>
      </w:r>
      <w:r>
        <w:rPr>
          <w:rFonts w:ascii="Arial" w:cs="Arial" w:eastAsia="Arial" w:hAnsi="Arial"/>
          <w:sz w:val="18"/>
          <w:szCs w:val="18"/>
          <w:b w:val="1"/>
          <w:bCs w:val="1"/>
          <w:color w:val="auto"/>
        </w:rPr>
        <w:t>, J</w:t>
      </w:r>
      <w:r>
        <w:rPr>
          <w:rFonts w:ascii="Arial" w:cs="Arial" w:eastAsia="Arial" w:hAnsi="Arial"/>
          <w:sz w:val="12"/>
          <w:szCs w:val="12"/>
          <w:b w:val="1"/>
          <w:bCs w:val="1"/>
          <w:color w:val="auto"/>
        </w:rPr>
        <w:t>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EAN</w:t>
      </w:r>
      <w:r>
        <w:rPr>
          <w:rFonts w:ascii="Arial" w:cs="Arial" w:eastAsia="Arial" w:hAnsi="Arial"/>
          <w:sz w:val="18"/>
          <w:szCs w:val="18"/>
          <w:color w:val="auto"/>
        </w:rPr>
        <w:t xml:space="preserve"> C. K</w:t>
      </w:r>
      <w:r>
        <w:rPr>
          <w:rFonts w:ascii="Arial" w:cs="Arial" w:eastAsia="Arial" w:hAnsi="Arial"/>
          <w:sz w:val="12"/>
          <w:szCs w:val="12"/>
          <w:color w:val="auto"/>
        </w:rPr>
        <w:t>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13036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EAN</w:t>
      </w:r>
      <w:r>
        <w:rPr>
          <w:rFonts w:ascii="Arial" w:cs="Arial" w:eastAsia="Arial" w:hAnsi="Arial"/>
          <w:sz w:val="18"/>
          <w:szCs w:val="18"/>
          <w:b w:val="1"/>
          <w:bCs w:val="1"/>
          <w:color w:val="auto"/>
        </w:rPr>
        <w:t xml:space="preserve"> C. K</w:t>
      </w:r>
      <w:r>
        <w:rPr>
          <w:rFonts w:ascii="Arial" w:cs="Arial" w:eastAsia="Arial" w:hAnsi="Arial"/>
          <w:sz w:val="12"/>
          <w:szCs w:val="12"/>
          <w:b w:val="1"/>
          <w:bCs w:val="1"/>
          <w:color w:val="auto"/>
        </w:rPr>
        <w:t>EHLER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w w:val="98"/>
              </w:rPr>
              <w:t>President and Chief Executive Officer (principal executive</w:t>
            </w:r>
          </w:p>
        </w:tc>
        <w:tc>
          <w:tcPr>
            <w:tcW w:w="1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9, 2016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officer) and Member of the Board of Directors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9, 2016</w:t>
            </w:r>
          </w:p>
        </w:tc>
      </w:tr>
    </w:tbl>
    <w:p>
      <w:pPr>
        <w:spacing w:after="0" w:line="406" w:lineRule="exact"/>
        <w:rPr>
          <w:sz w:val="20"/>
          <w:szCs w:val="20"/>
          <w:color w:val="auto"/>
        </w:rPr>
      </w:pPr>
    </w:p>
    <w:p>
      <w:pPr>
        <w:sectPr>
          <w:pgSz w:w="11900" w:h="16838" w:orient="portrait"/>
          <w:cols w:equalWidth="0" w:num="2">
            <w:col w:w="1846" w:space="360"/>
            <w:col w:w="7879"/>
          </w:cols>
          <w:pgMar w:left="374" w:top="792" w:right="1440" w:bottom="1440" w:gutter="0" w:footer="0" w:header="0"/>
          <w:type w:val="continuous"/>
        </w:sectPr>
      </w:pPr>
    </w:p>
    <w:p>
      <w:pPr>
        <w:spacing w:after="0" w:line="362" w:lineRule="exact"/>
        <w:rPr>
          <w:sz w:val="20"/>
          <w:szCs w:val="20"/>
          <w:color w:val="auto"/>
        </w:rPr>
      </w:pPr>
    </w:p>
    <w:p>
      <w:pPr>
        <w:ind w:left="4566"/>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0" w:type="dxa"/>
            <w:vAlign w:val="bottom"/>
            <w:gridSpan w:val="1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2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gridSpan w:val="8"/>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7800" w:type="dxa"/>
            <w:vAlign w:val="bottom"/>
            <w:gridSpan w:val="1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Firms</w:t>
              </w:r>
            </w:hyperlink>
          </w:p>
        </w:tc>
        <w:tc>
          <w:tcPr>
            <w:tcW w:w="400" w:type="dxa"/>
            <w:vAlign w:val="bottom"/>
            <w:gridSpan w:val="2"/>
          </w:tcPr>
          <w:p>
            <w:pPr>
              <w:jc w:val="right"/>
              <w:ind w:right="60"/>
              <w:spacing w:after="0"/>
              <w:rPr>
                <w:rFonts w:ascii="Arial" w:cs="Arial" w:eastAsia="Arial" w:hAnsi="Arial"/>
                <w:sz w:val="18"/>
                <w:szCs w:val="18"/>
                <w:color w:val="0000EE"/>
              </w:rPr>
            </w:pPr>
            <w:hyperlink w:anchor="page78">
              <w:r>
                <w:rPr>
                  <w:rFonts w:ascii="Arial" w:cs="Arial" w:eastAsia="Arial" w:hAnsi="Arial"/>
                  <w:sz w:val="18"/>
                  <w:szCs w:val="18"/>
                  <w:color w:val="0000EE"/>
                </w:rPr>
                <w:t>F-2</w:t>
              </w:r>
            </w:hyperlink>
          </w:p>
        </w:tc>
        <w:tc>
          <w:tcPr>
            <w:tcW w:w="1260" w:type="dxa"/>
            <w:vAlign w:val="bottom"/>
          </w:tcPr>
          <w:p>
            <w:pPr>
              <w:spacing w:after="0"/>
              <w:rPr>
                <w:sz w:val="24"/>
                <w:szCs w:val="24"/>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Balance Sheets as of December 31, 2015 and 2014</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F-5</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for the years ended December 31, 2015, 2014 and 2013</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Consolidated Statements of Changes in Net Assets for the years ended December 31, 2015, 2014, and</w:t>
              </w:r>
            </w:hyperlink>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2013</w:t>
              </w:r>
            </w:hyperlink>
          </w:p>
        </w:tc>
        <w:tc>
          <w:tcPr>
            <w:tcW w:w="100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32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F-7</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Statements of Cash Flows for the years ended December 31, 2015, 2014, and 2013</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F-8</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Schedules of Investments as of December 31, 2015 and 2014</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F-9</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Financial Highlights for the years ended December 31, 2015, 2014, 2013, 2012, and 2011</w:t>
              </w:r>
            </w:hyperlink>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F-26</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Notes to Consolidated Financial Statements</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F-27</w:t>
              </w:r>
            </w:hyperlink>
          </w:p>
        </w:tc>
        <w:tc>
          <w:tcPr>
            <w:tcW w:w="1260" w:type="dxa"/>
            <w:vAlign w:val="bottom"/>
          </w:tcPr>
          <w:p>
            <w:pPr>
              <w:spacing w:after="0"/>
              <w:rPr>
                <w:sz w:val="17"/>
                <w:szCs w:val="17"/>
                <w:color w:val="auto"/>
              </w:rPr>
            </w:pPr>
          </w:p>
        </w:tc>
      </w:tr>
      <w:tr>
        <w:trPr>
          <w:trHeight w:val="77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gridSpan w:val="6"/>
          </w:tcPr>
          <w:p>
            <w:pPr>
              <w:ind w:left="120"/>
              <w:spacing w:after="0"/>
              <w:rPr>
                <w:sz w:val="20"/>
                <w:szCs w:val="20"/>
                <w:color w:val="auto"/>
              </w:rPr>
            </w:pPr>
            <w:r>
              <w:rPr>
                <w:rFonts w:ascii="Arial" w:cs="Arial" w:eastAsia="Arial" w:hAnsi="Arial"/>
                <w:sz w:val="18"/>
                <w:szCs w:val="18"/>
                <w:color w:val="auto"/>
              </w:rPr>
              <w:t>F-1</w:t>
            </w: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-1937385</wp:posOffset>
            </wp:positionV>
            <wp:extent cx="5213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We have audited the accompanying consolidated balance sheets of KCAP Financial, Inc. (the “Company”), including the consolidated schedules of investments, as of December 31, 2015 and 2014, and the related consolidated statements of operations, changes in net assets, and cash flows and the financial highlights for each of the two years in the period ended December 31, 2015. These financial statements and financial highlights are the responsibility of the Company’s management. Our responsibility is to express an opinion on these financial statements and financial highlights based on our audits.</w:t>
      </w:r>
    </w:p>
    <w:p>
      <w:pPr>
        <w:spacing w:after="0" w:line="64"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2015 and 2014, by correspondence with the custodians and management or agents of the underlying investments. We believe that our audits provide a reasonable basis for our opinion.</w:t>
      </w:r>
    </w:p>
    <w:p>
      <w:pPr>
        <w:spacing w:after="0" w:line="59"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In our opinion, the financial statements and financial highlights referred to above present fairly, in all material respects, the consolidated financial position of KCAP Financial, Inc. at December 31, 2015 and 2014, and the consolidated results of their operations, changes in their net assets, and cash flows and the financial highlights for the each of the two years in the period ended December 31, 2015, in conformity with U.S. generally accepted accounting principles.</w:t>
      </w:r>
    </w:p>
    <w:p>
      <w:pPr>
        <w:spacing w:after="0" w:line="63"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KCAP Financial, Inc.’s internal control over financial reporting as of December 31, 2015, based on criteria established in Internal Control-Integrated Framework issued by the Committee of Sponsoring Organizations of the Treadway Commission (2013 framework) and our report dated March 9, 2016 expressed an unqualified opinion thereon.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ind w:left="40" w:right="659"/>
        <w:spacing w:after="0" w:line="273" w:lineRule="auto"/>
        <w:rPr>
          <w:sz w:val="20"/>
          <w:szCs w:val="20"/>
          <w:color w:val="auto"/>
        </w:rPr>
      </w:pPr>
      <w:r>
        <w:rPr>
          <w:rFonts w:ascii="Arial" w:cs="Arial" w:eastAsia="Arial" w:hAnsi="Arial"/>
          <w:sz w:val="17"/>
          <w:szCs w:val="17"/>
          <w:color w:val="auto"/>
        </w:rPr>
        <w:t>We have audited KCAP Financial, Inc.’s internal control over financial reporting as of December 31, 2015, based on criteria established in Internal Control—Integrated Framework issued by the Committee of Sponsoring Organizations of the Treadway Commission “(2013 framework),” (the COSO criteria). KCAP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0" w:lineRule="exact"/>
        <w:rPr>
          <w:sz w:val="20"/>
          <w:szCs w:val="20"/>
          <w:color w:val="auto"/>
        </w:rPr>
      </w:pPr>
    </w:p>
    <w:p>
      <w:pPr>
        <w:ind w:left="40" w:right="53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40" w:right="51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left="40" w:right="59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In our opinion, KCAP Financial, Inc. maintained, in all material respects, effective internal control over financial reporting as of December 31, 2015, based on the COSO criteria.</w:t>
      </w:r>
    </w:p>
    <w:p>
      <w:pPr>
        <w:spacing w:after="0" w:line="62" w:lineRule="exact"/>
        <w:rPr>
          <w:sz w:val="20"/>
          <w:szCs w:val="20"/>
          <w:color w:val="auto"/>
        </w:rPr>
      </w:pPr>
    </w:p>
    <w:p>
      <w:pPr>
        <w:ind w:left="40" w:right="779"/>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2015 and 2014 consolidated financial statements of KCAP Financial, Inc. and our report dated March 9, 2016 expressed an unqualified opinion thereon.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ind w:left="40" w:right="559"/>
        <w:spacing w:after="0" w:line="276" w:lineRule="auto"/>
        <w:rPr>
          <w:sz w:val="20"/>
          <w:szCs w:val="20"/>
          <w:color w:val="auto"/>
        </w:rPr>
      </w:pPr>
      <w:r>
        <w:rPr>
          <w:rFonts w:ascii="Arial" w:cs="Arial" w:eastAsia="Arial" w:hAnsi="Arial"/>
          <w:sz w:val="17"/>
          <w:szCs w:val="17"/>
          <w:color w:val="auto"/>
        </w:rPr>
        <w:t>We have audited the consolidated balance sheet of KCAP Financial, Inc. (a Delaware corporation) and subsidiaries (the “Company”) as of December 31, 2013 (not included herein), and the related consolidated statements of operations, changes in net assets, and cash flows for the year ended December 31, 2013 and financial highlights for each of the three years in the period ended December 31, 2013. These financial statements are the responsibility of the Company’s management. Our responsibility is to express an opinion on these financial statements based on our audit.</w:t>
      </w:r>
    </w:p>
    <w:p>
      <w:pPr>
        <w:spacing w:after="0" w:line="64" w:lineRule="exact"/>
        <w:rPr>
          <w:sz w:val="20"/>
          <w:szCs w:val="20"/>
          <w:color w:val="auto"/>
        </w:rPr>
      </w:pPr>
    </w:p>
    <w:p>
      <w:pPr>
        <w:ind w:left="40" w:right="59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confirmation of investments owned as of December 31, 2013. We believe that our audit provides a reasonable basis for our opinion.</w:t>
      </w:r>
    </w:p>
    <w:p>
      <w:pPr>
        <w:spacing w:after="0" w:line="57" w:lineRule="exact"/>
        <w:rPr>
          <w:sz w:val="20"/>
          <w:szCs w:val="20"/>
          <w:color w:val="auto"/>
        </w:rPr>
      </w:pPr>
    </w:p>
    <w:p>
      <w:pPr>
        <w:ind w:left="40" w:right="679"/>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KCAP Financial, Inc. and subsidiaries as of December 31, 2013, and the results of their operations, changes in their net assets, and their cash flows for the year ended December 31, 2013 and their financial highlights for each of the three years in the period ended December 31, 2013 in conformity with accounting principles generally accepted in the United States of America.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March 12, 2014 (except as to Note 2 in the previously filed 2014 consolidated financial statements, which is not presented herein and to which the date is March 31, 2015)</w:t>
      </w: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accounts (cost: 2015 – $2,129,381; 2014 – $1,602,741)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2,129,381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1,602,741</w:t>
            </w: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w w:val="92"/>
              </w:rPr>
              <w:t>Debt securities (amortized cost: 2015 – $298,308,845; 2014 – $322,884,934)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284,639,244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320,143,170</w:t>
            </w:r>
          </w:p>
        </w:tc>
      </w:tr>
      <w:tr>
        <w:trPr>
          <w:trHeight w:val="202"/>
        </w:trPr>
        <w:tc>
          <w:tcPr>
            <w:tcW w:w="5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CLO Fund Securities managed by affiliates (amortized cost: 2015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$77,764,568; 2014 – $85,355,897)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53,557,570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74,139,696</w:t>
            </w:r>
          </w:p>
        </w:tc>
      </w:tr>
      <w:tr>
        <w:trPr>
          <w:trHeight w:val="202"/>
        </w:trPr>
        <w:tc>
          <w:tcPr>
            <w:tcW w:w="5880" w:type="dxa"/>
            <w:vAlign w:val="bottom"/>
          </w:tcPr>
          <w:p>
            <w:pPr>
              <w:ind w:left="200"/>
              <w:spacing w:after="0" w:line="201" w:lineRule="exact"/>
              <w:rPr>
                <w:sz w:val="20"/>
                <w:szCs w:val="20"/>
                <w:color w:val="auto"/>
              </w:rPr>
            </w:pPr>
            <w:r>
              <w:rPr>
                <w:rFonts w:ascii="Arial" w:cs="Arial" w:eastAsia="Arial" w:hAnsi="Arial"/>
                <w:sz w:val="18"/>
                <w:szCs w:val="18"/>
                <w:color w:val="auto"/>
                <w:w w:val="99"/>
              </w:rPr>
              <w:t>CLO Fund Securities managed by non-affiliates (amortized cost: 2015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880" w:type="dxa"/>
            <w:vAlign w:val="bottom"/>
          </w:tcPr>
          <w:p>
            <w:pPr>
              <w:ind w:left="420"/>
              <w:spacing w:after="0"/>
              <w:rPr>
                <w:sz w:val="20"/>
                <w:szCs w:val="20"/>
                <w:color w:val="auto"/>
              </w:rPr>
            </w:pPr>
            <w:r>
              <w:rPr>
                <w:rFonts w:ascii="Arial" w:cs="Arial" w:eastAsia="Arial" w:hAnsi="Arial"/>
                <w:sz w:val="18"/>
                <w:szCs w:val="18"/>
                <w:color w:val="auto"/>
              </w:rPr>
              <w:t>$5,450,379; 2014 – $5,533,293)</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2,314,812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3,375,206</w:t>
            </w:r>
          </w:p>
        </w:tc>
      </w:tr>
      <w:tr>
        <w:trPr>
          <w:trHeight w:val="216"/>
        </w:trPr>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 (cost: 2015 – $10,467,786; 2014 – $8,828,812)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8,119,681</w:t>
            </w: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w w:val="96"/>
              </w:rPr>
              <w:t>Asset Manager Affiliates (cost: 2015 – $56,591,230; 2014 – $60,292,677)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57,381,000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72,326,000</w:t>
            </w:r>
          </w:p>
        </w:tc>
      </w:tr>
      <w:tr>
        <w:trPr>
          <w:trHeight w:val="195"/>
        </w:trPr>
        <w:tc>
          <w:tcPr>
            <w:tcW w:w="5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Investments at Fair Value (cost: 2015 – $450,712,189; 2014 –</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$484,498,354)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409,570,495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479,706,494</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1,220,798</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7,138,272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19,325,550</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1,812,624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1,748,821</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2,117,095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3,027,409</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4,603,855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5,417,725</w:t>
            </w: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425,242,341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510,446,797</w:t>
            </w:r>
          </w:p>
        </w:tc>
      </w:tr>
      <w:tr>
        <w:trPr>
          <w:trHeight w:val="210"/>
        </w:trPr>
        <w:tc>
          <w:tcPr>
            <w:tcW w:w="58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19,299,000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38,647,000</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7.375% Notes Due 2019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41,400,000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41,400,000</w:t>
            </w:r>
          </w:p>
        </w:tc>
      </w:tr>
      <w:tr>
        <w:trPr>
          <w:trHeight w:val="202"/>
        </w:trPr>
        <w:tc>
          <w:tcPr>
            <w:tcW w:w="5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Notes issued by KCAP Senior Funding I, LLC (net of discount: 2015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$2,907,595; 2014 – $3,512,407)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144,442,405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143,837,593</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18,293,725</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2,218,065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2,274,150</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1,228,068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1,566,255</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31,000</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9,080,373</w:t>
            </w: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209,141,871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255,130,096</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880" w:type="dxa"/>
            <w:vAlign w:val="bottom"/>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common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w w:val="92"/>
              </w:rPr>
              <w:t>authorized; 37,136,353 issued, and 37,100,005 outstanding at December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w w:val="93"/>
              </w:rPr>
              <w:t>2015, and 36,775,127 common shares issued and outstanding at December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80" w:type="dxa"/>
            <w:vAlign w:val="bottom"/>
          </w:tcPr>
          <w:p>
            <w:pPr>
              <w:ind w:left="200"/>
              <w:spacing w:after="0"/>
              <w:rPr>
                <w:sz w:val="20"/>
                <w:szCs w:val="20"/>
                <w:color w:val="auto"/>
              </w:rPr>
            </w:pPr>
            <w:r>
              <w:rPr>
                <w:rFonts w:ascii="Arial" w:cs="Arial" w:eastAsia="Arial" w:hAnsi="Arial"/>
                <w:sz w:val="18"/>
                <w:szCs w:val="18"/>
                <w:color w:val="auto"/>
              </w:rPr>
              <w:t>31, 2014</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371,000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367,751</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361,962,511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362,411,830</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Excess distribution of net investment income</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(21,638,184)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(25,579,865)</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(82,054,107)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(75,512,134)</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(42,540,750)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(6,370,881)</w:t>
            </w: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216,100,470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255,316,701</w:t>
            </w:r>
          </w:p>
        </w:tc>
      </w:tr>
      <w:tr>
        <w:trPr>
          <w:trHeight w:val="20"/>
        </w:trPr>
        <w:tc>
          <w:tcPr>
            <w:tcW w:w="5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425,242,341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510,446,797</w:t>
            </w:r>
          </w:p>
        </w:tc>
      </w:tr>
      <w:tr>
        <w:trPr>
          <w:trHeight w:val="21"/>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-3421380</wp:posOffset>
            </wp:positionV>
            <wp:extent cx="521398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24,101,257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21,386,432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13,967,235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20,656</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14,691,428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12,367,581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17,346,770</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2"/>
              </w:rPr>
              <w:t>Investment income on CLO Fund Securities managed by non-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1,008,634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1,045,225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1,809,534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5,467,914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5,735,045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Capital structuring service fees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366,859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934,871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305,376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45,526,971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41,205,475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39,184,616</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11,727,880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11,538,179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10,116,271</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3,843,799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4,951,745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4,630,481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3,520,461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2,191,305</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433,561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471,276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552,568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1,509,228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1,819,876</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21,344,181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21,084,907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19,310,501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24,182,790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20,120,568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19,874,115</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w w:val="97"/>
              </w:rPr>
              <w:t>Realized And Unrealized Gains (Losses) On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(6,202,289)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(10,384,415)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(12,090,503)</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Net change in unrealized (depreciation)/appreciation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(10,748,262)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5,641,403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14,956,103</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7,040,155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2,605,586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(12,990,404)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(11,584,257)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(11,195,901)</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(977,483)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2,884,109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(2,093,360)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(11,243,554)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2,064,107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5,703,743</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net (depreciation)/appreciation from investment</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(36,169,870)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6,045,517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9,976,171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and unrealized loss on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(42,372,159)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(4,338,898)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(2,114,332)</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20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(445,189)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(748,076)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(536,811)</w:t>
            </w: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5"/>
              </w:rPr>
              <w:t>Net (Decrease)/Increase In Stockholders’ Equity Resulting</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(18,634,558)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15,033,594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17,222,972</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8"/>
              </w:rPr>
              <w:t>Net (Decrease)/Increase in Stockholders’ Equity Resulting</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from Operations per Common Share: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34,248,346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32,280,160</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36,964,444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34,259,977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32,295,005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-4621530</wp:posOffset>
            </wp:positionV>
            <wp:extent cx="521398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-3789680</wp:posOffset>
            </wp:positionV>
            <wp:extent cx="521398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-2400300</wp:posOffset>
            </wp:positionV>
            <wp:extent cx="5213985"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-1971675</wp:posOffset>
            </wp:positionV>
            <wp:extent cx="521398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308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24,182,790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20,120,568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19,874,115</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(6,202,289)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(10,384,415)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(12,090,503)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(445,189)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(536,811)</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(depreciation)/appreciation from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(36,169,870)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6,045,517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9,976,171</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2"/>
              </w:rPr>
              <w:t>Net (decrease)/increase in stockholders’ equity resulting from</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(18,634,558)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15,033,594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17,222,972</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of ordinary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(22,985,978)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(26,807,154)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(22,479,384)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(7,972,633)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(12,681,755)</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decrease in net assets resulting from stockholder</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(22,985,978)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(34,779,787)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(35,161,139)</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for: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200"/>
              <w:spacing w:after="0" w:line="201" w:lineRule="exact"/>
              <w:rPr>
                <w:sz w:val="20"/>
                <w:szCs w:val="20"/>
                <w:color w:val="auto"/>
              </w:rPr>
            </w:pPr>
            <w:r>
              <w:rPr>
                <w:rFonts w:ascii="Arial" w:cs="Arial" w:eastAsia="Arial" w:hAnsi="Arial"/>
                <w:sz w:val="18"/>
                <w:szCs w:val="18"/>
                <w:color w:val="auto"/>
              </w:rPr>
              <w:t>Common stock withheld for payroll taxes upon vesting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(220,301)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reinvestment plan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715,780</w:t>
            </w: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Conversion of Convertible Notes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8,786,000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23,772,408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50,404,236</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Repurchase of Convertible Notes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(927,413)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1,572,811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526,185</w:t>
            </w:r>
          </w:p>
        </w:tc>
        <w:tc>
          <w:tcPr>
            <w:tcW w:w="0" w:type="dxa"/>
            <w:vAlign w:val="bottom"/>
          </w:tcPr>
          <w:p>
            <w:pPr>
              <w:spacing w:after="0"/>
              <w:rPr>
                <w:sz w:val="1"/>
                <w:szCs w:val="1"/>
                <w:color w:val="auto"/>
              </w:rPr>
            </w:pPr>
          </w:p>
        </w:tc>
      </w:tr>
      <w:tr>
        <w:trPr>
          <w:trHeight w:val="195"/>
        </w:trPr>
        <w:tc>
          <w:tcPr>
            <w:tcW w:w="476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Net increase in net assets resulting from capital share</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2,404,305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24,693,201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60,432,201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255,316,701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250,369,693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207,875,659</w:t>
            </w:r>
          </w:p>
        </w:tc>
        <w:tc>
          <w:tcPr>
            <w:tcW w:w="0" w:type="dxa"/>
            <w:vAlign w:val="bottom"/>
          </w:tcPr>
          <w:p>
            <w:pPr>
              <w:spacing w:after="0"/>
              <w:rPr>
                <w:sz w:val="1"/>
                <w:szCs w:val="1"/>
                <w:color w:val="auto"/>
              </w:rPr>
            </w:pPr>
          </w:p>
        </w:tc>
      </w:tr>
      <w:tr>
        <w:trPr>
          <w:trHeight w:val="195"/>
        </w:trPr>
        <w:tc>
          <w:tcPr>
            <w:tcW w:w="476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2"/>
              </w:rPr>
              <w:t>Net assets at end of period (including accumulated undistributed</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w w:val="95"/>
              </w:rPr>
              <w:t>net investment income of $0, $0, and $0 in 2015, 2014,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2013, respectively.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216,100,470</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255,316,701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250,369,693</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37,100,005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36,775,127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33,332,123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-3112770</wp:posOffset>
            </wp:positionV>
            <wp:extent cx="5213985"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-2409825</wp:posOffset>
            </wp:positionV>
            <wp:extent cx="521398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-1166495</wp:posOffset>
            </wp:positionV>
            <wp:extent cx="5213985"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-737235</wp:posOffset>
            </wp:positionV>
            <wp:extent cx="5213985" cy="4546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454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(decrease)/increase in stockholder’s equity resulting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(18,634,558)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15,033,594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17,222,972</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increase/(decrease) in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stockholder’s equity resulting from operations to net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cash provided by/(used in) operating activities: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6,202,289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10,384,415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12,090,503</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0"/>
              </w:rPr>
              <w:t>Net change in unrealized losses/(gains) from investments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36,169,870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(6,045,517)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(9,976,172)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(112,647,477)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(249,264,398)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(248,211,755)</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8"/>
              </w:rPr>
              <w:t>Proceeds from sales and redemptions of investments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132,764,940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195,511,479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114,040,876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9,094,250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10,691,298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1,611,574</w:t>
            </w:r>
          </w:p>
        </w:tc>
        <w:tc>
          <w:tcPr>
            <w:tcW w:w="0" w:type="dxa"/>
            <w:vAlign w:val="bottom"/>
          </w:tcPr>
          <w:p>
            <w:pPr>
              <w:spacing w:after="0"/>
              <w:rPr>
                <w:sz w:val="1"/>
                <w:szCs w:val="1"/>
                <w:color w:val="auto"/>
              </w:rPr>
            </w:pPr>
          </w:p>
        </w:tc>
      </w:tr>
      <w:tr>
        <w:trPr>
          <w:trHeight w:val="202"/>
        </w:trPr>
        <w:tc>
          <w:tcPr>
            <w:tcW w:w="4560" w:type="dxa"/>
            <w:vAlign w:val="bottom"/>
          </w:tcPr>
          <w:p>
            <w:pPr>
              <w:ind w:left="380"/>
              <w:spacing w:after="0" w:line="201" w:lineRule="exact"/>
              <w:rPr>
                <w:sz w:val="20"/>
                <w:szCs w:val="20"/>
                <w:color w:val="auto"/>
              </w:rPr>
            </w:pPr>
            <w:r>
              <w:rPr>
                <w:rFonts w:ascii="Arial" w:cs="Arial" w:eastAsia="Arial" w:hAnsi="Arial"/>
                <w:sz w:val="18"/>
                <w:szCs w:val="18"/>
                <w:color w:val="auto"/>
              </w:rPr>
              <w:t>Amortization of original issue discount on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560"/>
              <w:spacing w:after="0"/>
              <w:rPr>
                <w:sz w:val="20"/>
                <w:szCs w:val="20"/>
                <w:color w:val="auto"/>
              </w:rPr>
            </w:pPr>
            <w:r>
              <w:rPr>
                <w:rFonts w:ascii="Arial" w:cs="Arial" w:eastAsia="Arial" w:hAnsi="Arial"/>
                <w:sz w:val="18"/>
                <w:szCs w:val="18"/>
                <w:color w:val="auto"/>
              </w:rPr>
              <w:t>indebtedness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604,811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449,568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229,848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904,027</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445,189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748,076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536,811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(1,447,865)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1,572,811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1,123,271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526,138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560"/>
              <w:spacing w:after="0"/>
              <w:rPr>
                <w:sz w:val="20"/>
                <w:szCs w:val="20"/>
                <w:color w:val="auto"/>
              </w:rPr>
            </w:pPr>
            <w:r>
              <w:rPr>
                <w:rFonts w:ascii="Arial" w:cs="Arial" w:eastAsia="Arial" w:hAnsi="Arial"/>
                <w:sz w:val="18"/>
                <w:szCs w:val="18"/>
                <w:color w:val="auto"/>
              </w:rPr>
              <w:t>(Decrease)/Increase in payable for open trades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(18,293,725)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14,313,725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(Increase)/Decrease in interest and dividends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receivable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(63,803)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283,737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(1,335,210)</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(Increase)/Decrease in accounts receivable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(914,434)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time deposits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(Increase)/Decrease in other assets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(793,461)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(644,715)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54,561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Decrease/(Increase) in due from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in due to affiliates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523,333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(Decrease)/Increase in accounts payable and accrued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(394,272)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1,315,858</w:t>
            </w:r>
          </w:p>
        </w:tc>
        <w:tc>
          <w:tcPr>
            <w:tcW w:w="0" w:type="dxa"/>
            <w:vAlign w:val="bottom"/>
          </w:tcPr>
          <w:p>
            <w:pPr>
              <w:spacing w:after="0"/>
              <w:rPr>
                <w:sz w:val="1"/>
                <w:szCs w:val="1"/>
                <w:color w:val="auto"/>
              </w:rPr>
            </w:pPr>
          </w:p>
        </w:tc>
      </w:tr>
      <w:tr>
        <w:trPr>
          <w:trHeight w:val="195"/>
        </w:trPr>
        <w:tc>
          <w:tcPr>
            <w:tcW w:w="4560" w:type="dxa"/>
            <w:vAlign w:val="bottom"/>
            <w:tcBorders>
              <w:top w:val="single" w:sz="8" w:color="CCEEFF"/>
            </w:tcBorders>
          </w:tcPr>
          <w:p>
            <w:pPr>
              <w:ind w:left="740"/>
              <w:spacing w:after="0" w:line="195" w:lineRule="exact"/>
              <w:rPr>
                <w:sz w:val="20"/>
                <w:szCs w:val="20"/>
                <w:color w:val="auto"/>
              </w:rPr>
            </w:pPr>
            <w:r>
              <w:rPr>
                <w:rFonts w:ascii="Arial" w:cs="Arial" w:eastAsia="Arial" w:hAnsi="Arial"/>
                <w:sz w:val="18"/>
                <w:szCs w:val="18"/>
                <w:color w:val="auto"/>
              </w:rPr>
              <w:t>Net cash provided by/(used in) operating</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92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37,193,922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(6,668,200)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(105,984,660)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23,772,408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50,404,236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(3,878,583)</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Issuance of restricted shares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stockholders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(31,016,373)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(33,307,511)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(33,515,661)</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Proceeds from issuance of debt, net of discount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41,203,652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101,954,525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Convertible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(19,348,000)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(11,288,413)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(2,206,000)</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withheld for payroll taxes upon vesting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(220,301)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Decrease/(Increase) in 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12,187,278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(15,246,612)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(4,078,939)</w:t>
            </w:r>
          </w:p>
        </w:tc>
        <w:tc>
          <w:tcPr>
            <w:tcW w:w="0" w:type="dxa"/>
            <w:vAlign w:val="bottom"/>
          </w:tcPr>
          <w:p>
            <w:pPr>
              <w:spacing w:after="0"/>
              <w:rPr>
                <w:sz w:val="1"/>
                <w:szCs w:val="1"/>
                <w:color w:val="auto"/>
              </w:rPr>
            </w:pPr>
          </w:p>
        </w:tc>
      </w:tr>
      <w:tr>
        <w:trPr>
          <w:trHeight w:val="195"/>
        </w:trPr>
        <w:tc>
          <w:tcPr>
            <w:tcW w:w="4560" w:type="dxa"/>
            <w:vAlign w:val="bottom"/>
            <w:tcBorders>
              <w:top w:val="single" w:sz="8" w:color="CCEEFF"/>
            </w:tcBorders>
          </w:tcPr>
          <w:p>
            <w:pPr>
              <w:ind w:left="740"/>
              <w:spacing w:after="0" w:line="195" w:lineRule="exact"/>
              <w:rPr>
                <w:sz w:val="20"/>
                <w:szCs w:val="20"/>
                <w:color w:val="auto"/>
              </w:rPr>
            </w:pPr>
            <w:r>
              <w:rPr>
                <w:rFonts w:ascii="Arial" w:cs="Arial" w:eastAsia="Arial" w:hAnsi="Arial"/>
                <w:sz w:val="18"/>
                <w:szCs w:val="18"/>
                <w:color w:val="auto"/>
              </w:rPr>
              <w:t>Net cash (used in)/provided by financing</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92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(38,414,720)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4,455,323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108,679,578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(1,220,798)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(2,212,877)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2,694,918</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1,220,798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3,433,675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738,757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3,433,675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10,279,221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9,966,425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8,884,945</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w w:val="91"/>
              </w:rPr>
              <w:t>Issuance of common stock under the dividend reinvestment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plan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1,051,795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724,935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715,768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291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2320" w:type="dxa"/>
            <w:vAlign w:val="bottom"/>
          </w:tcPr>
          <w:p>
            <w:pPr>
              <w:jc w:val="center"/>
              <w:ind w:left="100"/>
              <w:spacing w:after="0"/>
              <w:rPr>
                <w:sz w:val="20"/>
                <w:szCs w:val="20"/>
                <w:color w:val="auto"/>
              </w:rPr>
            </w:pPr>
            <w:r>
              <w:rPr>
                <w:rFonts w:ascii="Arial" w:cs="Arial" w:eastAsia="Arial" w:hAnsi="Arial"/>
                <w:sz w:val="13"/>
                <w:szCs w:val="13"/>
                <w:b w:val="1"/>
                <w:bCs w:val="1"/>
                <w:color w:val="auto"/>
                <w:w w:val="87"/>
              </w:rPr>
              <w:t>Investment</w:t>
            </w:r>
          </w:p>
        </w:tc>
        <w:tc>
          <w:tcPr>
            <w:tcW w:w="1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Amortized</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20" w:type="dxa"/>
            <w:vAlign w:val="bottom"/>
          </w:tcPr>
          <w:p>
            <w:pPr>
              <w:jc w:val="center"/>
              <w:ind w:left="100"/>
              <w:spacing w:after="0" w:line="162" w:lineRule="exact"/>
              <w:rPr>
                <w:sz w:val="20"/>
                <w:szCs w:val="20"/>
                <w:color w:val="auto"/>
              </w:rPr>
            </w:pPr>
            <w:r>
              <w:rPr>
                <w:rFonts w:ascii="Arial" w:cs="Arial" w:eastAsia="Arial" w:hAnsi="Arial"/>
                <w:sz w:val="12"/>
                <w:szCs w:val="12"/>
                <w:b w:val="1"/>
                <w:bCs w:val="1"/>
                <w:color w:val="auto"/>
                <w:w w:val="98"/>
              </w:rPr>
              <w:t>Interest Rate</w:t>
            </w:r>
            <w:r>
              <w:rPr>
                <w:rFonts w:ascii="Arial" w:cs="Arial" w:eastAsia="Arial" w:hAnsi="Arial"/>
                <w:sz w:val="18"/>
                <w:szCs w:val="18"/>
                <w:b w:val="1"/>
                <w:bCs w:val="1"/>
                <w:color w:val="auto"/>
                <w:w w:val="98"/>
                <w:vertAlign w:val="superscript"/>
              </w:rPr>
              <w:t>(1)</w:t>
            </w:r>
            <w:r>
              <w:rPr>
                <w:rFonts w:ascii="Arial" w:cs="Arial" w:eastAsia="Arial" w:hAnsi="Arial"/>
                <w:sz w:val="12"/>
                <w:szCs w:val="12"/>
                <w:b w:val="1"/>
                <w:bCs w:val="1"/>
                <w:color w:val="auto"/>
                <w:w w:val="98"/>
              </w:rPr>
              <w:t>/Maturity</w:t>
            </w:r>
          </w:p>
        </w:tc>
        <w:tc>
          <w:tcPr>
            <w:tcW w:w="1140" w:type="dxa"/>
            <w:vAlign w:val="bottom"/>
          </w:tcPr>
          <w:p>
            <w:pPr>
              <w:ind w:left="400"/>
              <w:spacing w:after="0"/>
              <w:rPr>
                <w:sz w:val="20"/>
                <w:szCs w:val="20"/>
                <w:color w:val="auto"/>
              </w:rPr>
            </w:pPr>
            <w:r>
              <w:rPr>
                <w:rFonts w:ascii="Arial" w:cs="Arial" w:eastAsia="Arial" w:hAnsi="Arial"/>
                <w:sz w:val="13"/>
                <w:szCs w:val="13"/>
                <w:b w:val="1"/>
                <w:bCs w:val="1"/>
                <w:color w:val="auto"/>
              </w:rPr>
              <w:t>Principal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6465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1A Smart Start LLC</w:t>
      </w:r>
      <w:r>
        <w:rPr>
          <w:rFonts w:ascii="Arial" w:cs="Arial" w:eastAsia="Arial" w:hAnsi="Arial"/>
          <w:sz w:val="22"/>
          <w:szCs w:val="22"/>
          <w:color w:val="auto"/>
          <w:vertAlign w:val="superscript"/>
        </w:rPr>
        <w:t>(9), (10)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4L Technologies Inc. (fka Clover Holdings,</w:t>
      </w:r>
    </w:p>
    <w:p>
      <w:pPr>
        <w:ind w:left="20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(9), (10)</w:t>
      </w:r>
    </w:p>
    <w:p>
      <w:pPr>
        <w:ind w:left="200"/>
        <w:spacing w:after="0" w:line="234" w:lineRule="auto"/>
        <w:rPr>
          <w:sz w:val="20"/>
          <w:szCs w:val="20"/>
          <w:color w:val="auto"/>
        </w:rPr>
      </w:pPr>
      <w:r>
        <w:rPr>
          <w:rFonts w:ascii="Arial" w:cs="Arial" w:eastAsia="Arial" w:hAnsi="Arial"/>
          <w:sz w:val="14"/>
          <w:szCs w:val="14"/>
          <w:i w:val="1"/>
          <w:iCs w:val="1"/>
          <w:color w:val="auto"/>
        </w:rPr>
        <w:t>Consumer goods: Non-durable</w:t>
      </w:r>
    </w:p>
    <w:p>
      <w:pPr>
        <w:ind w:left="20"/>
        <w:spacing w:after="0" w:line="188"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Durable</w:t>
      </w:r>
    </w:p>
    <w:p>
      <w:pPr>
        <w:ind w:left="20"/>
        <w:spacing w:after="0" w:line="186" w:lineRule="auto"/>
        <w:rPr>
          <w:sz w:val="20"/>
          <w:szCs w:val="20"/>
          <w:color w:val="auto"/>
        </w:rPr>
      </w:pPr>
      <w:r>
        <w:rPr>
          <w:rFonts w:ascii="Arial" w:cs="Arial" w:eastAsia="Arial" w:hAnsi="Arial"/>
          <w:sz w:val="13"/>
          <w:szCs w:val="13"/>
          <w:color w:val="auto"/>
        </w:rPr>
        <w:t>Advantage Sales &amp; Marketing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Alere Inc. (fka IM US Holdings, LLC)</w:t>
      </w:r>
      <w:r>
        <w:rPr>
          <w:rFonts w:ascii="Arial" w:cs="Arial" w:eastAsia="Arial" w:hAnsi="Arial"/>
          <w:sz w:val="21"/>
          <w:szCs w:val="21"/>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American Seafoods Group LLC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Anaren,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Aerospace and Defense</w:t>
      </w:r>
    </w:p>
    <w:p>
      <w:pPr>
        <w:spacing w:after="0" w:line="242" w:lineRule="exact"/>
        <w:rPr>
          <w:sz w:val="20"/>
          <w:szCs w:val="20"/>
          <w:color w:val="auto"/>
        </w:rPr>
      </w:pPr>
    </w:p>
    <w:p>
      <w:pPr>
        <w:jc w:val="right"/>
        <w:ind w:left="20" w:right="540"/>
        <w:spacing w:after="0" w:line="228" w:lineRule="auto"/>
        <w:rPr>
          <w:sz w:val="20"/>
          <w:szCs w:val="20"/>
          <w:color w:val="auto"/>
        </w:rPr>
      </w:pPr>
      <w:r>
        <w:rPr>
          <w:rFonts w:ascii="Arial" w:cs="Arial" w:eastAsia="Arial" w:hAnsi="Arial"/>
          <w:sz w:val="13"/>
          <w:szCs w:val="13"/>
          <w:color w:val="auto"/>
        </w:rPr>
        <w:t>Aristotle Corporation, The</w:t>
      </w:r>
      <w:r>
        <w:rPr>
          <w:rFonts w:ascii="Arial" w:cs="Arial" w:eastAsia="Arial" w:hAnsi="Arial"/>
          <w:sz w:val="20"/>
          <w:szCs w:val="20"/>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Asurion, LLC (fka Asurion</w:t>
      </w:r>
    </w:p>
    <w:p>
      <w:pPr>
        <w:ind w:left="200"/>
        <w:spacing w:after="0" w:line="187"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(9), (10)</w:t>
      </w:r>
    </w:p>
    <w:p>
      <w:pPr>
        <w:ind w:left="200" w:right="200"/>
        <w:spacing w:after="0" w:line="221"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234" w:lineRule="auto"/>
        <w:rPr>
          <w:sz w:val="20"/>
          <w:szCs w:val="20"/>
          <w:color w:val="auto"/>
        </w:rPr>
      </w:pPr>
      <w:r>
        <w:rPr>
          <w:rFonts w:ascii="Arial" w:cs="Arial" w:eastAsia="Arial" w:hAnsi="Arial"/>
          <w:sz w:val="14"/>
          <w:szCs w:val="14"/>
          <w:color w:val="auto"/>
        </w:rPr>
        <w:t>Asurion, LLC (fka Asurion</w:t>
      </w:r>
    </w:p>
    <w:p>
      <w:pPr>
        <w:ind w:left="200"/>
        <w:spacing w:after="0" w:line="180"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(9), (10)</w:t>
      </w:r>
    </w:p>
    <w:p>
      <w:pPr>
        <w:ind w:left="200" w:right="20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Avalign Technologies,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42" w:lineRule="exact"/>
        <w:rPr>
          <w:sz w:val="20"/>
          <w:szCs w:val="20"/>
          <w:color w:val="auto"/>
        </w:rPr>
      </w:pPr>
    </w:p>
    <w:p>
      <w:pPr>
        <w:jc w:val="right"/>
        <w:ind w:left="20" w:right="520"/>
        <w:spacing w:after="0" w:line="248" w:lineRule="auto"/>
        <w:rPr>
          <w:sz w:val="20"/>
          <w:szCs w:val="20"/>
          <w:color w:val="auto"/>
        </w:rPr>
      </w:pPr>
      <w:r>
        <w:rPr>
          <w:rFonts w:ascii="Arial" w:cs="Arial" w:eastAsia="Arial" w:hAnsi="Arial"/>
          <w:sz w:val="12"/>
          <w:szCs w:val="12"/>
          <w:color w:val="auto"/>
        </w:rPr>
        <w:t>Avalign Technologies, Inc.</w:t>
      </w:r>
      <w:r>
        <w:rPr>
          <w:rFonts w:ascii="Arial" w:cs="Arial" w:eastAsia="Arial" w:hAnsi="Arial"/>
          <w:sz w:val="19"/>
          <w:szCs w:val="19"/>
          <w:color w:val="auto"/>
          <w:vertAlign w:val="superscript"/>
        </w:rPr>
        <w:t>(9), (10)</w:t>
      </w:r>
      <w:r>
        <w:rPr>
          <w:rFonts w:ascii="Arial" w:cs="Arial" w:eastAsia="Arial" w:hAnsi="Arial"/>
          <w:sz w:val="12"/>
          <w:szCs w:val="12"/>
          <w:color w:val="auto"/>
        </w:rPr>
        <w:t xml:space="preserve"> </w:t>
      </w:r>
      <w:r>
        <w:rPr>
          <w:rFonts w:ascii="Arial" w:cs="Arial" w:eastAsia="Arial" w:hAnsi="Arial"/>
          <w:sz w:val="12"/>
          <w:szCs w:val="12"/>
          <w:i w:val="1"/>
          <w:iCs w:val="1"/>
          <w:color w:val="auto"/>
        </w:rPr>
        <w:t>Healthcare &amp; Pharmaceuticals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Bankruptcy Management Solutions,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BarBri, Inc. (Gemini Holdings,</w:t>
      </w:r>
    </w:p>
    <w:p>
      <w:pPr>
        <w:ind w:left="20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(10)</w:t>
      </w:r>
    </w:p>
    <w:p>
      <w:pPr>
        <w:ind w:left="200"/>
        <w:spacing w:after="0" w:line="222" w:lineRule="auto"/>
        <w:rPr>
          <w:sz w:val="20"/>
          <w:szCs w:val="20"/>
          <w:color w:val="auto"/>
        </w:rPr>
      </w:pPr>
      <w:r>
        <w:rPr>
          <w:rFonts w:ascii="Arial" w:cs="Arial" w:eastAsia="Arial" w:hAnsi="Arial"/>
          <w:sz w:val="14"/>
          <w:szCs w:val="14"/>
          <w:i w:val="1"/>
          <w:iCs w:val="1"/>
          <w:color w:val="auto"/>
        </w:rPr>
        <w:t>Services: Consumer</w:t>
      </w:r>
    </w:p>
    <w:p>
      <w:pPr>
        <w:ind w:left="200" w:right="800" w:hanging="186"/>
        <w:spacing w:after="0" w:line="185" w:lineRule="auto"/>
        <w:tabs>
          <w:tab w:leader="none" w:pos="344"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Industries US Holdings, </w:t>
      </w:r>
      <w:r>
        <w:rPr>
          <w:rFonts w:ascii="Arial" w:cs="Arial" w:eastAsia="Arial" w:hAnsi="Arial"/>
          <w:sz w:val="25"/>
          <w:szCs w:val="25"/>
          <w:color w:val="auto"/>
          <w:vertAlign w:val="subscript"/>
        </w:rPr>
        <w:t>Inc.</w:t>
      </w:r>
      <w:r>
        <w:rPr>
          <w:rFonts w:ascii="Arial" w:cs="Arial" w:eastAsia="Arial" w:hAnsi="Arial"/>
          <w:sz w:val="10"/>
          <w:szCs w:val="10"/>
          <w:color w:val="auto"/>
        </w:rPr>
        <w:t>(9), (10)</w:t>
      </w:r>
    </w:p>
    <w:p>
      <w:pPr>
        <w:ind w:left="200"/>
        <w:spacing w:after="0"/>
        <w:rPr>
          <w:rFonts w:ascii="Arial" w:cs="Arial" w:eastAsia="Arial" w:hAnsi="Arial"/>
          <w:sz w:val="13"/>
          <w:szCs w:val="13"/>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Bellisio Foods,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2/22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3,000,000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2,971,523</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2,903,100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2,765,000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2,744,921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2,596,059</w:t>
            </w:r>
          </w:p>
        </w:tc>
      </w:tr>
      <w:tr>
        <w:trPr>
          <w:trHeight w:val="169"/>
        </w:trPr>
        <w:tc>
          <w:tcPr>
            <w:tcW w:w="2280" w:type="dxa"/>
            <w:vAlign w:val="bottom"/>
          </w:tcPr>
          <w:p>
            <w:pPr>
              <w:ind w:left="100"/>
              <w:spacing w:after="0"/>
              <w:rPr>
                <w:sz w:val="20"/>
                <w:szCs w:val="20"/>
                <w:color w:val="auto"/>
              </w:rPr>
            </w:pPr>
            <w:r>
              <w:rPr>
                <w:rFonts w:ascii="Arial" w:cs="Arial" w:eastAsia="Arial" w:hAnsi="Arial"/>
                <w:sz w:val="14"/>
                <w:szCs w:val="14"/>
                <w:color w:val="auto"/>
              </w:rPr>
              <w:t>First Lien Bond — 10.5% –</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06/2019 – 00753CAE2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10.5% Cash, Due 6/19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2,216,700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1,002,069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915,700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B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2,553,466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2,555,910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2,536,179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3,971,219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3,937,332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2/21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1,891,210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1,877,288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1,839,202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6/21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3,961,696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3,870,152</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Incremental Tranche B-1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5/19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917,632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918,953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862,290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Incremental Tranche B-4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896,048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891,815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821,676</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990,643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952,400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2,911,472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2,831,108</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6/18</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682,722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682,722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651,590</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2,731,875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2,723,758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2,542,829</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2,927,766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2,833,985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9"/>
              </w:rPr>
              <w:t>Senior Secured Loan — U.S.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280" w:type="dxa"/>
            <w:vAlign w:val="bottom"/>
          </w:tcPr>
          <w:p>
            <w:pPr>
              <w:ind w:left="100"/>
              <w:spacing w:after="0"/>
              <w:rPr>
                <w:sz w:val="20"/>
                <w:szCs w:val="20"/>
                <w:color w:val="auto"/>
              </w:rPr>
            </w:pPr>
            <w:r>
              <w:rPr>
                <w:rFonts w:ascii="Arial" w:cs="Arial" w:eastAsia="Arial" w:hAnsi="Arial"/>
                <w:sz w:val="14"/>
                <w:szCs w:val="14"/>
                <w:color w:val="auto"/>
              </w:rPr>
              <w:t>Due 8/19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1,936,011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1,929,952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1,886,836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-5886450</wp:posOffset>
            </wp:positionV>
            <wp:extent cx="5213985" cy="377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-5200650</wp:posOffset>
            </wp:positionV>
            <wp:extent cx="5213985" cy="317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-4505960</wp:posOffset>
            </wp:positionV>
            <wp:extent cx="5213985" cy="377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-3751580</wp:posOffset>
            </wp:positionV>
            <wp:extent cx="5213985" cy="3771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-3091180</wp:posOffset>
            </wp:positionV>
            <wp:extent cx="5213985" cy="403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-2284730</wp:posOffset>
            </wp:positionV>
            <wp:extent cx="5213985" cy="377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-1530350</wp:posOffset>
            </wp:positionV>
            <wp:extent cx="5213985" cy="377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-843915</wp:posOffset>
            </wp:positionV>
            <wp:extent cx="5213985"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20" w:space="240"/>
            <w:col w:w="733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980" w:type="dxa"/>
            <w:vAlign w:val="bottom"/>
            <w:shd w:val="clear" w:color="auto" w:fill="CCEEFF"/>
          </w:tcPr>
          <w:p>
            <w:pPr>
              <w:ind w:left="20"/>
              <w:spacing w:after="0" w:line="169" w:lineRule="exact"/>
              <w:rPr>
                <w:sz w:val="20"/>
                <w:szCs w:val="20"/>
                <w:color w:val="auto"/>
              </w:rPr>
            </w:pPr>
            <w:r>
              <w:rPr>
                <w:rFonts w:ascii="Arial" w:cs="Arial" w:eastAsia="Arial" w:hAnsi="Arial"/>
                <w:sz w:val="12"/>
                <w:szCs w:val="12"/>
                <w:color w:val="auto"/>
              </w:rPr>
              <w:t>Bestop, Inc.</w:t>
            </w:r>
            <w:r>
              <w:rPr>
                <w:rFonts w:ascii="Arial" w:cs="Arial" w:eastAsia="Arial" w:hAnsi="Arial"/>
                <w:sz w:val="19"/>
                <w:szCs w:val="19"/>
                <w:color w:val="auto"/>
                <w:vertAlign w:val="superscript"/>
              </w:rPr>
              <w:t>(9), (10)</w:t>
            </w:r>
          </w:p>
        </w:tc>
        <w:tc>
          <w:tcPr>
            <w:tcW w:w="3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Senior Secured Loan — Revolving</w:t>
            </w:r>
          </w:p>
        </w:tc>
        <w:tc>
          <w:tcPr>
            <w:tcW w:w="10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9"/>
        </w:trPr>
        <w:tc>
          <w:tcPr>
            <w:tcW w:w="1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Automotive</w:t>
            </w:r>
          </w:p>
        </w:tc>
        <w:tc>
          <w:tcPr>
            <w:tcW w:w="32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Loan</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16"/>
        </w:trPr>
        <w:tc>
          <w:tcPr>
            <w:tcW w:w="1980" w:type="dxa"/>
            <w:vAlign w:val="bottom"/>
            <w:shd w:val="clear" w:color="auto" w:fill="CCEEFF"/>
          </w:tcPr>
          <w:p>
            <w:pPr>
              <w:spacing w:after="0"/>
              <w:rPr>
                <w:sz w:val="10"/>
                <w:szCs w:val="10"/>
                <w:color w:val="auto"/>
              </w:rPr>
            </w:pPr>
          </w:p>
        </w:tc>
        <w:tc>
          <w:tcPr>
            <w:tcW w:w="3260" w:type="dxa"/>
            <w:vAlign w:val="bottom"/>
            <w:shd w:val="clear" w:color="auto" w:fill="CCEEFF"/>
          </w:tcPr>
          <w:p>
            <w:pPr>
              <w:ind w:left="880"/>
              <w:spacing w:after="0" w:line="116" w:lineRule="exact"/>
              <w:rPr>
                <w:sz w:val="20"/>
                <w:szCs w:val="20"/>
                <w:color w:val="auto"/>
              </w:rPr>
            </w:pPr>
            <w:r>
              <w:rPr>
                <w:rFonts w:ascii="Arial" w:cs="Arial" w:eastAsia="Arial" w:hAnsi="Arial"/>
                <w:sz w:val="13"/>
                <w:szCs w:val="13"/>
                <w:color w:val="auto"/>
              </w:rPr>
              <w:t>6.3% Cash, 1.0% Libor Floor,</w:t>
            </w:r>
          </w:p>
        </w:tc>
        <w:tc>
          <w:tcPr>
            <w:tcW w:w="10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67"/>
        </w:trPr>
        <w:tc>
          <w:tcPr>
            <w:tcW w:w="1980" w:type="dxa"/>
            <w:vAlign w:val="bottom"/>
            <w:shd w:val="clear" w:color="auto" w:fill="CCEEFF"/>
          </w:tcPr>
          <w:p>
            <w:pPr>
              <w:spacing w:after="0"/>
              <w:rPr>
                <w:sz w:val="14"/>
                <w:szCs w:val="14"/>
                <w:color w:val="auto"/>
              </w:rPr>
            </w:pPr>
          </w:p>
        </w:tc>
        <w:tc>
          <w:tcPr>
            <w:tcW w:w="32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Due 7/20</w:t>
            </w:r>
          </w:p>
        </w:tc>
        <w:tc>
          <w:tcPr>
            <w:tcW w:w="10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40,000</w:t>
            </w:r>
          </w:p>
        </w:tc>
        <w:tc>
          <w:tcPr>
            <w:tcW w:w="10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34,509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36,984</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2320" w:type="dxa"/>
            <w:vAlign w:val="bottom"/>
          </w:tcPr>
          <w:p>
            <w:pPr>
              <w:jc w:val="center"/>
              <w:ind w:left="100"/>
              <w:spacing w:after="0"/>
              <w:rPr>
                <w:sz w:val="20"/>
                <w:szCs w:val="20"/>
                <w:color w:val="auto"/>
              </w:rPr>
            </w:pPr>
            <w:r>
              <w:rPr>
                <w:rFonts w:ascii="Arial" w:cs="Arial" w:eastAsia="Arial" w:hAnsi="Arial"/>
                <w:sz w:val="13"/>
                <w:szCs w:val="13"/>
                <w:b w:val="1"/>
                <w:bCs w:val="1"/>
                <w:color w:val="auto"/>
                <w:w w:val="87"/>
              </w:rPr>
              <w:t>Investment</w:t>
            </w:r>
          </w:p>
        </w:tc>
        <w:tc>
          <w:tcPr>
            <w:tcW w:w="1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Amortized</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20" w:type="dxa"/>
            <w:vAlign w:val="bottom"/>
          </w:tcPr>
          <w:p>
            <w:pPr>
              <w:jc w:val="center"/>
              <w:ind w:left="100"/>
              <w:spacing w:after="0" w:line="162" w:lineRule="exact"/>
              <w:rPr>
                <w:sz w:val="20"/>
                <w:szCs w:val="20"/>
                <w:color w:val="auto"/>
              </w:rPr>
            </w:pPr>
            <w:r>
              <w:rPr>
                <w:rFonts w:ascii="Arial" w:cs="Arial" w:eastAsia="Arial" w:hAnsi="Arial"/>
                <w:sz w:val="12"/>
                <w:szCs w:val="12"/>
                <w:b w:val="1"/>
                <w:bCs w:val="1"/>
                <w:color w:val="auto"/>
                <w:w w:val="98"/>
              </w:rPr>
              <w:t>Interest Rate</w:t>
            </w:r>
            <w:r>
              <w:rPr>
                <w:rFonts w:ascii="Arial" w:cs="Arial" w:eastAsia="Arial" w:hAnsi="Arial"/>
                <w:sz w:val="18"/>
                <w:szCs w:val="18"/>
                <w:b w:val="1"/>
                <w:bCs w:val="1"/>
                <w:color w:val="auto"/>
                <w:w w:val="98"/>
                <w:vertAlign w:val="superscript"/>
              </w:rPr>
              <w:t>(1)</w:t>
            </w:r>
            <w:r>
              <w:rPr>
                <w:rFonts w:ascii="Arial" w:cs="Arial" w:eastAsia="Arial" w:hAnsi="Arial"/>
                <w:sz w:val="12"/>
                <w:szCs w:val="12"/>
                <w:b w:val="1"/>
                <w:bCs w:val="1"/>
                <w:color w:val="auto"/>
                <w:w w:val="98"/>
              </w:rPr>
              <w:t>/Maturity</w:t>
            </w:r>
          </w:p>
        </w:tc>
        <w:tc>
          <w:tcPr>
            <w:tcW w:w="1140" w:type="dxa"/>
            <w:vAlign w:val="bottom"/>
          </w:tcPr>
          <w:p>
            <w:pPr>
              <w:ind w:left="400"/>
              <w:spacing w:after="0"/>
              <w:rPr>
                <w:sz w:val="20"/>
                <w:szCs w:val="20"/>
                <w:color w:val="auto"/>
              </w:rPr>
            </w:pPr>
            <w:r>
              <w:rPr>
                <w:rFonts w:ascii="Arial" w:cs="Arial" w:eastAsia="Arial" w:hAnsi="Arial"/>
                <w:sz w:val="13"/>
                <w:szCs w:val="13"/>
                <w:b w:val="1"/>
                <w:bCs w:val="1"/>
                <w:color w:val="auto"/>
              </w:rPr>
              <w:t>Principal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6465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Bestop, Inc.</w:t>
      </w:r>
      <w:r>
        <w:rPr>
          <w:rFonts w:ascii="Arial" w:cs="Arial" w:eastAsia="Arial" w:hAnsi="Arial"/>
          <w:sz w:val="22"/>
          <w:szCs w:val="22"/>
          <w:color w:val="auto"/>
          <w:vertAlign w:val="superscript"/>
        </w:rPr>
        <w:t>(9), (10)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Carolina Beverage Group LLC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CCS Intermediate Holdings, LLC</w:t>
      </w:r>
      <w:r>
        <w:rPr>
          <w:rFonts w:ascii="Arial" w:cs="Arial" w:eastAsia="Arial" w:hAnsi="Arial"/>
          <w:sz w:val="21"/>
          <w:szCs w:val="21"/>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ind w:left="200" w:right="40" w:hanging="179"/>
        <w:spacing w:after="0" w:line="197" w:lineRule="auto"/>
        <w:rPr>
          <w:sz w:val="20"/>
          <w:szCs w:val="20"/>
          <w:color w:val="auto"/>
        </w:rPr>
      </w:pPr>
      <w:r>
        <w:rPr>
          <w:rFonts w:ascii="Arial" w:cs="Arial" w:eastAsia="Arial" w:hAnsi="Arial"/>
          <w:sz w:val="14"/>
          <w:szCs w:val="14"/>
          <w:color w:val="auto"/>
        </w:rPr>
        <w:t>Cengage Learning Acquisitions, Inc. (fka TL Acquisitions, Inc.)</w:t>
      </w:r>
      <w:r>
        <w:rPr>
          <w:rFonts w:ascii="Arial" w:cs="Arial" w:eastAsia="Arial" w:hAnsi="Arial"/>
          <w:sz w:val="23"/>
          <w:szCs w:val="23"/>
          <w:color w:val="auto"/>
          <w:vertAlign w:val="superscript"/>
        </w:rPr>
        <w:t>(9), (10)</w:t>
      </w:r>
    </w:p>
    <w:p>
      <w:pPr>
        <w:ind w:left="200" w:right="440"/>
        <w:spacing w:after="0" w:line="221"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Charter Communications Operating, LLC</w:t>
      </w:r>
    </w:p>
    <w:p>
      <w:pPr>
        <w:ind w:left="200"/>
        <w:spacing w:after="0" w:line="186" w:lineRule="auto"/>
        <w:rPr>
          <w:sz w:val="20"/>
          <w:szCs w:val="20"/>
          <w:color w:val="auto"/>
        </w:rPr>
      </w:pPr>
      <w:r>
        <w:rPr>
          <w:rFonts w:ascii="Arial" w:cs="Arial" w:eastAsia="Arial" w:hAnsi="Arial"/>
          <w:sz w:val="13"/>
          <w:szCs w:val="13"/>
          <w:color w:val="auto"/>
        </w:rPr>
        <w:t>(aka CCO Safari LLC)</w:t>
      </w:r>
      <w:r>
        <w:rPr>
          <w:rFonts w:ascii="Arial" w:cs="Arial" w:eastAsia="Arial" w:hAnsi="Arial"/>
          <w:sz w:val="21"/>
          <w:szCs w:val="21"/>
          <w:color w:val="auto"/>
          <w:vertAlign w:val="superscript"/>
        </w:rPr>
        <w:t>(10)</w:t>
      </w:r>
    </w:p>
    <w:p>
      <w:pPr>
        <w:spacing w:after="0" w:line="1" w:lineRule="exact"/>
        <w:rPr>
          <w:sz w:val="20"/>
          <w:szCs w:val="20"/>
          <w:color w:val="auto"/>
        </w:rPr>
      </w:pPr>
    </w:p>
    <w:p>
      <w:pPr>
        <w:ind w:left="20" w:right="120" w:firstLine="180"/>
        <w:spacing w:after="0" w:line="244" w:lineRule="auto"/>
        <w:rPr>
          <w:sz w:val="20"/>
          <w:szCs w:val="20"/>
          <w:color w:val="auto"/>
        </w:rPr>
      </w:pPr>
      <w:r>
        <w:rPr>
          <w:rFonts w:ascii="Arial" w:cs="Arial" w:eastAsia="Arial" w:hAnsi="Arial"/>
          <w:sz w:val="13"/>
          <w:szCs w:val="13"/>
          <w:i w:val="1"/>
          <w:iCs w:val="1"/>
          <w:color w:val="auto"/>
        </w:rPr>
        <w:t xml:space="preserve">Media: Broadcasting &amp; Subscription </w:t>
      </w:r>
      <w:r>
        <w:rPr>
          <w:rFonts w:ascii="Arial" w:cs="Arial" w:eastAsia="Arial" w:hAnsi="Arial"/>
          <w:sz w:val="13"/>
          <w:szCs w:val="13"/>
          <w:color w:val="auto"/>
        </w:rPr>
        <w:t>Checkout Holding Corp. (fka Catalina</w:t>
      </w:r>
    </w:p>
    <w:p>
      <w:pPr>
        <w:ind w:left="200"/>
        <w:spacing w:after="0" w:line="181" w:lineRule="auto"/>
        <w:rPr>
          <w:sz w:val="20"/>
          <w:szCs w:val="20"/>
          <w:color w:val="auto"/>
        </w:rPr>
      </w:pPr>
      <w:r>
        <w:rPr>
          <w:rFonts w:ascii="Arial" w:cs="Arial" w:eastAsia="Arial" w:hAnsi="Arial"/>
          <w:sz w:val="13"/>
          <w:szCs w:val="13"/>
          <w:color w:val="auto"/>
        </w:rPr>
        <w:t>Marketing)</w:t>
      </w:r>
      <w:r>
        <w:rPr>
          <w:rFonts w:ascii="Arial" w:cs="Arial" w:eastAsia="Arial" w:hAnsi="Arial"/>
          <w:sz w:val="21"/>
          <w:szCs w:val="21"/>
          <w:color w:val="auto"/>
          <w:vertAlign w:val="superscript"/>
        </w:rPr>
        <w:t>(9), (10)</w:t>
      </w:r>
    </w:p>
    <w:p>
      <w:pPr>
        <w:ind w:left="20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rPr>
          <w:sz w:val="20"/>
          <w:szCs w:val="20"/>
          <w:color w:val="auto"/>
        </w:rPr>
      </w:pPr>
      <w:r>
        <w:rPr>
          <w:rFonts w:ascii="Arial" w:cs="Arial" w:eastAsia="Arial" w:hAnsi="Arial"/>
          <w:sz w:val="14"/>
          <w:szCs w:val="14"/>
          <w:i w:val="1"/>
          <w:iCs w:val="1"/>
          <w:color w:val="auto"/>
        </w:rPr>
        <w:t>Publishing</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CHS/Community Health Systems, Inc.</w:t>
      </w:r>
      <w:r>
        <w:rPr>
          <w:rFonts w:ascii="Arial" w:cs="Arial" w:eastAsia="Arial" w:hAnsi="Arial"/>
          <w:sz w:val="19"/>
          <w:szCs w:val="19"/>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Communications, Inc.</w:t>
      </w:r>
      <w:r>
        <w:rPr>
          <w:rFonts w:ascii="Arial" w:cs="Arial" w:eastAsia="Arial" w:hAnsi="Arial"/>
          <w:sz w:val="21"/>
          <w:szCs w:val="21"/>
          <w:color w:val="auto"/>
          <w:vertAlign w:val="superscript"/>
        </w:rPr>
        <w:t>(10)</w:t>
      </w:r>
    </w:p>
    <w:p>
      <w:pPr>
        <w:ind w:left="200"/>
        <w:spacing w:after="0"/>
        <w:rPr>
          <w:sz w:val="20"/>
          <w:szCs w:val="20"/>
          <w:color w:val="auto"/>
        </w:rPr>
      </w:pPr>
      <w:r>
        <w:rPr>
          <w:rFonts w:ascii="Arial" w:cs="Arial" w:eastAsia="Arial" w:hAnsi="Arial"/>
          <w:sz w:val="14"/>
          <w:szCs w:val="14"/>
          <w:i w:val="1"/>
          <w:iCs w:val="1"/>
          <w:color w:val="auto"/>
        </w:rPr>
        <w:t>Telecommunications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CRGT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Crowley Holdings Preferred, LLC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Transportation: Cargo</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Crowne Group, LLC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CSM Bakery Solutions Limited (fka CSM</w:t>
      </w:r>
    </w:p>
    <w:p>
      <w:pPr>
        <w:ind w:left="200"/>
        <w:spacing w:after="0" w:line="181" w:lineRule="auto"/>
        <w:rPr>
          <w:sz w:val="20"/>
          <w:szCs w:val="20"/>
          <w:color w:val="auto"/>
        </w:rPr>
      </w:pPr>
      <w:r>
        <w:rPr>
          <w:rFonts w:ascii="Arial" w:cs="Arial" w:eastAsia="Arial" w:hAnsi="Arial"/>
          <w:sz w:val="14"/>
          <w:szCs w:val="14"/>
          <w:color w:val="auto"/>
        </w:rPr>
        <w:t>Bakery Supplies Limited)</w:t>
      </w:r>
      <w:r>
        <w:rPr>
          <w:rFonts w:ascii="Arial" w:cs="Arial" w:eastAsia="Arial" w:hAnsi="Arial"/>
          <w:sz w:val="23"/>
          <w:szCs w:val="23"/>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CT Technologies Intermediate Holdings,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Inc. (Smart Holdings Corp.) (aka</w:t>
      </w:r>
    </w:p>
    <w:p>
      <w:pPr>
        <w:ind w:left="200"/>
        <w:spacing w:after="0" w:line="180" w:lineRule="auto"/>
        <w:rPr>
          <w:sz w:val="20"/>
          <w:szCs w:val="20"/>
          <w:color w:val="auto"/>
        </w:rPr>
      </w:pPr>
      <w:r>
        <w:rPr>
          <w:rFonts w:ascii="Arial" w:cs="Arial" w:eastAsia="Arial" w:hAnsi="Arial"/>
          <w:sz w:val="13"/>
          <w:szCs w:val="13"/>
          <w:color w:val="auto"/>
        </w:rPr>
        <w:t>HealthPort)</w:t>
      </w:r>
      <w:r>
        <w:rPr>
          <w:rFonts w:ascii="Arial" w:cs="Arial" w:eastAsia="Arial" w:hAnsi="Arial"/>
          <w:sz w:val="21"/>
          <w:szCs w:val="21"/>
          <w:color w:val="auto"/>
          <w:vertAlign w:val="superscript"/>
        </w:rPr>
        <w:t>(9), (10)</w:t>
      </w:r>
    </w:p>
    <w:p>
      <w:pPr>
        <w:ind w:left="200"/>
        <w:spacing w:after="0" w:line="233"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DBI Holding LLC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192" w:lineRule="exact"/>
        <w:rPr>
          <w:sz w:val="20"/>
          <w:szCs w:val="20"/>
          <w:color w:val="auto"/>
        </w:rPr>
      </w:pPr>
    </w:p>
    <w:p>
      <w:pPr>
        <w:jc w:val="right"/>
        <w:ind w:right="1220"/>
        <w:spacing w:after="0"/>
        <w:rPr>
          <w:sz w:val="20"/>
          <w:szCs w:val="20"/>
          <w:color w:val="auto"/>
        </w:rPr>
      </w:pPr>
      <w:r>
        <w:rPr>
          <w:rFonts w:ascii="Arial" w:cs="Arial" w:eastAsia="Arial" w:hAnsi="Arial"/>
          <w:sz w:val="13"/>
          <w:szCs w:val="13"/>
          <w:color w:val="auto"/>
        </w:rPr>
        <w:t>DBI Holding LLC</w:t>
      </w:r>
      <w:r>
        <w:rPr>
          <w:rFonts w:ascii="Arial" w:cs="Arial" w:eastAsia="Arial" w:hAnsi="Arial"/>
          <w:sz w:val="21"/>
          <w:szCs w:val="21"/>
          <w:color w:val="auto"/>
          <w:vertAlign w:val="superscript"/>
        </w:rPr>
        <w:t>(9)</w:t>
      </w:r>
    </w:p>
    <w:p>
      <w:pPr>
        <w:jc w:val="right"/>
        <w:ind w:right="1180"/>
        <w:spacing w:after="0"/>
        <w:rPr>
          <w:sz w:val="20"/>
          <w:szCs w:val="20"/>
          <w:color w:val="auto"/>
        </w:rPr>
      </w:pPr>
      <w:r>
        <w:rPr>
          <w:rFonts w:ascii="Arial" w:cs="Arial" w:eastAsia="Arial" w:hAnsi="Arial"/>
          <w:sz w:val="14"/>
          <w:szCs w:val="14"/>
          <w:i w:val="1"/>
          <w:iCs w:val="1"/>
          <w:color w:val="auto"/>
        </w:rPr>
        <w:t>Services: Business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DJO Finance LLC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Drew Marine Group Inc.</w:t>
      </w:r>
      <w:r>
        <w:rPr>
          <w:rFonts w:ascii="Arial" w:cs="Arial" w:eastAsia="Arial" w:hAnsi="Arial"/>
          <w:sz w:val="23"/>
          <w:szCs w:val="23"/>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Transportation: Cargo</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(9), (10)</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2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  1,580,000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  1,557,976</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1,460,868</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Bond — 10.625%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08/2018 – 143818AA0 144A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10.6% Cash, Due 8/18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1,510,560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1,503,752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2,962,500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2,950,638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2,549,824</w:t>
            </w:r>
          </w:p>
        </w:tc>
      </w:tr>
      <w:tr>
        <w:trPr>
          <w:trHeight w:val="304"/>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3/20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2,979,950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2,974,534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2,912,901</w:t>
            </w: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4"/>
              </w:rPr>
              <w:t>Senior Secured Loan — Term I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3.5% Cash, 0.8%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1/23</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1,001,223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1,000,420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985,000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981,284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792,925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5"/>
              </w:rPr>
              <w:t>Senior Secured Loan — Incremental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2021 Term H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1,994,987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1,992,571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1,967,915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2,962,217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2,971,404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2,947,421</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3,912,342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3,861,177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3,750,762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Preferred Stock — 12.000%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12/2049 – Series A Income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Preferred Securities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10.0% Cash, 2.0% PIK, Due 12/49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10,411,673</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10,411,673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11,036,373</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3,902,980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3,664,810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3,013,843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2,827,500</w:t>
            </w:r>
          </w:p>
        </w:tc>
      </w:tr>
      <w:tr>
        <w:trPr>
          <w:trHeight w:val="304"/>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2,970,075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2,942,705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2,877,260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Unsecured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Bond — 09/2019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PIK Note 0.0% Cash, 16.0% PIK,</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4,043,719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3,859,845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4,043,722</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Subordinated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Bond — 09/2019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 Senior Subordinated Note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12.0% Cash, 4.0% PIK, Due 9/19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4,481,135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4,466,793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4,615,571</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1,490,906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1,464,375</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2,495,491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2,495,000</w:t>
            </w: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1"/>
        </w:trPr>
        <w:tc>
          <w:tcPr>
            <w:tcW w:w="2280" w:type="dxa"/>
            <w:vAlign w:val="bottom"/>
          </w:tcPr>
          <w:p>
            <w:pPr>
              <w:ind w:left="100"/>
              <w:spacing w:after="0"/>
              <w:rPr>
                <w:sz w:val="20"/>
                <w:szCs w:val="20"/>
                <w:color w:val="auto"/>
              </w:rPr>
            </w:pPr>
            <w:r>
              <w:rPr>
                <w:rFonts w:ascii="Arial" w:cs="Arial" w:eastAsia="Arial" w:hAnsi="Arial"/>
                <w:sz w:val="14"/>
                <w:szCs w:val="14"/>
                <w:color w:val="auto"/>
              </w:rPr>
              <w:t>Due 6/18</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1,552,326</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1,507,787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1,546,893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-6581140</wp:posOffset>
            </wp:positionV>
            <wp:extent cx="5213985" cy="283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-6015355</wp:posOffset>
            </wp:positionV>
            <wp:extent cx="5213985" cy="377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-5234940</wp:posOffset>
            </wp:positionV>
            <wp:extent cx="5213985" cy="308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-4454525</wp:posOffset>
            </wp:positionV>
            <wp:extent cx="5213985" cy="377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-3700145</wp:posOffset>
            </wp:positionV>
            <wp:extent cx="5213985" cy="2832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-3039745</wp:posOffset>
            </wp:positionV>
            <wp:extent cx="5213985" cy="377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-2284730</wp:posOffset>
            </wp:positionV>
            <wp:extent cx="5213985" cy="403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-1504315</wp:posOffset>
            </wp:positionV>
            <wp:extent cx="5213985"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-749935</wp:posOffset>
            </wp:positionV>
            <wp:extent cx="5213985"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40" w:space="320"/>
            <w:col w:w="733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4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EWT Holdings III Corp. (fka WTG</w:t>
            </w:r>
          </w:p>
        </w:tc>
        <w:tc>
          <w:tcPr>
            <w:tcW w:w="2700" w:type="dxa"/>
            <w:vAlign w:val="bottom"/>
            <w:shd w:val="clear" w:color="auto" w:fill="CCEEFF"/>
          </w:tcPr>
          <w:p>
            <w:pPr>
              <w:ind w:left="400"/>
              <w:spacing w:after="0" w:line="137" w:lineRule="exact"/>
              <w:rPr>
                <w:sz w:val="20"/>
                <w:szCs w:val="20"/>
                <w:color w:val="auto"/>
              </w:rPr>
            </w:pPr>
            <w:r>
              <w:rPr>
                <w:rFonts w:ascii="Arial" w:cs="Arial" w:eastAsia="Arial" w:hAnsi="Arial"/>
                <w:sz w:val="14"/>
                <w:szCs w:val="14"/>
                <w:color w:val="auto"/>
              </w:rPr>
              <w:t>Junior Secured Loan — Term Loan</w:t>
            </w: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0"/>
              <w:spacing w:after="0" w:line="181" w:lineRule="exact"/>
              <w:rPr>
                <w:sz w:val="20"/>
                <w:szCs w:val="20"/>
                <w:color w:val="auto"/>
              </w:rPr>
            </w:pPr>
            <w:r>
              <w:rPr>
                <w:rFonts w:ascii="Arial" w:cs="Arial" w:eastAsia="Arial" w:hAnsi="Arial"/>
                <w:sz w:val="13"/>
                <w:szCs w:val="13"/>
                <w:color w:val="auto"/>
              </w:rPr>
              <w:t>Holdings III Corp.)</w:t>
            </w:r>
            <w:r>
              <w:rPr>
                <w:rFonts w:ascii="Arial" w:cs="Arial" w:eastAsia="Arial" w:hAnsi="Arial"/>
                <w:sz w:val="20"/>
                <w:szCs w:val="20"/>
                <w:color w:val="auto"/>
                <w:vertAlign w:val="superscript"/>
              </w:rPr>
              <w:t>(9)</w:t>
            </w:r>
          </w:p>
        </w:tc>
        <w:tc>
          <w:tcPr>
            <w:tcW w:w="2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(Second Lien)</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Environmental Industries</w:t>
            </w:r>
          </w:p>
        </w:tc>
        <w:tc>
          <w:tcPr>
            <w:tcW w:w="27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8.5% Cash, 1.0% Libor Floor,</w:t>
            </w:r>
          </w:p>
        </w:tc>
        <w:tc>
          <w:tcPr>
            <w:tcW w:w="10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4,000,000</w:t>
            </w:r>
          </w:p>
        </w:tc>
        <w:tc>
          <w:tcPr>
            <w:tcW w:w="10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3,984,890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3,658,400</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2700" w:type="dxa"/>
            <w:vAlign w:val="bottom"/>
            <w:shd w:val="clear" w:color="auto" w:fill="CCEEFF"/>
          </w:tcPr>
          <w:p>
            <w:pPr>
              <w:ind w:left="400"/>
              <w:spacing w:after="0" w:line="135" w:lineRule="exact"/>
              <w:rPr>
                <w:sz w:val="20"/>
                <w:szCs w:val="20"/>
                <w:color w:val="auto"/>
              </w:rPr>
            </w:pPr>
            <w:r>
              <w:rPr>
                <w:rFonts w:ascii="Arial" w:cs="Arial" w:eastAsia="Arial" w:hAnsi="Arial"/>
                <w:sz w:val="14"/>
                <w:szCs w:val="14"/>
                <w:color w:val="auto"/>
              </w:rPr>
              <w:t>Due 1/22</w:t>
            </w:r>
          </w:p>
        </w:tc>
        <w:tc>
          <w:tcPr>
            <w:tcW w:w="108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6" w:lineRule="auto"/>
        <w:rPr>
          <w:sz w:val="20"/>
          <w:szCs w:val="20"/>
          <w:color w:val="auto"/>
        </w:rPr>
      </w:pPr>
      <w:r>
        <w:rPr>
          <w:rFonts w:ascii="Arial" w:cs="Arial" w:eastAsia="Arial" w:hAnsi="Arial"/>
          <w:sz w:val="13"/>
          <w:szCs w:val="13"/>
          <w:color w:val="auto"/>
        </w:rPr>
        <w:t>Fender Musical Instruments Corporation</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186" w:lineRule="auto"/>
        <w:rPr>
          <w:sz w:val="20"/>
          <w:szCs w:val="20"/>
          <w:color w:val="auto"/>
        </w:rPr>
      </w:pPr>
      <w:r>
        <w:rPr>
          <w:rFonts w:ascii="Arial" w:cs="Arial" w:eastAsia="Arial" w:hAnsi="Arial"/>
          <w:sz w:val="13"/>
          <w:szCs w:val="13"/>
          <w:color w:val="auto"/>
        </w:rPr>
        <w:t>FHC Health Systems, Inc.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(9)</w:t>
      </w:r>
    </w:p>
    <w:p>
      <w:pPr>
        <w:ind w:left="180"/>
        <w:spacing w:after="0" w:line="221" w:lineRule="auto"/>
        <w:rPr>
          <w:sz w:val="20"/>
          <w:szCs w:val="20"/>
          <w:color w:val="auto"/>
        </w:rPr>
      </w:pPr>
      <w:r>
        <w:rPr>
          <w:rFonts w:ascii="Arial" w:cs="Arial" w:eastAsia="Arial" w:hAnsi="Arial"/>
          <w:sz w:val="14"/>
          <w:szCs w:val="14"/>
          <w:i w:val="1"/>
          <w:iCs w:val="1"/>
          <w:color w:val="auto"/>
        </w:rPr>
        <w:t>Banking, Finance, Insurance &amp; Real</w:t>
      </w:r>
    </w:p>
    <w:p>
      <w:pPr>
        <w:ind w:left="180"/>
        <w:spacing w:after="0"/>
        <w:rPr>
          <w:sz w:val="20"/>
          <w:szCs w:val="20"/>
          <w:color w:val="auto"/>
        </w:rPr>
      </w:pPr>
      <w:r>
        <w:rPr>
          <w:rFonts w:ascii="Arial" w:cs="Arial" w:eastAsia="Arial" w:hAnsi="Arial"/>
          <w:sz w:val="14"/>
          <w:szCs w:val="14"/>
          <w:i w:val="1"/>
          <w:iCs w:val="1"/>
          <w:color w:val="auto"/>
        </w:rPr>
        <w:t>Estate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(9), (10)</w:t>
      </w:r>
    </w:p>
    <w:p>
      <w:pPr>
        <w:ind w:left="180" w:right="560"/>
        <w:spacing w:after="0" w:line="23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GI Advo Opco,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GI Advo Opco,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 (aka Global Knowledge)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 (aka Global Knowledge)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 (10)</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Gold Standard Baking,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Grande Communications Networks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Grifols Worldwide Operations Limited</w:t>
      </w:r>
      <w:r>
        <w:rPr>
          <w:rFonts w:ascii="Arial" w:cs="Arial" w:eastAsia="Arial" w:hAnsi="Arial"/>
          <w:sz w:val="21"/>
          <w:szCs w:val="21"/>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Retail</w:t>
      </w:r>
    </w:p>
    <w:p>
      <w:pPr>
        <w:spacing w:after="0" w:line="84" w:lineRule="exact"/>
        <w:rPr>
          <w:sz w:val="20"/>
          <w:szCs w:val="20"/>
          <w:color w:val="auto"/>
        </w:rPr>
      </w:pPr>
    </w:p>
    <w:p>
      <w:pPr>
        <w:ind w:left="180" w:hanging="179"/>
        <w:spacing w:after="0" w:line="197" w:lineRule="auto"/>
        <w:rPr>
          <w:sz w:val="20"/>
          <w:szCs w:val="20"/>
          <w:color w:val="auto"/>
        </w:rPr>
      </w:pPr>
      <w:r>
        <w:rPr>
          <w:rFonts w:ascii="Arial" w:cs="Arial" w:eastAsia="Arial" w:hAnsi="Arial"/>
          <w:sz w:val="14"/>
          <w:szCs w:val="14"/>
          <w:color w:val="auto"/>
        </w:rPr>
        <w:t>Hargray Communications Group, Inc. (HCP Acquisition LLC)</w:t>
      </w:r>
      <w:r>
        <w:rPr>
          <w:rFonts w:ascii="Arial" w:cs="Arial" w:eastAsia="Arial" w:hAnsi="Arial"/>
          <w:sz w:val="23"/>
          <w:szCs w:val="23"/>
          <w:color w:val="auto"/>
          <w:vertAlign w:val="superscript"/>
        </w:rPr>
        <w:t>(9), (10)</w:t>
      </w:r>
    </w:p>
    <w:p>
      <w:pPr>
        <w:ind w:left="180"/>
        <w:spacing w:after="0" w:line="222" w:lineRule="auto"/>
        <w:rPr>
          <w:sz w:val="20"/>
          <w:szCs w:val="20"/>
          <w:color w:val="auto"/>
        </w:rPr>
      </w:pPr>
      <w:r>
        <w:rPr>
          <w:rFonts w:ascii="Arial" w:cs="Arial" w:eastAsia="Arial" w:hAnsi="Arial"/>
          <w:sz w:val="14"/>
          <w:szCs w:val="14"/>
          <w:i w:val="1"/>
          <w:iCs w:val="1"/>
          <w:color w:val="auto"/>
        </w:rPr>
        <w:t>Media: Broadcasting &amp;</w:t>
      </w:r>
    </w:p>
    <w:p>
      <w:pPr>
        <w:ind w:left="180"/>
        <w:spacing w:after="0" w:line="221" w:lineRule="auto"/>
        <w:rPr>
          <w:sz w:val="20"/>
          <w:szCs w:val="20"/>
          <w:color w:val="auto"/>
        </w:rPr>
      </w:pPr>
      <w:r>
        <w:rPr>
          <w:rFonts w:ascii="Arial" w:cs="Arial" w:eastAsia="Arial" w:hAnsi="Arial"/>
          <w:sz w:val="14"/>
          <w:szCs w:val="14"/>
          <w:i w:val="1"/>
          <w:iCs w:val="1"/>
          <w:color w:val="auto"/>
        </w:rPr>
        <w:t>Subscription</w:t>
      </w:r>
    </w:p>
    <w:p>
      <w:pPr>
        <w:spacing w:after="0"/>
        <w:rPr>
          <w:sz w:val="20"/>
          <w:szCs w:val="20"/>
          <w:color w:val="auto"/>
        </w:rPr>
      </w:pPr>
      <w:r>
        <w:rPr>
          <w:rFonts w:ascii="Arial" w:cs="Arial" w:eastAsia="Arial" w:hAnsi="Arial"/>
          <w:sz w:val="13"/>
          <w:szCs w:val="13"/>
          <w:color w:val="auto"/>
        </w:rPr>
        <w:t>Harland Clarke Holdings Corp. (fka Clarke</w:t>
      </w:r>
    </w:p>
    <w:p>
      <w:pPr>
        <w:ind w:left="180"/>
        <w:spacing w:after="0" w:line="186" w:lineRule="auto"/>
        <w:rPr>
          <w:sz w:val="20"/>
          <w:szCs w:val="20"/>
          <w:color w:val="auto"/>
        </w:rPr>
      </w:pPr>
      <w:r>
        <w:rPr>
          <w:rFonts w:ascii="Arial" w:cs="Arial" w:eastAsia="Arial" w:hAnsi="Arial"/>
          <w:sz w:val="13"/>
          <w:szCs w:val="13"/>
          <w:color w:val="auto"/>
        </w:rPr>
        <w:t>American Corp.)</w:t>
      </w:r>
      <w:r>
        <w:rPr>
          <w:rFonts w:ascii="Arial" w:cs="Arial" w:eastAsia="Arial" w:hAnsi="Arial"/>
          <w:sz w:val="21"/>
          <w:szCs w:val="21"/>
          <w:color w:val="auto"/>
          <w:vertAlign w:val="superscript"/>
        </w:rPr>
        <w:t>(9), (10)</w:t>
      </w:r>
    </w:p>
    <w:p>
      <w:pPr>
        <w:ind w:left="180"/>
        <w:spacing w:after="0" w:line="222" w:lineRule="auto"/>
        <w:rPr>
          <w:sz w:val="20"/>
          <w:szCs w:val="20"/>
          <w:color w:val="auto"/>
        </w:rPr>
      </w:pPr>
      <w:r>
        <w:rPr>
          <w:rFonts w:ascii="Arial" w:cs="Arial" w:eastAsia="Arial" w:hAnsi="Arial"/>
          <w:sz w:val="14"/>
          <w:szCs w:val="14"/>
          <w:i w:val="1"/>
          <w:iCs w:val="1"/>
          <w:color w:val="auto"/>
        </w:rPr>
        <w:t>Media: Advertising, Printing &amp;</w:t>
      </w:r>
    </w:p>
    <w:p>
      <w:pPr>
        <w:ind w:left="180"/>
        <w:spacing w:after="0" w:line="222" w:lineRule="auto"/>
        <w:rPr>
          <w:sz w:val="20"/>
          <w:szCs w:val="20"/>
          <w:color w:val="auto"/>
        </w:rPr>
      </w:pPr>
      <w:r>
        <w:rPr>
          <w:rFonts w:ascii="Arial" w:cs="Arial" w:eastAsia="Arial" w:hAnsi="Arial"/>
          <w:sz w:val="14"/>
          <w:szCs w:val="14"/>
          <w:i w:val="1"/>
          <w:iCs w:val="1"/>
          <w:color w:val="auto"/>
        </w:rPr>
        <w:t>Publishing</w:t>
      </w:r>
    </w:p>
    <w:p>
      <w:pPr>
        <w:spacing w:after="0"/>
        <w:rPr>
          <w:sz w:val="20"/>
          <w:szCs w:val="20"/>
          <w:color w:val="auto"/>
        </w:rPr>
      </w:pPr>
      <w:r>
        <w:rPr>
          <w:rFonts w:ascii="Arial" w:cs="Arial" w:eastAsia="Arial" w:hAnsi="Arial"/>
          <w:sz w:val="13"/>
          <w:szCs w:val="13"/>
          <w:color w:val="auto"/>
        </w:rPr>
        <w:t>Harland Clarke Holdings Corp. (fka Clarke</w:t>
      </w:r>
    </w:p>
    <w:p>
      <w:pPr>
        <w:spacing w:after="0" w:line="7" w:lineRule="exact"/>
        <w:rPr>
          <w:sz w:val="20"/>
          <w:szCs w:val="20"/>
          <w:color w:val="auto"/>
        </w:rPr>
      </w:pPr>
    </w:p>
    <w:p>
      <w:pPr>
        <w:ind w:left="180" w:right="560"/>
        <w:spacing w:after="0" w:line="198" w:lineRule="auto"/>
        <w:rPr>
          <w:sz w:val="20"/>
          <w:szCs w:val="20"/>
          <w:color w:val="auto"/>
        </w:rPr>
      </w:pPr>
      <w:r>
        <w:rPr>
          <w:rFonts w:ascii="Arial" w:cs="Arial" w:eastAsia="Arial" w:hAnsi="Arial"/>
          <w:sz w:val="14"/>
          <w:szCs w:val="14"/>
          <w:color w:val="auto"/>
        </w:rPr>
        <w:t>American Corp.)</w:t>
      </w:r>
      <w:r>
        <w:rPr>
          <w:rFonts w:ascii="Arial" w:cs="Arial" w:eastAsia="Arial" w:hAnsi="Arial"/>
          <w:sz w:val="23"/>
          <w:szCs w:val="23"/>
          <w:color w:val="auto"/>
          <w:vertAlign w:val="superscript"/>
        </w:rPr>
        <w:t>(9), (10)</w:t>
      </w:r>
      <w:r>
        <w:rPr>
          <w:rFonts w:ascii="Arial" w:cs="Arial" w:eastAsia="Arial" w:hAnsi="Arial"/>
          <w:sz w:val="14"/>
          <w:szCs w:val="14"/>
          <w:color w:val="auto"/>
        </w:rPr>
        <w:t xml:space="preserve"> </w:t>
      </w:r>
      <w:r>
        <w:rPr>
          <w:rFonts w:ascii="Arial" w:cs="Arial" w:eastAsia="Arial" w:hAnsi="Arial"/>
          <w:sz w:val="14"/>
          <w:szCs w:val="14"/>
          <w:i w:val="1"/>
          <w:iCs w:val="1"/>
          <w:color w:val="auto"/>
        </w:rPr>
        <w:t>Media: Advertising, Printing &amp; Publishing</w:t>
      </w:r>
    </w:p>
    <w:p>
      <w:pPr>
        <w:spacing w:after="0" w:line="182" w:lineRule="auto"/>
        <w:rPr>
          <w:sz w:val="20"/>
          <w:szCs w:val="20"/>
          <w:color w:val="auto"/>
        </w:rPr>
      </w:pPr>
      <w:r>
        <w:rPr>
          <w:rFonts w:ascii="Arial" w:cs="Arial" w:eastAsia="Arial" w:hAnsi="Arial"/>
          <w:sz w:val="13"/>
          <w:szCs w:val="13"/>
          <w:color w:val="auto"/>
        </w:rPr>
        <w:t>Hoffmaster Group, Inc.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Forest Products &amp; Paper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80" w:type="dxa"/>
            <w:vAlign w:val="bottom"/>
          </w:tcPr>
          <w:p>
            <w:pPr>
              <w:ind w:left="100"/>
              <w:spacing w:after="0"/>
              <w:rPr>
                <w:sz w:val="20"/>
                <w:szCs w:val="20"/>
                <w:color w:val="auto"/>
              </w:rPr>
            </w:pPr>
            <w:r>
              <w:rPr>
                <w:rFonts w:ascii="Arial" w:cs="Arial" w:eastAsia="Arial" w:hAnsi="Arial"/>
                <w:sz w:val="14"/>
                <w:szCs w:val="14"/>
                <w:color w:val="auto"/>
                <w:w w:val="97"/>
              </w:rPr>
              <w:t>Senior Secured Loan — Initial Loan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1,434,249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1,443,868</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1,421,699</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3,877,839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3,844,406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3,703,336</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2,796,448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2,768,177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2,639,288</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4.8%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10/19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2,162,867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2,172,647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1,373,421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247,500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2,722,890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2,722,500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Junior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1,473,884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1,382,550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2,453,994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2,345,805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9.0% Cash, 1.3%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3,946,567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2,760,000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4/21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2,476,361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2,408,149</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3,900,092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3,906,280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3,841,591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U.S. Tranche B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3.4% Cash, Due 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997,462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989,732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8.5%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2,917,500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2,893,169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2,917,500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13.8% Cash, Due 7/18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6,924,146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2/18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1,410,511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734,001</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6/19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2,895,294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2,878,392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2,893,267</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3"/>
              </w:rPr>
              <w:t>Senior Secured Loan — Tranche B-3</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7.0% Cash, 1.5%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3,281,250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3,259,381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3,271,078</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3"/>
              </w:rPr>
              <w:t>Senior Secured Loan — Tranche B-4</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1,420,339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1,421,580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10.0%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5/21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1,977,018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1,995,600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-6724015</wp:posOffset>
            </wp:positionV>
            <wp:extent cx="5213985" cy="317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-6029325</wp:posOffset>
            </wp:positionV>
            <wp:extent cx="5213985" cy="377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-5274310</wp:posOffset>
            </wp:positionV>
            <wp:extent cx="5213985" cy="283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-4708525</wp:posOffset>
            </wp:positionV>
            <wp:extent cx="5213985" cy="377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-3953510</wp:posOffset>
            </wp:positionV>
            <wp:extent cx="5213985"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-3293110</wp:posOffset>
            </wp:positionV>
            <wp:extent cx="5213985" cy="3771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-2633345</wp:posOffset>
            </wp:positionV>
            <wp:extent cx="5213985" cy="4718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47180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-1878330</wp:posOffset>
            </wp:positionV>
            <wp:extent cx="5213985" cy="283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-1192530</wp:posOffset>
            </wp:positionV>
            <wp:extent cx="5213985" cy="4032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-386080</wp:posOffset>
            </wp:positionV>
            <wp:extent cx="5213985" cy="3771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-6981190</wp:posOffset>
            </wp:positionV>
            <wp:extent cx="34645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540" w:space="200"/>
            <w:col w:w="7339"/>
          </w:cols>
          <w:pgMar w:left="380" w:top="792"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033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Forest Products &amp; Paper</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w:t>
      </w:r>
    </w:p>
    <w:p>
      <w:pPr>
        <w:ind w:left="18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(10)</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Integra Telecom Holdings,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(7), (9)</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195" w:lineRule="auto"/>
        <w:rPr>
          <w:sz w:val="20"/>
          <w:szCs w:val="20"/>
          <w:color w:val="auto"/>
        </w:rPr>
      </w:pPr>
      <w:r>
        <w:rPr>
          <w:rFonts w:ascii="Arial" w:cs="Arial" w:eastAsia="Arial" w:hAnsi="Arial"/>
          <w:sz w:val="13"/>
          <w:szCs w:val="13"/>
          <w:color w:val="auto"/>
        </w:rPr>
        <w:t>Kellermeyer Bergensons Services,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Landslide Holdings, Inc. (Crimson</w:t>
      </w:r>
    </w:p>
    <w:p>
      <w:pPr>
        <w:ind w:left="180"/>
        <w:spacing w:after="0" w:line="187" w:lineRule="auto"/>
        <w:rPr>
          <w:sz w:val="20"/>
          <w:szCs w:val="20"/>
          <w:color w:val="auto"/>
        </w:rPr>
      </w:pPr>
      <w:r>
        <w:rPr>
          <w:rFonts w:ascii="Arial" w:cs="Arial" w:eastAsia="Arial" w:hAnsi="Arial"/>
          <w:sz w:val="13"/>
          <w:szCs w:val="13"/>
          <w:color w:val="auto"/>
        </w:rPr>
        <w:t>Acquisition Corp.)</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MB Aerospace ACP Holdings II Corp.</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2"/>
          <w:szCs w:val="22"/>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86" w:lineRule="auto"/>
        <w:rPr>
          <w:sz w:val="20"/>
          <w:szCs w:val="20"/>
          <w:color w:val="auto"/>
        </w:rPr>
      </w:pPr>
      <w:r>
        <w:rPr>
          <w:rFonts w:ascii="Arial" w:cs="Arial" w:eastAsia="Arial" w:hAnsi="Arial"/>
          <w:sz w:val="13"/>
          <w:szCs w:val="13"/>
          <w:color w:val="auto"/>
        </w:rPr>
        <w:t>MGOC, Inc. (fka Media General, Inc.)</w:t>
      </w:r>
      <w:r>
        <w:rPr>
          <w:rFonts w:ascii="Arial" w:cs="Arial" w:eastAsia="Arial" w:hAnsi="Arial"/>
          <w:sz w:val="21"/>
          <w:szCs w:val="21"/>
          <w:color w:val="auto"/>
          <w:vertAlign w:val="superscript"/>
        </w:rPr>
        <w:t>(10)</w:t>
      </w:r>
    </w:p>
    <w:p>
      <w:pPr>
        <w:spacing w:after="0" w:line="1" w:lineRule="exact"/>
        <w:rPr>
          <w:sz w:val="20"/>
          <w:szCs w:val="20"/>
          <w:color w:val="auto"/>
        </w:rPr>
      </w:pPr>
    </w:p>
    <w:p>
      <w:pPr>
        <w:ind w:left="180" w:right="960"/>
        <w:spacing w:after="0" w:line="227" w:lineRule="auto"/>
        <w:rPr>
          <w:sz w:val="20"/>
          <w:szCs w:val="20"/>
          <w:color w:val="auto"/>
        </w:rPr>
      </w:pPr>
      <w:r>
        <w:rPr>
          <w:rFonts w:ascii="Arial" w:cs="Arial" w:eastAsia="Arial" w:hAnsi="Arial"/>
          <w:sz w:val="14"/>
          <w:szCs w:val="14"/>
          <w:i w:val="1"/>
          <w:iCs w:val="1"/>
          <w:color w:val="auto"/>
        </w:rPr>
        <w:t>Media: Broadcasting &amp; Subscription</w:t>
      </w:r>
    </w:p>
    <w:p>
      <w:pPr>
        <w:spacing w:after="0" w:line="180" w:lineRule="auto"/>
        <w:rPr>
          <w:sz w:val="20"/>
          <w:szCs w:val="20"/>
          <w:color w:val="auto"/>
        </w:rPr>
      </w:pPr>
      <w:r>
        <w:rPr>
          <w:rFonts w:ascii="Arial" w:cs="Arial" w:eastAsia="Arial" w:hAnsi="Arial"/>
          <w:sz w:val="13"/>
          <w:szCs w:val="13"/>
          <w:color w:val="auto"/>
        </w:rPr>
        <w:t>Nellson Nutraceutical, LLC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232" w:lineRule="exact"/>
        <w:rPr>
          <w:sz w:val="20"/>
          <w:szCs w:val="20"/>
          <w:color w:val="auto"/>
        </w:rPr>
      </w:pPr>
    </w:p>
    <w:p>
      <w:pPr>
        <w:ind w:left="180" w:hanging="179"/>
        <w:spacing w:after="0" w:line="197" w:lineRule="auto"/>
        <w:rPr>
          <w:sz w:val="20"/>
          <w:szCs w:val="20"/>
          <w:color w:val="auto"/>
        </w:rPr>
      </w:pPr>
      <w:r>
        <w:rPr>
          <w:rFonts w:ascii="Arial" w:cs="Arial" w:eastAsia="Arial" w:hAnsi="Arial"/>
          <w:sz w:val="14"/>
          <w:szCs w:val="14"/>
          <w:color w:val="auto"/>
        </w:rPr>
        <w:t>New Millennium Holdco, Inc. (Millennium Health,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42" w:lineRule="exact"/>
        <w:rPr>
          <w:sz w:val="20"/>
          <w:szCs w:val="20"/>
          <w:color w:val="auto"/>
        </w:rPr>
      </w:pPr>
    </w:p>
    <w:p>
      <w:pPr>
        <w:jc w:val="right"/>
        <w:ind w:right="800"/>
        <w:spacing w:after="0" w:line="221" w:lineRule="auto"/>
        <w:rPr>
          <w:sz w:val="20"/>
          <w:szCs w:val="20"/>
          <w:color w:val="auto"/>
        </w:rPr>
      </w:pPr>
      <w:r>
        <w:rPr>
          <w:rFonts w:ascii="Arial" w:cs="Arial" w:eastAsia="Arial" w:hAnsi="Arial"/>
          <w:sz w:val="13"/>
          <w:szCs w:val="13"/>
          <w:color w:val="auto"/>
        </w:rPr>
        <w:t>Nielsen &amp; Bainbrige, LLC</w:t>
      </w:r>
      <w:r>
        <w:rPr>
          <w:rFonts w:ascii="Arial" w:cs="Arial" w:eastAsia="Arial" w:hAnsi="Arial"/>
          <w:sz w:val="21"/>
          <w:szCs w:val="21"/>
          <w:color w:val="auto"/>
          <w:vertAlign w:val="superscript"/>
        </w:rPr>
        <w:t>(9)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Durable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42" w:lineRule="exact"/>
        <w:rPr>
          <w:sz w:val="20"/>
          <w:szCs w:val="20"/>
          <w:color w:val="auto"/>
        </w:rPr>
      </w:pPr>
    </w:p>
    <w:p>
      <w:pPr>
        <w:ind w:left="180" w:right="200" w:hanging="179"/>
        <w:spacing w:after="0" w:line="188" w:lineRule="auto"/>
        <w:rPr>
          <w:sz w:val="20"/>
          <w:szCs w:val="20"/>
          <w:color w:val="auto"/>
        </w:rPr>
      </w:pPr>
      <w:r>
        <w:rPr>
          <w:rFonts w:ascii="Arial" w:cs="Arial" w:eastAsia="Arial" w:hAnsi="Arial"/>
          <w:sz w:val="13"/>
          <w:szCs w:val="13"/>
          <w:color w:val="auto"/>
        </w:rPr>
        <w:t>NM Z Parent Inc. (aka Zep, Inc.)</w:t>
      </w:r>
      <w:r>
        <w:rPr>
          <w:rFonts w:ascii="Arial" w:cs="Arial" w:eastAsia="Arial" w:hAnsi="Arial"/>
          <w:sz w:val="20"/>
          <w:szCs w:val="20"/>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340" w:type="dxa"/>
            <w:vAlign w:val="bottom"/>
          </w:tcPr>
          <w:p>
            <w:pPr>
              <w:ind w:left="86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auto"/>
            </w:tcBorders>
          </w:tcPr>
          <w:p>
            <w:pPr>
              <w:ind w:left="50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40" w:type="dxa"/>
            <w:vAlign w:val="bottom"/>
          </w:tcPr>
          <w:p>
            <w:pPr>
              <w:ind w:left="80"/>
              <w:spacing w:after="0" w:line="123"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3,940,000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3,911,276</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3,887,480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2,792,045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2,616,469</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5.3%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2,962,386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2,952,620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2,876,477</w:t>
            </w:r>
          </w:p>
        </w:tc>
        <w:tc>
          <w:tcPr>
            <w:tcW w:w="0" w:type="dxa"/>
            <w:vAlign w:val="bottom"/>
          </w:tcPr>
          <w:p>
            <w:pPr>
              <w:spacing w:after="0"/>
              <w:rPr>
                <w:sz w:val="1"/>
                <w:szCs w:val="1"/>
                <w:color w:val="auto"/>
              </w:rPr>
            </w:pPr>
          </w:p>
        </w:tc>
      </w:tr>
      <w:tr>
        <w:trPr>
          <w:trHeight w:val="155"/>
        </w:trPr>
        <w:tc>
          <w:tcPr>
            <w:tcW w:w="234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0.0% Cash, 3.3% PIK, 2.5% Libor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Floor, Due 5/15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247,636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10/21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1,963,471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1,856,844</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1,481,250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1,475,263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1,444,219</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Dollar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E-1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5/18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2,962,216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2,957,007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2,864,700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New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3,421,556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3,428,320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3,417,450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12/22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990,055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990,000</w:t>
            </w:r>
          </w:p>
        </w:tc>
        <w:tc>
          <w:tcPr>
            <w:tcW w:w="0" w:type="dxa"/>
            <w:vAlign w:val="bottom"/>
          </w:tcPr>
          <w:p>
            <w:pPr>
              <w:spacing w:after="0"/>
              <w:rPr>
                <w:sz w:val="1"/>
                <w:szCs w:val="1"/>
                <w:color w:val="auto"/>
              </w:rPr>
            </w:pPr>
          </w:p>
        </w:tc>
      </w:tr>
      <w:tr>
        <w:trPr>
          <w:trHeight w:val="169"/>
        </w:trPr>
        <w:tc>
          <w:tcPr>
            <w:tcW w:w="234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12/19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3,920,000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3,894,315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3,918,040</w:t>
            </w:r>
          </w:p>
        </w:tc>
        <w:tc>
          <w:tcPr>
            <w:tcW w:w="0" w:type="dxa"/>
            <w:vAlign w:val="bottom"/>
          </w:tcPr>
          <w:p>
            <w:pPr>
              <w:spacing w:after="0"/>
              <w:rPr>
                <w:sz w:val="1"/>
                <w:szCs w:val="1"/>
                <w:color w:val="auto"/>
              </w:rPr>
            </w:pPr>
          </w:p>
        </w:tc>
      </w:tr>
      <w:tr>
        <w:trPr>
          <w:trHeight w:val="155"/>
        </w:trPr>
        <w:tc>
          <w:tcPr>
            <w:tcW w:w="2340" w:type="dxa"/>
            <w:vAlign w:val="bottom"/>
          </w:tcPr>
          <w:p>
            <w:pPr>
              <w:ind w:left="80"/>
              <w:spacing w:after="0" w:line="155" w:lineRule="exact"/>
              <w:rPr>
                <w:sz w:val="20"/>
                <w:szCs w:val="20"/>
                <w:color w:val="auto"/>
              </w:rPr>
            </w:pPr>
            <w:r>
              <w:rPr>
                <w:rFonts w:ascii="Arial" w:cs="Arial" w:eastAsia="Arial" w:hAnsi="Arial"/>
                <w:sz w:val="14"/>
                <w:szCs w:val="14"/>
                <w:color w:val="auto"/>
                <w:w w:val="95"/>
              </w:rPr>
              <w:t>Senior Secured Loan — Term B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4.0%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7/20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2,717,813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2,720,620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2,690,635</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A-1</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2,374,598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2,356,528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2,295,761</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A-2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2,092,907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2,076,283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2,023,422</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w w:val="95"/>
              </w:rPr>
              <w:t>Senior Secured Loan — Closing Date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12/20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1,016,626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1,016,626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889,548</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990,004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982,260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943,870</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10.3%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2,091,954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2,065,884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1,956,814</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Due 8/20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3,785,896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3,755,461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3,609,473</w:t>
            </w: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80"/>
              <w:spacing w:after="0"/>
              <w:rPr>
                <w:sz w:val="20"/>
                <w:szCs w:val="20"/>
                <w:color w:val="auto"/>
              </w:rPr>
            </w:pPr>
            <w:r>
              <w:rPr>
                <w:rFonts w:ascii="Arial" w:cs="Arial" w:eastAsia="Arial" w:hAnsi="Arial"/>
                <w:sz w:val="14"/>
                <w:szCs w:val="14"/>
                <w:color w:val="auto"/>
              </w:rPr>
              <w:t>Due 6/22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3,482,500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3,494,086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3,359,916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-6509385</wp:posOffset>
            </wp:positionV>
            <wp:extent cx="5213985" cy="3771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-5754370</wp:posOffset>
            </wp:positionV>
            <wp:extent cx="5213985" cy="283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-5163185</wp:posOffset>
            </wp:positionV>
            <wp:extent cx="5213985" cy="3771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-4408170</wp:posOffset>
            </wp:positionV>
            <wp:extent cx="5213985" cy="377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-3653790</wp:posOffset>
            </wp:positionV>
            <wp:extent cx="5213985" cy="3771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-2959100</wp:posOffset>
            </wp:positionV>
            <wp:extent cx="5213985" cy="308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-2272665</wp:posOffset>
            </wp:positionV>
            <wp:extent cx="5213985" cy="3771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-1518285</wp:posOffset>
            </wp:positionV>
            <wp:extent cx="5213985" cy="3771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-763270</wp:posOffset>
            </wp:positionV>
            <wp:extent cx="5213985" cy="3771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-6766560</wp:posOffset>
            </wp:positionV>
            <wp:extent cx="35077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180"/>
            <w:col w:w="7399"/>
          </w:cols>
          <w:pgMar w:left="380" w:top="792" w:right="1440" w:bottom="1440" w:gutter="0" w:footer="0" w:header="0"/>
        </w:sectPr>
      </w:pPr>
    </w:p>
    <w:p>
      <w:pPr>
        <w:spacing w:after="0" w:line="31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Novitex Acquisition, LLC (fka ARSloane</w:t>
      </w:r>
    </w:p>
    <w:p>
      <w:pPr>
        <w:ind w:left="180"/>
        <w:spacing w:after="0" w:line="180" w:lineRule="auto"/>
        <w:rPr>
          <w:sz w:val="20"/>
          <w:szCs w:val="20"/>
          <w:color w:val="auto"/>
        </w:rPr>
      </w:pPr>
      <w:r>
        <w:rPr>
          <w:rFonts w:ascii="Arial" w:cs="Arial" w:eastAsia="Arial" w:hAnsi="Arial"/>
          <w:sz w:val="13"/>
          <w:szCs w:val="13"/>
          <w:color w:val="auto"/>
        </w:rPr>
        <w:t>Acquisition, LLC)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Otter Products, LLC (OtterBox Holdings,</w:t>
      </w:r>
    </w:p>
    <w:p>
      <w:pPr>
        <w:ind w:left="18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PGX Holdings,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Services: Consumer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Playpower,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PrimeLine Utility Services LLC (fka FR</w:t>
      </w:r>
    </w:p>
    <w:p>
      <w:pPr>
        <w:ind w:left="180"/>
        <w:spacing w:after="0" w:line="187" w:lineRule="auto"/>
        <w:rPr>
          <w:sz w:val="20"/>
          <w:szCs w:val="20"/>
          <w:color w:val="auto"/>
        </w:rPr>
      </w:pPr>
      <w:r>
        <w:rPr>
          <w:rFonts w:ascii="Arial" w:cs="Arial" w:eastAsia="Arial" w:hAnsi="Arial"/>
          <w:sz w:val="13"/>
          <w:szCs w:val="13"/>
          <w:color w:val="auto"/>
        </w:rPr>
        <w:t>Utility Services LLC)</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Energy: Electricity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PSC Industrial Holdings Corp.</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32" w:lineRule="exact"/>
        <w:rPr>
          <w:sz w:val="20"/>
          <w:szCs w:val="20"/>
          <w:color w:val="auto"/>
        </w:rPr>
      </w:pPr>
    </w:p>
    <w:p>
      <w:pPr>
        <w:ind w:left="180" w:right="300" w:hanging="179"/>
        <w:spacing w:after="0" w:line="197" w:lineRule="auto"/>
        <w:rPr>
          <w:sz w:val="20"/>
          <w:szCs w:val="20"/>
          <w:color w:val="auto"/>
        </w:rPr>
      </w:pPr>
      <w:r>
        <w:rPr>
          <w:rFonts w:ascii="Arial" w:cs="Arial" w:eastAsia="Arial" w:hAnsi="Arial"/>
          <w:sz w:val="14"/>
          <w:szCs w:val="14"/>
          <w:color w:val="auto"/>
        </w:rPr>
        <w:t>Quad-C JH Holdings Inc. (aka Joerns Healthcare)</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Ravn Air Group,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Transportation: Consumer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80" w:lineRule="exact"/>
        <w:rPr>
          <w:sz w:val="20"/>
          <w:szCs w:val="20"/>
          <w:color w:val="auto"/>
        </w:rPr>
      </w:pPr>
    </w:p>
    <w:p>
      <w:pPr>
        <w:ind w:left="180" w:right="80" w:hanging="179"/>
        <w:spacing w:after="0" w:line="184" w:lineRule="auto"/>
        <w:rPr>
          <w:sz w:val="20"/>
          <w:szCs w:val="20"/>
          <w:color w:val="auto"/>
        </w:rPr>
      </w:pPr>
      <w:r>
        <w:rPr>
          <w:rFonts w:ascii="Arial" w:cs="Arial" w:eastAsia="Arial" w:hAnsi="Arial"/>
          <w:sz w:val="14"/>
          <w:szCs w:val="14"/>
          <w:color w:val="auto"/>
        </w:rPr>
        <w:t xml:space="preserve">Rovi Solutions Corporation/Rovi Guides, </w:t>
      </w:r>
      <w:r>
        <w:rPr>
          <w:rFonts w:ascii="Arial" w:cs="Arial" w:eastAsia="Arial" w:hAnsi="Arial"/>
          <w:sz w:val="26"/>
          <w:szCs w:val="26"/>
          <w:color w:val="auto"/>
          <w:vertAlign w:val="subscript"/>
        </w:rPr>
        <w:t>Inc.</w:t>
      </w:r>
      <w:r>
        <w:rPr>
          <w:rFonts w:ascii="Arial" w:cs="Arial" w:eastAsia="Arial" w:hAnsi="Arial"/>
          <w:sz w:val="11"/>
          <w:szCs w:val="11"/>
          <w:color w:val="auto"/>
        </w:rPr>
        <w:t>(10)</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w:t>
      </w:r>
    </w:p>
    <w:p>
      <w:pPr>
        <w:ind w:left="180"/>
        <w:spacing w:after="0" w:line="187" w:lineRule="auto"/>
        <w:rPr>
          <w:sz w:val="20"/>
          <w:szCs w:val="20"/>
          <w:color w:val="auto"/>
        </w:rPr>
      </w:pPr>
      <w:r>
        <w:rPr>
          <w:rFonts w:ascii="Arial" w:cs="Arial" w:eastAsia="Arial" w:hAnsi="Arial"/>
          <w:sz w:val="21"/>
          <w:szCs w:val="21"/>
          <w:color w:val="auto"/>
          <w:vertAlign w:val="subscript"/>
        </w:rPr>
        <w:t>L.P.</w:t>
      </w:r>
      <w:r>
        <w:rPr>
          <w:rFonts w:ascii="Arial" w:cs="Arial" w:eastAsia="Arial" w:hAnsi="Arial"/>
          <w:sz w:val="10"/>
          <w:szCs w:val="10"/>
          <w:color w:val="auto"/>
        </w:rPr>
        <w:t>(9), (10)</w:t>
      </w:r>
    </w:p>
    <w:p>
      <w:pPr>
        <w:ind w:left="180"/>
        <w:spacing w:after="0" w:line="222" w:lineRule="auto"/>
        <w:rPr>
          <w:sz w:val="20"/>
          <w:szCs w:val="20"/>
          <w:color w:val="auto"/>
        </w:rPr>
      </w:pPr>
      <w:r>
        <w:rPr>
          <w:rFonts w:ascii="Arial" w:cs="Arial" w:eastAsia="Arial" w:hAnsi="Arial"/>
          <w:sz w:val="14"/>
          <w:szCs w:val="14"/>
          <w:i w:val="1"/>
          <w:iCs w:val="1"/>
          <w:color w:val="auto"/>
        </w:rPr>
        <w:t>Utilities: Electric</w:t>
      </w:r>
    </w:p>
    <w:p>
      <w:pPr>
        <w:spacing w:after="0" w:line="233" w:lineRule="auto"/>
        <w:rPr>
          <w:sz w:val="20"/>
          <w:szCs w:val="20"/>
          <w:color w:val="auto"/>
        </w:rPr>
      </w:pPr>
      <w:r>
        <w:rPr>
          <w:rFonts w:ascii="Arial" w:cs="Arial" w:eastAsia="Arial" w:hAnsi="Arial"/>
          <w:sz w:val="14"/>
          <w:szCs w:val="14"/>
          <w:color w:val="auto"/>
        </w:rPr>
        <w:t>Stafford Logistics, Inc.(dba Custom</w:t>
      </w:r>
    </w:p>
    <w:p>
      <w:pPr>
        <w:ind w:left="180"/>
        <w:spacing w:after="0" w:line="180" w:lineRule="auto"/>
        <w:rPr>
          <w:sz w:val="20"/>
          <w:szCs w:val="20"/>
          <w:color w:val="auto"/>
        </w:rPr>
      </w:pPr>
      <w:r>
        <w:rPr>
          <w:rFonts w:ascii="Arial" w:cs="Arial" w:eastAsia="Arial" w:hAnsi="Arial"/>
          <w:sz w:val="13"/>
          <w:szCs w:val="13"/>
          <w:color w:val="auto"/>
        </w:rPr>
        <w:t>Ecology, Inc.)</w:t>
      </w:r>
      <w:r>
        <w:rPr>
          <w:rFonts w:ascii="Arial" w:cs="Arial" w:eastAsia="Arial" w:hAnsi="Arial"/>
          <w:sz w:val="21"/>
          <w:szCs w:val="21"/>
          <w:color w:val="auto"/>
          <w:vertAlign w:val="superscript"/>
        </w:rPr>
        <w:t>(9), (10)</w:t>
      </w:r>
    </w:p>
    <w:p>
      <w:pPr>
        <w:ind w:left="180"/>
        <w:spacing w:after="0" w:line="221" w:lineRule="auto"/>
        <w:rPr>
          <w:sz w:val="20"/>
          <w:szCs w:val="20"/>
          <w:color w:val="auto"/>
        </w:rPr>
      </w:pPr>
      <w:r>
        <w:rPr>
          <w:rFonts w:ascii="Arial" w:cs="Arial" w:eastAsia="Arial" w:hAnsi="Arial"/>
          <w:sz w:val="14"/>
          <w:szCs w:val="14"/>
          <w:i w:val="1"/>
          <w:iCs w:val="1"/>
          <w:color w:val="auto"/>
        </w:rPr>
        <w:t>Environmental Industries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Sun Products Corporation, The (fka Huish</w:t>
      </w:r>
    </w:p>
    <w:p>
      <w:pPr>
        <w:spacing w:after="0" w:line="7" w:lineRule="exact"/>
        <w:rPr>
          <w:sz w:val="20"/>
          <w:szCs w:val="20"/>
          <w:color w:val="auto"/>
        </w:rPr>
      </w:pPr>
    </w:p>
    <w:p>
      <w:pPr>
        <w:ind w:left="180" w:right="500"/>
        <w:spacing w:after="0" w:line="215" w:lineRule="auto"/>
        <w:rPr>
          <w:sz w:val="20"/>
          <w:szCs w:val="20"/>
          <w:color w:val="auto"/>
        </w:rPr>
      </w:pPr>
      <w:r>
        <w:rPr>
          <w:rFonts w:ascii="Arial" w:cs="Arial" w:eastAsia="Arial" w:hAnsi="Arial"/>
          <w:sz w:val="13"/>
          <w:szCs w:val="13"/>
          <w:color w:val="auto"/>
        </w:rPr>
        <w:t>Detergents Inc.)</w:t>
      </w:r>
      <w:r>
        <w:rPr>
          <w:rFonts w:ascii="Arial" w:cs="Arial" w:eastAsia="Arial" w:hAnsi="Arial"/>
          <w:sz w:val="21"/>
          <w:szCs w:val="21"/>
          <w:color w:val="auto"/>
          <w:vertAlign w:val="superscript"/>
        </w:rPr>
        <w:t>(9), (10)</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TPF II Power, LLC (TPF II Covert Midco,</w:t>
      </w:r>
    </w:p>
    <w:p>
      <w:pPr>
        <w:ind w:left="180"/>
        <w:spacing w:after="0" w:line="181" w:lineRule="auto"/>
        <w:rPr>
          <w:sz w:val="20"/>
          <w:szCs w:val="20"/>
          <w:color w:val="auto"/>
        </w:rPr>
      </w:pPr>
      <w:r>
        <w:rPr>
          <w:rFonts w:ascii="Arial" w:cs="Arial" w:eastAsia="Arial" w:hAnsi="Arial"/>
          <w:sz w:val="23"/>
          <w:szCs w:val="23"/>
          <w:color w:val="auto"/>
          <w:vertAlign w:val="subscript"/>
        </w:rPr>
        <w:t>LLC)</w:t>
      </w:r>
      <w:r>
        <w:rPr>
          <w:rFonts w:ascii="Arial" w:cs="Arial" w:eastAsia="Arial" w:hAnsi="Arial"/>
          <w:sz w:val="11"/>
          <w:szCs w:val="11"/>
          <w:color w:val="auto"/>
        </w:rPr>
        <w:t>(9), (10)</w:t>
      </w:r>
    </w:p>
    <w:p>
      <w:pPr>
        <w:ind w:left="180"/>
        <w:spacing w:after="0" w:line="234" w:lineRule="auto"/>
        <w:rPr>
          <w:sz w:val="20"/>
          <w:szCs w:val="20"/>
          <w:color w:val="auto"/>
        </w:rPr>
      </w:pPr>
      <w:r>
        <w:rPr>
          <w:rFonts w:ascii="Arial" w:cs="Arial" w:eastAsia="Arial" w:hAnsi="Arial"/>
          <w:sz w:val="14"/>
          <w:szCs w:val="14"/>
          <w:i w:val="1"/>
          <w:iCs w:val="1"/>
          <w:color w:val="auto"/>
        </w:rPr>
        <w:t>Utilities: Electric</w:t>
      </w:r>
    </w:p>
    <w:p>
      <w:pPr>
        <w:spacing w:after="0" w:line="180" w:lineRule="auto"/>
        <w:rPr>
          <w:sz w:val="20"/>
          <w:szCs w:val="20"/>
          <w:color w:val="auto"/>
        </w:rPr>
      </w:pPr>
      <w:r>
        <w:rPr>
          <w:rFonts w:ascii="Arial" w:cs="Arial" w:eastAsia="Arial" w:hAnsi="Arial"/>
          <w:sz w:val="13"/>
          <w:szCs w:val="13"/>
          <w:color w:val="auto"/>
        </w:rPr>
        <w:t>Trimaran Advisors,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Related Party Loan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ind w:left="8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3"/>
                <w:szCs w:val="13"/>
                <w:b w:val="1"/>
                <w:bCs w:val="1"/>
                <w:color w:val="auto"/>
                <w:w w:val="91"/>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tcPr>
          <w:p>
            <w:pPr>
              <w:ind w:left="100"/>
              <w:spacing w:after="0" w:line="123" w:lineRule="exact"/>
              <w:rPr>
                <w:sz w:val="20"/>
                <w:szCs w:val="20"/>
                <w:color w:val="auto"/>
              </w:rPr>
            </w:pPr>
            <w:r>
              <w:rPr>
                <w:rFonts w:ascii="Arial" w:cs="Arial" w:eastAsia="Arial" w:hAnsi="Arial"/>
                <w:sz w:val="14"/>
                <w:szCs w:val="14"/>
                <w:color w:val="auto"/>
                <w:w w:val="93"/>
              </w:rPr>
              <w:t>Senior Secured Loan — Tranche B-2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1.3%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7/20</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972,650</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965,333</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893,865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9.5%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1,932,311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1,932,311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1,823,329</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 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1,861,076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1,681,414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2,754,168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2,736,134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2,604,892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9/20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3,818,571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3,788,271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3,813,225</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Initial 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6/21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1,976,345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1,907,614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11/22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3,465,576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3,465,000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12/20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3,004,650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2,978,349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3,000,744</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5/20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3,940,026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3,918,354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3,937,662</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7/21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2,484,375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2,472,795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2,324,381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11.3% Cash, Due 9/19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6,654,533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6,235,020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3.8% Cash, 0.8%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7/21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2,962,406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2,930,614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2,947,890</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11/20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2,708,992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2,699,558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1,907,130</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7.5% Cash, 1.3%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8/21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2,854,780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2,835,003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2,736,307</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9"/>
              </w:rPr>
              <w:t>Senior Secured Loan — Tranche B</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1.3%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3/20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3,882,654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3,863,759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3,657,460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6.6% Cash, 3.5% PIK, 3.0% Libor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Floor, Due 8/19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10,759,919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10,624,515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8,177,538</w:t>
            </w:r>
          </w:p>
        </w:tc>
        <w:tc>
          <w:tcPr>
            <w:tcW w:w="0" w:type="dxa"/>
            <w:vAlign w:val="bottom"/>
          </w:tcPr>
          <w:p>
            <w:pPr>
              <w:spacing w:after="0"/>
              <w:rPr>
                <w:sz w:val="1"/>
                <w:szCs w:val="1"/>
                <w:color w:val="auto"/>
              </w:rPr>
            </w:pPr>
          </w:p>
        </w:tc>
      </w:tr>
      <w:tr>
        <w:trPr>
          <w:trHeight w:val="155"/>
        </w:trPr>
        <w:tc>
          <w:tcPr>
            <w:tcW w:w="2280" w:type="dxa"/>
            <w:vAlign w:val="bottom"/>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Due 10/21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2,950,953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2,973,524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2,899,311</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Senior Unsecured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Revolving Credit Facility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9.0% Cash, Due 11/17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23,000,000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23,000,000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11.0% Cash, 1.0% Libor Floor,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100"/>
              <w:spacing w:after="0"/>
              <w:rPr>
                <w:sz w:val="20"/>
                <w:szCs w:val="20"/>
                <w:color w:val="auto"/>
              </w:rPr>
            </w:pPr>
            <w:r>
              <w:rPr>
                <w:rFonts w:ascii="Arial" w:cs="Arial" w:eastAsia="Arial" w:hAnsi="Arial"/>
                <w:sz w:val="14"/>
                <w:szCs w:val="14"/>
                <w:color w:val="auto"/>
              </w:rPr>
              <w:t>Due 12/17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992,101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-6689725</wp:posOffset>
            </wp:positionV>
            <wp:extent cx="5213985" cy="3771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-5934710</wp:posOffset>
            </wp:positionV>
            <wp:extent cx="5213985" cy="3771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-5180330</wp:posOffset>
            </wp:positionV>
            <wp:extent cx="5213985" cy="3771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-4425315</wp:posOffset>
            </wp:positionV>
            <wp:extent cx="5213985" cy="3771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-3670935</wp:posOffset>
            </wp:positionV>
            <wp:extent cx="5213985"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-2915920</wp:posOffset>
            </wp:positionV>
            <wp:extent cx="5213985" cy="283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-2255520</wp:posOffset>
            </wp:positionV>
            <wp:extent cx="5213985" cy="308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-1638300</wp:posOffset>
            </wp:positionV>
            <wp:extent cx="5213985" cy="3771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-977900</wp:posOffset>
            </wp:positionV>
            <wp:extent cx="5213985" cy="3086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-386080</wp:posOffset>
            </wp:positionV>
            <wp:extent cx="5213985" cy="3771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-6946900</wp:posOffset>
            </wp:positionV>
            <wp:extent cx="34645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105410</wp:posOffset>
            </wp:positionV>
            <wp:extent cx="6114415"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60" w:space="280"/>
            <w:col w:w="7339"/>
          </w:cols>
          <w:pgMar w:left="380" w:top="792"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093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6465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(9), (10)</w:t>
      </w:r>
    </w:p>
    <w:p>
      <w:pPr>
        <w:ind w:left="180"/>
        <w:spacing w:after="0" w:line="221" w:lineRule="auto"/>
        <w:rPr>
          <w:sz w:val="20"/>
          <w:szCs w:val="20"/>
          <w:color w:val="auto"/>
        </w:rPr>
      </w:pPr>
      <w:r>
        <w:rPr>
          <w:rFonts w:ascii="Arial" w:cs="Arial" w:eastAsia="Arial" w:hAnsi="Arial"/>
          <w:sz w:val="14"/>
          <w:szCs w:val="14"/>
          <w:i w:val="1"/>
          <w:iCs w:val="1"/>
          <w:color w:val="auto"/>
        </w:rPr>
        <w:t>Media: Broadcasting &amp;</w:t>
      </w:r>
    </w:p>
    <w:p>
      <w:pPr>
        <w:ind w:left="180"/>
        <w:spacing w:after="0"/>
        <w:rPr>
          <w:sz w:val="20"/>
          <w:szCs w:val="20"/>
          <w:color w:val="auto"/>
        </w:rPr>
      </w:pPr>
      <w:r>
        <w:rPr>
          <w:rFonts w:ascii="Arial" w:cs="Arial" w:eastAsia="Arial" w:hAnsi="Arial"/>
          <w:sz w:val="14"/>
          <w:szCs w:val="14"/>
          <w:i w:val="1"/>
          <w:iCs w:val="1"/>
          <w:color w:val="auto"/>
        </w:rPr>
        <w:t>Subscription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U.S. Shipping Corp (fka U.S. Shipping</w:t>
      </w:r>
    </w:p>
    <w:p>
      <w:pPr>
        <w:ind w:left="180"/>
        <w:spacing w:after="0" w:line="187" w:lineRule="auto"/>
        <w:rPr>
          <w:sz w:val="20"/>
          <w:szCs w:val="20"/>
          <w:color w:val="auto"/>
        </w:rPr>
      </w:pPr>
      <w:r>
        <w:rPr>
          <w:rFonts w:ascii="Arial" w:cs="Arial" w:eastAsia="Arial" w:hAnsi="Arial"/>
          <w:sz w:val="13"/>
          <w:szCs w:val="13"/>
          <w:color w:val="auto"/>
        </w:rPr>
        <w:t>Partners LP)</w:t>
      </w:r>
      <w:r>
        <w:rPr>
          <w:rFonts w:ascii="Arial" w:cs="Arial" w:eastAsia="Arial" w:hAnsi="Arial"/>
          <w:sz w:val="21"/>
          <w:szCs w:val="21"/>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USJ-IMECO Holding Company, LLC</w:t>
      </w:r>
      <w:r>
        <w:rPr>
          <w:rFonts w:ascii="Arial" w:cs="Arial" w:eastAsia="Arial" w:hAnsi="Arial"/>
          <w:sz w:val="22"/>
          <w:szCs w:val="22"/>
          <w:color w:val="auto"/>
          <w:vertAlign w:val="superscript"/>
        </w:rPr>
        <w:t>(9),</w:t>
      </w:r>
    </w:p>
    <w:p>
      <w:pPr>
        <w:ind w:left="180"/>
        <w:spacing w:after="0"/>
        <w:rPr>
          <w:sz w:val="20"/>
          <w:szCs w:val="20"/>
          <w:color w:val="auto"/>
        </w:rPr>
      </w:pPr>
      <w:r>
        <w:rPr>
          <w:rFonts w:ascii="Arial" w:cs="Arial" w:eastAsia="Arial" w:hAnsi="Arial"/>
          <w:sz w:val="12"/>
          <w:szCs w:val="12"/>
          <w:color w:val="auto"/>
        </w:rPr>
        <w:t>(10)</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ind w:left="180" w:right="180" w:hanging="179"/>
        <w:spacing w:after="0" w:line="190" w:lineRule="auto"/>
        <w:rPr>
          <w:sz w:val="20"/>
          <w:szCs w:val="20"/>
          <w:color w:val="auto"/>
        </w:rPr>
      </w:pPr>
      <w:r>
        <w:rPr>
          <w:rFonts w:ascii="Arial" w:cs="Arial" w:eastAsia="Arial" w:hAnsi="Arial"/>
          <w:sz w:val="14"/>
          <w:szCs w:val="14"/>
          <w:color w:val="auto"/>
        </w:rPr>
        <w:t>Vantiv, LLC (fka Fifth Third Processing Solutions, LLC)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80" w:right="18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spacing w:after="0" w:line="180" w:lineRule="auto"/>
        <w:rPr>
          <w:sz w:val="20"/>
          <w:szCs w:val="20"/>
          <w:color w:val="auto"/>
        </w:rPr>
      </w:pPr>
      <w:r>
        <w:rPr>
          <w:rFonts w:ascii="Arial" w:cs="Arial" w:eastAsia="Arial" w:hAnsi="Arial"/>
          <w:sz w:val="13"/>
          <w:szCs w:val="13"/>
          <w:color w:val="auto"/>
        </w:rPr>
        <w:t>Verdesian Life Sciences, LLC</w:t>
      </w:r>
      <w:r>
        <w:rPr>
          <w:rFonts w:ascii="Arial" w:cs="Arial" w:eastAsia="Arial" w:hAnsi="Arial"/>
          <w:sz w:val="21"/>
          <w:szCs w:val="21"/>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Vestcom International, Inc. (fka Vector</w:t>
      </w:r>
    </w:p>
    <w:p>
      <w:pPr>
        <w:ind w:left="180"/>
        <w:spacing w:after="0" w:line="187" w:lineRule="auto"/>
        <w:rPr>
          <w:sz w:val="20"/>
          <w:szCs w:val="20"/>
          <w:color w:val="auto"/>
        </w:rPr>
      </w:pPr>
      <w:r>
        <w:rPr>
          <w:rFonts w:ascii="Arial" w:cs="Arial" w:eastAsia="Arial" w:hAnsi="Arial"/>
          <w:sz w:val="13"/>
          <w:szCs w:val="13"/>
          <w:color w:val="auto"/>
        </w:rPr>
        <w:t>Investment Holdings, Inc.)</w:t>
      </w:r>
      <w:r>
        <w:rPr>
          <w:rFonts w:ascii="Arial" w:cs="Arial" w:eastAsia="Arial" w:hAnsi="Arial"/>
          <w:sz w:val="21"/>
          <w:szCs w:val="21"/>
          <w:color w:val="auto"/>
          <w:vertAlign w:val="superscript"/>
        </w:rPr>
        <w:t>(9), (10)</w:t>
      </w:r>
    </w:p>
    <w:p>
      <w:pPr>
        <w:ind w:left="180"/>
        <w:spacing w:after="0" w:line="233" w:lineRule="auto"/>
        <w:rPr>
          <w:sz w:val="20"/>
          <w:szCs w:val="20"/>
          <w:color w:val="auto"/>
        </w:rPr>
      </w:pPr>
      <w:r>
        <w:rPr>
          <w:rFonts w:ascii="Arial" w:cs="Arial" w:eastAsia="Arial" w:hAnsi="Arial"/>
          <w:sz w:val="14"/>
          <w:szCs w:val="14"/>
          <w:i w:val="1"/>
          <w:iCs w:val="1"/>
          <w:color w:val="auto"/>
        </w:rPr>
        <w:t>Retail</w:t>
      </w:r>
    </w:p>
    <w:p>
      <w:pPr>
        <w:spacing w:after="0" w:line="180" w:lineRule="auto"/>
        <w:rPr>
          <w:sz w:val="20"/>
          <w:szCs w:val="20"/>
          <w:color w:val="auto"/>
        </w:rPr>
      </w:pPr>
      <w:r>
        <w:rPr>
          <w:rFonts w:ascii="Arial" w:cs="Arial" w:eastAsia="Arial" w:hAnsi="Arial"/>
          <w:sz w:val="13"/>
          <w:szCs w:val="13"/>
          <w:color w:val="auto"/>
        </w:rPr>
        <w:t>Weiman Products, LLC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(9), (10)</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 w:lineRule="exact"/>
        <w:rPr>
          <w:sz w:val="20"/>
          <w:szCs w:val="20"/>
          <w:color w:val="auto"/>
        </w:rPr>
      </w:pPr>
    </w:p>
    <w:p>
      <w:pPr>
        <w:ind w:left="180" w:hanging="179"/>
        <w:spacing w:after="0" w:line="314" w:lineRule="auto"/>
        <w:rPr>
          <w:sz w:val="20"/>
          <w:szCs w:val="20"/>
          <w:color w:val="auto"/>
        </w:rPr>
      </w:pPr>
      <w:r>
        <w:rPr>
          <w:rFonts w:ascii="Arial" w:cs="Arial" w:eastAsia="Arial" w:hAnsi="Arial"/>
          <w:sz w:val="12"/>
          <w:szCs w:val="12"/>
          <w:b w:val="1"/>
          <w:bCs w:val="1"/>
          <w:color w:val="auto"/>
        </w:rPr>
        <w:t>Total Investment in Debt Securities (132% of net asset value at fair value)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1880" w:type="dxa"/>
            <w:vAlign w:val="bottom"/>
          </w:tcPr>
          <w:p>
            <w:pPr>
              <w:ind w:left="4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8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9"/>
              </w:rPr>
              <w:t>Loan</w:t>
            </w: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5.8%</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0.8%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2/20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822,470</w:t>
            </w:r>
          </w:p>
        </w:tc>
        <w:tc>
          <w:tcPr>
            <w:tcW w:w="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827,875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822,470</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3"/>
              </w:rPr>
              <w:t>Senior Secured Loan — Tranche B-2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5.3%</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Due 6/21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1,411,023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1,409,966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1,405,802</w:t>
            </w:r>
          </w:p>
        </w:tc>
        <w:tc>
          <w:tcPr>
            <w:tcW w:w="0" w:type="dxa"/>
            <w:vAlign w:val="bottom"/>
          </w:tcPr>
          <w:p>
            <w:pPr>
              <w:spacing w:after="0"/>
              <w:rPr>
                <w:sz w:val="1"/>
                <w:szCs w:val="1"/>
                <w:color w:val="auto"/>
              </w:rPr>
            </w:pPr>
          </w:p>
        </w:tc>
      </w:tr>
      <w:tr>
        <w:trPr>
          <w:trHeight w:val="169"/>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7.0%</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Due 4/20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3,915,823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3,928,428</w:t>
            </w:r>
          </w:p>
        </w:tc>
        <w:tc>
          <w:tcPr>
            <w:tcW w:w="0" w:type="dxa"/>
            <w:vAlign w:val="bottom"/>
          </w:tcPr>
          <w:p>
            <w:pPr>
              <w:spacing w:after="0"/>
              <w:rPr>
                <w:sz w:val="1"/>
                <w:szCs w:val="1"/>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Senior Secured Loan — Term B</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9"/>
              </w:rPr>
              <w:t>Loan</w:t>
            </w: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3.8%</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0.8%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6/21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1,688,507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1,692,039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1,685,333</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6.0%</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Due 7/20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3,981,279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3,937,250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3,784,206</w:t>
            </w:r>
          </w:p>
        </w:tc>
        <w:tc>
          <w:tcPr>
            <w:tcW w:w="0" w:type="dxa"/>
            <w:vAlign w:val="bottom"/>
          </w:tcPr>
          <w:p>
            <w:pPr>
              <w:spacing w:after="0"/>
              <w:rPr>
                <w:sz w:val="1"/>
                <w:szCs w:val="1"/>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5.3%</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9/21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2,989,755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3,006,198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2,860,598</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6.3%</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11/18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1,106,050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1,099,501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1,105,829</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6.3%</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1.0% Libor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11/18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5,515,079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5,482,956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5,513,976</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9.000% – 05/2017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9.0%</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Due 5/17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4,975,822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4,067,500</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9.000% – 05/2017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 w:type="dxa"/>
            <w:vAlign w:val="bottom"/>
          </w:tcPr>
          <w:p>
            <w:pPr>
              <w:ind w:left="100"/>
              <w:spacing w:after="0"/>
              <w:rPr>
                <w:sz w:val="20"/>
                <w:szCs w:val="20"/>
                <w:color w:val="auto"/>
              </w:rPr>
            </w:pPr>
            <w:r>
              <w:rPr>
                <w:rFonts w:ascii="Arial" w:cs="Arial" w:eastAsia="Arial" w:hAnsi="Arial"/>
                <w:sz w:val="14"/>
                <w:szCs w:val="14"/>
                <w:color w:val="auto"/>
                <w:w w:val="87"/>
              </w:rPr>
              <w:t>9.0%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3,043,520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2,440,500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299,940,657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298,308,845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284,639,244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-3498215</wp:posOffset>
            </wp:positionV>
            <wp:extent cx="5213985" cy="3771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-2743835</wp:posOffset>
            </wp:positionV>
            <wp:extent cx="5213985" cy="3175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-2023110</wp:posOffset>
            </wp:positionV>
            <wp:extent cx="5213985" cy="3771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-1337310</wp:posOffset>
            </wp:positionV>
            <wp:extent cx="5213985" cy="283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-770890</wp:posOffset>
            </wp:positionV>
            <wp:extent cx="5213985" cy="283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-196850</wp:posOffset>
            </wp:positionV>
            <wp:extent cx="5213985" cy="1974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-3755390</wp:posOffset>
            </wp:positionV>
            <wp:extent cx="34645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2480" w:space="260"/>
            <w:col w:w="7339"/>
          </w:cols>
          <w:pgMar w:left="380" w:top="792" w:right="1440" w:bottom="1440" w:gutter="0" w:footer="0" w:header="0"/>
        </w:sectPr>
      </w:pPr>
    </w:p>
    <w:p>
      <w:pPr>
        <w:spacing w:after="0" w:line="28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16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Interest/Shares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250,960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937,053</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(9)</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359,765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568,544</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258,940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4,316,159</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1,338,767</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863,000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 (12)</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185,205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1,074,480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New Millennium Holdco, Inc. (Millennium</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Health, LLC)</w:t>
            </w:r>
            <w:r>
              <w:rPr>
                <w:rFonts w:ascii="Arial" w:cs="Arial" w:eastAsia="Arial" w:hAnsi="Arial"/>
                <w:sz w:val="20"/>
                <w:szCs w:val="20"/>
                <w:color w:val="auto"/>
                <w:vertAlign w:val="superscript"/>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1,953,299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445,485</w:t>
            </w: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 (4% of</w:t>
            </w:r>
          </w:p>
        </w:tc>
        <w:tc>
          <w:tcPr>
            <w:tcW w:w="1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net asset value at fair value)</w:t>
            </w:r>
          </w:p>
        </w:tc>
        <w:tc>
          <w:tcPr>
            <w:tcW w:w="16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10,467,786</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9,548,488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2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Subordinated Securities,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effective interest 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1/21 maturity</w:t>
            </w:r>
          </w:p>
        </w:tc>
        <w:tc>
          <w:tcPr>
            <w:tcW w:w="10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22.2%</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$ 2,484,943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280,164</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23.1%</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1,373,132</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interest N/M, 5/15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Katonah IX CLO Ltd</w:t>
            </w:r>
            <w:r>
              <w:rPr>
                <w:rFonts w:ascii="Arial" w:cs="Arial" w:eastAsia="Arial" w:hAnsi="Arial"/>
                <w:sz w:val="23"/>
                <w:szCs w:val="23"/>
                <w:color w:val="auto"/>
                <w:vertAlign w:val="superscript"/>
              </w:rPr>
              <w:t>(3), (6), (14)</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6.9%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1,140,057</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interest 2.2%, 1/19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Katonah X CLO Ltd</w:t>
            </w:r>
            <w:r>
              <w:rPr>
                <w:rFonts w:ascii="Arial" w:cs="Arial" w:eastAsia="Arial" w:hAnsi="Arial"/>
                <w:sz w:val="23"/>
                <w:szCs w:val="23"/>
                <w:color w:val="auto"/>
                <w:vertAlign w:val="superscript"/>
              </w:rPr>
              <w:t>(3), (6), (14)</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effective interest 12.8%,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4/20 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33.3%</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7,637,499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Preferred Shares,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24,312,424</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20,295,677</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27.0%, 4/22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Income Notes,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10.5%</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1,375,013</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1,647,272</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50.8%, 6/21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6,791,980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3,312,940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2.8%, 12/23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Catamaran CLO 2013-1 Ltd.</w:t>
            </w:r>
            <w:r>
              <w:rPr>
                <w:rFonts w:ascii="Arial" w:cs="Arial" w:eastAsia="Arial" w:hAnsi="Arial"/>
                <w:sz w:val="23"/>
                <w:szCs w:val="23"/>
                <w:color w:val="auto"/>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tcPr>
          <w:p>
            <w:pPr>
              <w:jc w:val="right"/>
              <w:ind w:right="108"/>
              <w:spacing w:after="0"/>
              <w:rPr>
                <w:sz w:val="20"/>
                <w:szCs w:val="20"/>
                <w:color w:val="auto"/>
              </w:rPr>
            </w:pPr>
            <w:r>
              <w:rPr>
                <w:rFonts w:ascii="Arial" w:cs="Arial" w:eastAsia="Arial" w:hAnsi="Arial"/>
                <w:sz w:val="18"/>
                <w:szCs w:val="18"/>
                <w:color w:val="auto"/>
              </w:rPr>
              <w:t>23.5%</w:t>
            </w:r>
          </w:p>
        </w:tc>
        <w:tc>
          <w:tcPr>
            <w:tcW w:w="10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6,256,090</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5,639,106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12.9%, 1/25 maturity</w:t>
            </w:r>
          </w:p>
        </w:tc>
        <w:tc>
          <w:tcPr>
            <w:tcW w:w="1000" w:type="dxa"/>
            <w:vAlign w:val="bottom"/>
            <w:gridSpan w:val="3"/>
            <w:vMerge w:val="continue"/>
          </w:tcPr>
          <w:p>
            <w:pPr>
              <w:spacing w:after="0"/>
              <w:rPr>
                <w:sz w:val="19"/>
                <w:szCs w:val="19"/>
                <w:color w:val="auto"/>
              </w:rPr>
            </w:pPr>
          </w:p>
        </w:tc>
        <w:tc>
          <w:tcPr>
            <w:tcW w:w="1040" w:type="dxa"/>
            <w:vAlign w:val="bottom"/>
            <w:gridSpan w:val="5"/>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8,928,790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5,846,325</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interest 8.4%, 4/26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8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interest 29.4%, 11/25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7.5%</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1,592,303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1,634,647</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Subordinated Notes, effective</w:t>
            </w:r>
          </w:p>
        </w:tc>
        <w:tc>
          <w:tcPr>
            <w:tcW w:w="1000" w:type="dxa"/>
            <w:vAlign w:val="bottom"/>
            <w:gridSpan w:val="3"/>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24.9%</w:t>
            </w:r>
          </w:p>
        </w:tc>
        <w:tc>
          <w:tcPr>
            <w:tcW w:w="104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8,024,168</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5,751,600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interest 8.8%, 10/26 maturity</w:t>
            </w:r>
          </w:p>
        </w:tc>
        <w:tc>
          <w:tcPr>
            <w:tcW w:w="1000" w:type="dxa"/>
            <w:vAlign w:val="bottom"/>
            <w:gridSpan w:val="3"/>
            <w:vMerge w:val="continue"/>
            <w:shd w:val="clear" w:color="auto" w:fill="CCEEFF"/>
          </w:tcPr>
          <w:p>
            <w:pPr>
              <w:spacing w:after="0"/>
              <w:rPr>
                <w:sz w:val="19"/>
                <w:szCs w:val="19"/>
                <w:color w:val="auto"/>
              </w:rPr>
            </w:pPr>
          </w:p>
        </w:tc>
        <w:tc>
          <w:tcPr>
            <w:tcW w:w="1040" w:type="dxa"/>
            <w:vAlign w:val="bottom"/>
            <w:gridSpan w:val="5"/>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w w:val="94"/>
              </w:rPr>
              <w:t>Catamaran CLO 2015-1 Ltd.</w:t>
            </w:r>
            <w:r>
              <w:rPr>
                <w:rFonts w:ascii="Arial" w:cs="Arial" w:eastAsia="Arial" w:hAnsi="Arial"/>
                <w:sz w:val="30"/>
                <w:szCs w:val="30"/>
                <w:color w:val="auto"/>
                <w:w w:val="94"/>
                <w:vertAlign w:val="superscript"/>
              </w:rPr>
              <w:t>(3), (6)</w:t>
            </w:r>
          </w:p>
        </w:tc>
        <w:tc>
          <w:tcPr>
            <w:tcW w:w="80" w:type="dxa"/>
            <w:vAlign w:val="bottom"/>
          </w:tcPr>
          <w:p>
            <w:pPr>
              <w:spacing w:after="0"/>
              <w:rPr>
                <w:sz w:val="17"/>
                <w:szCs w:val="17"/>
                <w:color w:val="auto"/>
              </w:rPr>
            </w:pPr>
          </w:p>
        </w:tc>
        <w:tc>
          <w:tcPr>
            <w:tcW w:w="2280" w:type="dxa"/>
            <w:vAlign w:val="bottom"/>
          </w:tcPr>
          <w:p>
            <w:pPr>
              <w:ind w:left="100"/>
              <w:spacing w:after="0" w:line="201" w:lineRule="exact"/>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10.1%, 4/27 maturity</w:t>
            </w:r>
          </w:p>
        </w:tc>
        <w:tc>
          <w:tcPr>
            <w:tcW w:w="1000" w:type="dxa"/>
            <w:vAlign w:val="bottom"/>
            <w:gridSpan w:val="3"/>
          </w:tcPr>
          <w:p>
            <w:pPr>
              <w:jc w:val="right"/>
              <w:ind w:right="108"/>
              <w:spacing w:after="0"/>
              <w:rPr>
                <w:sz w:val="20"/>
                <w:szCs w:val="20"/>
                <w:color w:val="auto"/>
              </w:rPr>
            </w:pPr>
            <w:r>
              <w:rPr>
                <w:rFonts w:ascii="Arial" w:cs="Arial" w:eastAsia="Arial" w:hAnsi="Arial"/>
                <w:sz w:val="18"/>
                <w:szCs w:val="18"/>
                <w:color w:val="auto"/>
              </w:rPr>
              <w:t>24.0%</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11,869,751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8,789,651</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81,786,150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54,702,382</w:t>
            </w:r>
          </w:p>
        </w:tc>
        <w:tc>
          <w:tcPr>
            <w:tcW w:w="0" w:type="dxa"/>
            <w:vAlign w:val="bottom"/>
          </w:tcPr>
          <w:p>
            <w:pPr>
              <w:spacing w:after="0"/>
              <w:rPr>
                <w:sz w:val="1"/>
                <w:szCs w:val="1"/>
                <w:color w:val="auto"/>
              </w:rPr>
            </w:pPr>
          </w:p>
        </w:tc>
      </w:tr>
      <w:tr>
        <w:trPr>
          <w:trHeight w:val="358"/>
        </w:trPr>
        <w:tc>
          <w:tcPr>
            <w:tcW w:w="276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CLO Rated-Note Investments</w:t>
            </w:r>
          </w:p>
        </w:tc>
        <w:tc>
          <w:tcPr>
            <w:tcW w:w="8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24"/>
                <w:szCs w:val="24"/>
                <w:color w:val="auto"/>
              </w:rPr>
            </w:pPr>
          </w:p>
        </w:tc>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rPr>
              <w:t>Float – 04/2026 – E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14889FAC7, Par Value of</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4"/>
              </w:rPr>
              <w:t>Catamaran CLO 2014-1 Ltd.</w:t>
            </w:r>
            <w:r>
              <w:rPr>
                <w:rFonts w:ascii="Arial" w:cs="Arial" w:eastAsia="Arial" w:hAnsi="Arial"/>
                <w:sz w:val="30"/>
                <w:szCs w:val="30"/>
                <w:color w:val="auto"/>
                <w:w w:val="94"/>
                <w:vertAlign w:val="superscript"/>
              </w:rPr>
              <w:t>(3), (6)</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1525000 6.1% Cash,</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4/26 maturity</w:t>
            </w:r>
          </w:p>
        </w:tc>
        <w:tc>
          <w:tcPr>
            <w:tcW w:w="10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1,428,797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Rated-Note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1,428,797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Fund Securities (26% of net asset</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83,214,947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-1800225</wp:posOffset>
            </wp:positionV>
            <wp:extent cx="5213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-711200</wp:posOffset>
            </wp:positionV>
            <wp:extent cx="5213985" cy="291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-1534160</wp:posOffset>
            </wp:positionV>
            <wp:extent cx="5213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7494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7494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20"/>
        <w:spacing w:after="0" w:line="205" w:lineRule="auto"/>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(9), (11)</w:t>
      </w:r>
    </w:p>
    <w:p>
      <w:pPr>
        <w:spacing w:after="0" w:line="1" w:lineRule="exact"/>
        <w:rPr>
          <w:sz w:val="20"/>
          <w:szCs w:val="20"/>
          <w:color w:val="auto"/>
        </w:rPr>
      </w:pPr>
    </w:p>
    <w:p>
      <w:pPr>
        <w:jc w:val="both"/>
        <w:ind w:left="20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Asset Management Company</w:t>
            </w:r>
          </w:p>
        </w:tc>
        <w:tc>
          <w:tcPr>
            <w:tcW w:w="1020" w:type="dxa"/>
            <w:vAlign w:val="bottom"/>
            <w:gridSpan w:val="2"/>
          </w:tcPr>
          <w:p>
            <w:pPr>
              <w:jc w:val="right"/>
              <w:ind w:right="34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56,591,230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57,381,000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56,591,230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57,381,000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-591185</wp:posOffset>
            </wp:positionV>
            <wp:extent cx="5213985" cy="5918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591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-865505</wp:posOffset>
            </wp:positionV>
            <wp:extent cx="3413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40"/>
            <w:col w:w="7259"/>
          </w:cols>
          <w:pgMar w:left="360" w:top="792" w:right="1440" w:bottom="1440" w:gutter="0" w:footer="0" w:header="0"/>
          <w:type w:val="continuous"/>
        </w:sect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Deposit and Money Market Accounts</w:t>
            </w:r>
          </w:p>
        </w:tc>
        <w:tc>
          <w:tcPr>
            <w:tcW w:w="10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9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Yield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80" w:type="dxa"/>
            <w:vAlign w:val="bottom"/>
            <w:tcBorders>
              <w:top w:val="single" w:sz="8" w:color="auto"/>
            </w:tcBorders>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JP Morgan Business Money Market</w:t>
            </w: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(8), (9)</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Money Market Account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249,247</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05"/>
        </w:trPr>
        <w:tc>
          <w:tcPr>
            <w:tcW w:w="298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US Bank Money Market</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96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tc>
        <w:tc>
          <w:tcPr>
            <w:tcW w:w="100" w:type="dxa"/>
            <w:vAlign w:val="bottom"/>
          </w:tcPr>
          <w:p>
            <w:pPr>
              <w:spacing w:after="0"/>
              <w:rPr>
                <w:sz w:val="23"/>
                <w:szCs w:val="23"/>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w w:val="99"/>
              </w:rPr>
              <w:t>Money Market Account</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1,880,134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1,880,134</w:t>
            </w:r>
          </w:p>
        </w:tc>
        <w:tc>
          <w:tcPr>
            <w:tcW w:w="0" w:type="dxa"/>
            <w:vAlign w:val="bottom"/>
          </w:tcPr>
          <w:p>
            <w:pPr>
              <w:spacing w:after="0"/>
              <w:rPr>
                <w:sz w:val="1"/>
                <w:szCs w:val="1"/>
                <w:color w:val="auto"/>
              </w:rPr>
            </w:pPr>
          </w:p>
        </w:tc>
      </w:tr>
      <w:tr>
        <w:trPr>
          <w:trHeight w:val="191"/>
        </w:trPr>
        <w:tc>
          <w:tcPr>
            <w:tcW w:w="298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2"/>
              </w:rPr>
              <w:t>Total Investment in Time Deposit and</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Money Market Accounts (1% of net</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32"/>
        </w:trPr>
        <w:tc>
          <w:tcPr>
            <w:tcW w:w="2980" w:type="dxa"/>
            <w:vAlign w:val="bottom"/>
            <w:tcBorders>
              <w:top w:val="single" w:sz="8" w:color="CCEEFF"/>
            </w:tcBorders>
            <w:gridSpan w:val="3"/>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(190% of net</w:t>
            </w:r>
          </w:p>
        </w:tc>
        <w:tc>
          <w:tcPr>
            <w:tcW w:w="1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450,712,189</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409,570,495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342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2015. As noted in the table above, 77% (based on par) of debt securities contain LIBOR floors which range between 0.75% and 3.0%.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2015,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1039" w:hanging="272"/>
        <w:spacing w:after="0" w:line="286" w:lineRule="auto"/>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aggregate cost of investments for federal income tax purposes is approximately $471 million. The aggregate gross unrealized appreciation is approximately $7.0 million, the aggregate gross unrealized depreciation is approximately $68.2 million, and the net unrealized depreciation is approximately $61.2 million.</w:t>
      </w:r>
    </w:p>
    <w:p>
      <w:pPr>
        <w:spacing w:after="0" w:line="57" w:lineRule="exact"/>
        <w:rPr>
          <w:rFonts w:ascii="Arial" w:cs="Arial" w:eastAsia="Arial" w:hAnsi="Arial"/>
          <w:sz w:val="17"/>
          <w:szCs w:val="17"/>
          <w:color w:val="auto"/>
        </w:rPr>
      </w:pPr>
    </w:p>
    <w:p>
      <w:pPr>
        <w:ind w:left="300" w:hanging="27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40" w:right="619" w:hanging="31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As of December 31, 2015, this investment is owned by KCAP Senior Funding I, LLC and was pledged to secure KCAP Senior Funding I, LLC’s obligation.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(11)Other than the Asset Manager Affiliate, which we are deemed to “control”, we do not “control” and are not an “affiliate” of any</w:t>
      </w:r>
    </w:p>
    <w:p>
      <w:pPr>
        <w:spacing w:after="0" w:line="46" w:lineRule="exact"/>
        <w:rPr>
          <w:sz w:val="20"/>
          <w:szCs w:val="20"/>
          <w:color w:val="auto"/>
        </w:rPr>
      </w:pPr>
    </w:p>
    <w:p>
      <w:pPr>
        <w:ind w:left="320" w:right="599"/>
        <w:spacing w:after="0" w:line="255" w:lineRule="auto"/>
        <w:rPr>
          <w:sz w:val="20"/>
          <w:szCs w:val="20"/>
          <w:color w:val="auto"/>
        </w:rPr>
      </w:pPr>
      <w:r>
        <w:rPr>
          <w:rFonts w:ascii="Arial" w:cs="Arial" w:eastAsia="Arial" w:hAnsi="Arial"/>
          <w:sz w:val="18"/>
          <w:szCs w:val="18"/>
          <w:color w:val="auto"/>
        </w:rPr>
        <w:t>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(12)Non-voting.</w:t>
      </w:r>
    </w:p>
    <w:p>
      <w:pPr>
        <w:spacing w:after="0" w:line="117" w:lineRule="exact"/>
        <w:rPr>
          <w:sz w:val="20"/>
          <w:szCs w:val="20"/>
          <w:color w:val="auto"/>
        </w:rPr>
      </w:pPr>
    </w:p>
    <w:p>
      <w:pPr>
        <w:ind w:left="340" w:right="539" w:hanging="310"/>
        <w:spacing w:after="0" w:line="279" w:lineRule="auto"/>
        <w:rPr>
          <w:sz w:val="20"/>
          <w:szCs w:val="20"/>
          <w:color w:val="auto"/>
        </w:rPr>
      </w:pPr>
      <w:r>
        <w:rPr>
          <w:rFonts w:ascii="Arial" w:cs="Arial" w:eastAsia="Arial" w:hAnsi="Arial"/>
          <w:sz w:val="17"/>
          <w:szCs w:val="17"/>
          <w:color w:val="auto"/>
        </w:rPr>
        <w:t>(13)CLO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(14)Notice of redemption has been received for this transaction.</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3" w:name="page94"/>
    <w:bookmarkEnd w:id="93"/>
    <w:p>
      <w:pPr>
        <w:ind w:left="6"/>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4408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59"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5779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86" w:right="500" w:hanging="179"/>
        <w:spacing w:after="0" w:line="221" w:lineRule="auto"/>
        <w:rPr>
          <w:sz w:val="20"/>
          <w:szCs w:val="20"/>
          <w:color w:val="auto"/>
        </w:rPr>
      </w:pPr>
      <w:r>
        <w:rPr>
          <w:rFonts w:ascii="Arial" w:cs="Arial" w:eastAsia="Arial" w:hAnsi="Arial"/>
          <w:sz w:val="14"/>
          <w:szCs w:val="14"/>
          <w:color w:val="auto"/>
        </w:rPr>
        <w:t>4L Technologies Inc. (fka Clover Holdings, Inc.)</w:t>
      </w:r>
    </w:p>
    <w:p>
      <w:pPr>
        <w:ind w:left="186"/>
        <w:spacing w:after="0" w:line="234" w:lineRule="auto"/>
        <w:rPr>
          <w:sz w:val="20"/>
          <w:szCs w:val="20"/>
          <w:color w:val="auto"/>
        </w:rPr>
      </w:pPr>
      <w:r>
        <w:rPr>
          <w:rFonts w:ascii="Arial" w:cs="Arial" w:eastAsia="Arial" w:hAnsi="Arial"/>
          <w:sz w:val="14"/>
          <w:szCs w:val="14"/>
          <w:i w:val="1"/>
          <w:iCs w:val="1"/>
          <w:color w:val="auto"/>
        </w:rPr>
        <w:t>Consumer goods:</w:t>
      </w:r>
    </w:p>
    <w:p>
      <w:pPr>
        <w:ind w:left="186"/>
        <w:spacing w:after="0" w:line="180" w:lineRule="auto"/>
        <w:rPr>
          <w:sz w:val="20"/>
          <w:szCs w:val="20"/>
          <w:color w:val="auto"/>
        </w:rPr>
      </w:pPr>
      <w:r>
        <w:rPr>
          <w:rFonts w:ascii="Arial" w:cs="Arial" w:eastAsia="Arial" w:hAnsi="Arial"/>
          <w:sz w:val="13"/>
          <w:szCs w:val="13"/>
          <w:i w:val="1"/>
          <w:iCs w:val="1"/>
          <w:color w:val="auto"/>
        </w:rPr>
        <w:t>Non-durable</w:t>
      </w:r>
      <w:r>
        <w:rPr>
          <w:rFonts w:ascii="Arial" w:cs="Arial" w:eastAsia="Arial" w:hAnsi="Arial"/>
          <w:sz w:val="21"/>
          <w:szCs w:val="21"/>
          <w:color w:val="auto"/>
          <w:vertAlign w:val="superscript"/>
        </w:rPr>
        <w:t>(9), (11)</w:t>
      </w:r>
    </w:p>
    <w:p>
      <w:pPr>
        <w:ind w:left="6"/>
        <w:spacing w:after="0" w:line="233" w:lineRule="auto"/>
        <w:rPr>
          <w:sz w:val="20"/>
          <w:szCs w:val="20"/>
          <w:color w:val="auto"/>
        </w:rPr>
      </w:pPr>
      <w:r>
        <w:rPr>
          <w:rFonts w:ascii="Arial" w:cs="Arial" w:eastAsia="Arial" w:hAnsi="Arial"/>
          <w:sz w:val="14"/>
          <w:szCs w:val="14"/>
          <w:color w:val="auto"/>
        </w:rPr>
        <w:t>Advanced Lighting Technologies, Inc.</w:t>
      </w:r>
    </w:p>
    <w:p>
      <w:pPr>
        <w:ind w:left="186"/>
        <w:spacing w:after="0" w:line="180" w:lineRule="auto"/>
        <w:rPr>
          <w:sz w:val="20"/>
          <w:szCs w:val="20"/>
          <w:color w:val="auto"/>
        </w:rPr>
      </w:pPr>
      <w:r>
        <w:rPr>
          <w:rFonts w:ascii="Arial" w:cs="Arial" w:eastAsia="Arial" w:hAnsi="Arial"/>
          <w:sz w:val="13"/>
          <w:szCs w:val="13"/>
          <w:i w:val="1"/>
          <w:iCs w:val="1"/>
          <w:color w:val="auto"/>
        </w:rPr>
        <w:t>Consumer goods: Durable</w:t>
      </w:r>
      <w:r>
        <w:rPr>
          <w:rFonts w:ascii="Arial" w:cs="Arial" w:eastAsia="Arial" w:hAnsi="Arial"/>
          <w:sz w:val="21"/>
          <w:szCs w:val="21"/>
          <w:color w:val="auto"/>
          <w:vertAlign w:val="superscript"/>
        </w:rPr>
        <w:t>(9), (11)</w:t>
      </w:r>
    </w:p>
    <w:p>
      <w:pPr>
        <w:ind w:left="6"/>
        <w:spacing w:after="0" w:line="233" w:lineRule="auto"/>
        <w:rPr>
          <w:sz w:val="20"/>
          <w:szCs w:val="20"/>
          <w:color w:val="auto"/>
        </w:rPr>
      </w:pPr>
      <w:r>
        <w:rPr>
          <w:rFonts w:ascii="Arial" w:cs="Arial" w:eastAsia="Arial" w:hAnsi="Arial"/>
          <w:sz w:val="14"/>
          <w:szCs w:val="14"/>
          <w:color w:val="auto"/>
        </w:rPr>
        <w:t>Advantage Sales &amp; Marketing Inc.</w:t>
      </w:r>
    </w:p>
    <w:p>
      <w:pPr>
        <w:spacing w:after="0" w:line="1" w:lineRule="exact"/>
        <w:rPr>
          <w:sz w:val="20"/>
          <w:szCs w:val="20"/>
          <w:color w:val="auto"/>
        </w:rPr>
      </w:pPr>
    </w:p>
    <w:p>
      <w:pPr>
        <w:ind w:left="186"/>
        <w:spacing w:after="0"/>
        <w:rPr>
          <w:sz w:val="20"/>
          <w:szCs w:val="20"/>
          <w:color w:val="auto"/>
        </w:rPr>
      </w:pPr>
      <w:r>
        <w:rPr>
          <w:rFonts w:ascii="Arial" w:cs="Arial" w:eastAsia="Arial" w:hAnsi="Arial"/>
          <w:sz w:val="14"/>
          <w:szCs w:val="14"/>
          <w:i w:val="1"/>
          <w:iCs w:val="1"/>
          <w:color w:val="auto"/>
        </w:rPr>
        <w:t>Services: Business</w:t>
      </w:r>
      <w:r>
        <w:rPr>
          <w:rFonts w:ascii="Arial" w:cs="Arial" w:eastAsia="Arial" w:hAnsi="Arial"/>
          <w:sz w:val="23"/>
          <w:szCs w:val="23"/>
          <w:color w:val="auto"/>
          <w:vertAlign w:val="superscript"/>
        </w:rPr>
        <w:t>(9)</w:t>
      </w:r>
    </w:p>
    <w:p>
      <w:pPr>
        <w:spacing w:after="0" w:line="25" w:lineRule="exact"/>
        <w:rPr>
          <w:sz w:val="20"/>
          <w:szCs w:val="20"/>
          <w:color w:val="auto"/>
        </w:rPr>
      </w:pPr>
    </w:p>
    <w:p>
      <w:pPr>
        <w:ind w:left="186" w:right="480" w:hanging="179"/>
        <w:spacing w:after="0" w:line="227" w:lineRule="auto"/>
        <w:rPr>
          <w:sz w:val="20"/>
          <w:szCs w:val="20"/>
          <w:color w:val="auto"/>
        </w:rPr>
      </w:pPr>
      <w:r>
        <w:rPr>
          <w:rFonts w:ascii="Arial" w:cs="Arial" w:eastAsia="Arial" w:hAnsi="Arial"/>
          <w:sz w:val="14"/>
          <w:szCs w:val="14"/>
          <w:color w:val="auto"/>
        </w:rPr>
        <w:t>Alaska Communications Systems Holdings, Inc.</w:t>
      </w:r>
    </w:p>
    <w:p>
      <w:pPr>
        <w:ind w:left="186"/>
        <w:spacing w:after="0" w:line="180" w:lineRule="auto"/>
        <w:rPr>
          <w:sz w:val="20"/>
          <w:szCs w:val="20"/>
          <w:color w:val="auto"/>
        </w:rPr>
      </w:pPr>
      <w:r>
        <w:rPr>
          <w:rFonts w:ascii="Arial" w:cs="Arial" w:eastAsia="Arial" w:hAnsi="Arial"/>
          <w:sz w:val="13"/>
          <w:szCs w:val="13"/>
          <w:i w:val="1"/>
          <w:iCs w:val="1"/>
          <w:color w:val="auto"/>
        </w:rPr>
        <w:t>Telecommunications</w:t>
      </w:r>
      <w:r>
        <w:rPr>
          <w:rFonts w:ascii="Arial" w:cs="Arial" w:eastAsia="Arial" w:hAnsi="Arial"/>
          <w:sz w:val="21"/>
          <w:szCs w:val="21"/>
          <w:color w:val="auto"/>
          <w:vertAlign w:val="superscript"/>
        </w:rPr>
        <w:t>(9), (11)</w:t>
      </w:r>
    </w:p>
    <w:p>
      <w:pPr>
        <w:ind w:left="6"/>
        <w:spacing w:after="0" w:line="222" w:lineRule="auto"/>
        <w:rPr>
          <w:sz w:val="20"/>
          <w:szCs w:val="20"/>
          <w:color w:val="auto"/>
        </w:rPr>
      </w:pPr>
      <w:r>
        <w:rPr>
          <w:rFonts w:ascii="Arial" w:cs="Arial" w:eastAsia="Arial" w:hAnsi="Arial"/>
          <w:sz w:val="14"/>
          <w:szCs w:val="14"/>
          <w:color w:val="auto"/>
        </w:rPr>
        <w:t>Alere Inc. (fka IM US Holdings, LLC)</w:t>
      </w:r>
    </w:p>
    <w:p>
      <w:pPr>
        <w:ind w:left="186"/>
        <w:spacing w:after="0" w:line="233" w:lineRule="auto"/>
        <w:rPr>
          <w:sz w:val="20"/>
          <w:szCs w:val="20"/>
          <w:color w:val="auto"/>
        </w:rPr>
      </w:pPr>
      <w:r>
        <w:rPr>
          <w:rFonts w:ascii="Arial" w:cs="Arial" w:eastAsia="Arial" w:hAnsi="Arial"/>
          <w:sz w:val="14"/>
          <w:szCs w:val="14"/>
          <w:i w:val="1"/>
          <w:iCs w:val="1"/>
          <w:color w:val="auto"/>
        </w:rPr>
        <w:t>Healthcare &amp;</w:t>
      </w:r>
    </w:p>
    <w:p>
      <w:pPr>
        <w:ind w:left="186"/>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(11)</w:t>
      </w:r>
    </w:p>
    <w:p>
      <w:pPr>
        <w:ind w:left="6"/>
        <w:spacing w:after="0" w:line="233" w:lineRule="auto"/>
        <w:rPr>
          <w:sz w:val="20"/>
          <w:szCs w:val="20"/>
          <w:color w:val="auto"/>
        </w:rPr>
      </w:pPr>
      <w:r>
        <w:rPr>
          <w:rFonts w:ascii="Arial" w:cs="Arial" w:eastAsia="Arial" w:hAnsi="Arial"/>
          <w:sz w:val="14"/>
          <w:szCs w:val="14"/>
          <w:color w:val="auto"/>
        </w:rPr>
        <w:t>AmSurg Corp.</w:t>
      </w:r>
    </w:p>
    <w:p>
      <w:pPr>
        <w:spacing w:after="0" w:line="1" w:lineRule="exact"/>
        <w:rPr>
          <w:sz w:val="20"/>
          <w:szCs w:val="20"/>
          <w:color w:val="auto"/>
        </w:rPr>
      </w:pPr>
    </w:p>
    <w:p>
      <w:pPr>
        <w:ind w:left="186"/>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(11)</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4"/>
          <w:szCs w:val="14"/>
          <w:color w:val="auto"/>
        </w:rPr>
        <w:t>Anaren, Inc.</w:t>
      </w:r>
    </w:p>
    <w:p>
      <w:pPr>
        <w:ind w:left="186"/>
        <w:spacing w:after="0"/>
        <w:rPr>
          <w:sz w:val="20"/>
          <w:szCs w:val="20"/>
          <w:color w:val="auto"/>
        </w:rPr>
      </w:pPr>
      <w:r>
        <w:rPr>
          <w:rFonts w:ascii="Arial" w:cs="Arial" w:eastAsia="Arial" w:hAnsi="Arial"/>
          <w:sz w:val="14"/>
          <w:szCs w:val="14"/>
          <w:i w:val="1"/>
          <w:iCs w:val="1"/>
          <w:color w:val="auto"/>
        </w:rPr>
        <w:t>Aerospace and Defense</w:t>
      </w:r>
      <w:r>
        <w:rPr>
          <w:rFonts w:ascii="Arial" w:cs="Arial" w:eastAsia="Arial" w:hAnsi="Arial"/>
          <w:sz w:val="23"/>
          <w:szCs w:val="23"/>
          <w:color w:val="auto"/>
          <w:vertAlign w:val="superscript"/>
        </w:rPr>
        <w:t>(9), (11)</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3"/>
          <w:szCs w:val="13"/>
          <w:color w:val="auto"/>
        </w:rPr>
        <w:t>Asurion, LLC (fka Asurion Corporation)</w:t>
      </w:r>
    </w:p>
    <w:p>
      <w:pPr>
        <w:ind w:left="186"/>
        <w:spacing w:after="0"/>
        <w:rPr>
          <w:sz w:val="20"/>
          <w:szCs w:val="20"/>
          <w:color w:val="auto"/>
        </w:rPr>
      </w:pPr>
      <w:r>
        <w:rPr>
          <w:rFonts w:ascii="Arial" w:cs="Arial" w:eastAsia="Arial" w:hAnsi="Arial"/>
          <w:sz w:val="13"/>
          <w:szCs w:val="13"/>
          <w:i w:val="1"/>
          <w:iCs w:val="1"/>
          <w:color w:val="auto"/>
        </w:rPr>
        <w:t>Banking, Finance, Insurance &amp; Real</w:t>
      </w:r>
    </w:p>
    <w:p>
      <w:pPr>
        <w:ind w:left="186"/>
        <w:spacing w:after="0" w:line="186" w:lineRule="auto"/>
        <w:rPr>
          <w:sz w:val="20"/>
          <w:szCs w:val="20"/>
          <w:color w:val="auto"/>
        </w:rPr>
      </w:pPr>
      <w:r>
        <w:rPr>
          <w:rFonts w:ascii="Arial" w:cs="Arial" w:eastAsia="Arial" w:hAnsi="Arial"/>
          <w:sz w:val="21"/>
          <w:szCs w:val="21"/>
          <w:i w:val="1"/>
          <w:iCs w:val="1"/>
          <w:color w:val="auto"/>
          <w:vertAlign w:val="subscript"/>
        </w:rPr>
        <w:t>Estate</w:t>
      </w:r>
      <w:r>
        <w:rPr>
          <w:rFonts w:ascii="Arial" w:cs="Arial" w:eastAsia="Arial" w:hAnsi="Arial"/>
          <w:sz w:val="10"/>
          <w:szCs w:val="10"/>
          <w:color w:val="auto"/>
        </w:rPr>
        <w:t>(9), (11)</w:t>
      </w:r>
    </w:p>
    <w:p>
      <w:pPr>
        <w:ind w:left="6"/>
        <w:spacing w:after="0" w:line="222" w:lineRule="auto"/>
        <w:rPr>
          <w:sz w:val="20"/>
          <w:szCs w:val="20"/>
          <w:color w:val="auto"/>
        </w:rPr>
      </w:pPr>
      <w:r>
        <w:rPr>
          <w:rFonts w:ascii="Arial" w:cs="Arial" w:eastAsia="Arial" w:hAnsi="Arial"/>
          <w:sz w:val="14"/>
          <w:szCs w:val="14"/>
          <w:color w:val="auto"/>
        </w:rPr>
        <w:t>AZ Chem US Inc.</w:t>
      </w:r>
    </w:p>
    <w:p>
      <w:pPr>
        <w:ind w:left="186"/>
        <w:spacing w:after="0" w:line="234" w:lineRule="auto"/>
        <w:rPr>
          <w:sz w:val="20"/>
          <w:szCs w:val="20"/>
          <w:color w:val="auto"/>
        </w:rPr>
      </w:pPr>
      <w:r>
        <w:rPr>
          <w:rFonts w:ascii="Arial" w:cs="Arial" w:eastAsia="Arial" w:hAnsi="Arial"/>
          <w:sz w:val="14"/>
          <w:szCs w:val="14"/>
          <w:i w:val="1"/>
          <w:iCs w:val="1"/>
          <w:color w:val="auto"/>
        </w:rPr>
        <w:t>Chemicals, Plastics and</w:t>
      </w:r>
    </w:p>
    <w:p>
      <w:pPr>
        <w:ind w:left="186"/>
        <w:spacing w:after="0" w:line="180" w:lineRule="auto"/>
        <w:rPr>
          <w:sz w:val="20"/>
          <w:szCs w:val="20"/>
          <w:color w:val="auto"/>
        </w:rPr>
      </w:pPr>
      <w:r>
        <w:rPr>
          <w:rFonts w:ascii="Arial" w:cs="Arial" w:eastAsia="Arial" w:hAnsi="Arial"/>
          <w:sz w:val="21"/>
          <w:szCs w:val="21"/>
          <w:i w:val="1"/>
          <w:iCs w:val="1"/>
          <w:color w:val="auto"/>
          <w:vertAlign w:val="subscript"/>
        </w:rPr>
        <w:t>Rubber</w:t>
      </w:r>
      <w:r>
        <w:rPr>
          <w:rFonts w:ascii="Arial" w:cs="Arial" w:eastAsia="Arial" w:hAnsi="Arial"/>
          <w:sz w:val="10"/>
          <w:szCs w:val="10"/>
          <w:color w:val="auto"/>
        </w:rPr>
        <w:t>(9), (11)</w:t>
      </w:r>
    </w:p>
    <w:p>
      <w:pPr>
        <w:ind w:left="6"/>
        <w:spacing w:after="0"/>
        <w:rPr>
          <w:sz w:val="20"/>
          <w:szCs w:val="20"/>
          <w:color w:val="auto"/>
        </w:rPr>
      </w:pPr>
      <w:r>
        <w:rPr>
          <w:rFonts w:ascii="Arial" w:cs="Arial" w:eastAsia="Arial" w:hAnsi="Arial"/>
          <w:sz w:val="13"/>
          <w:szCs w:val="13"/>
          <w:color w:val="auto"/>
        </w:rPr>
        <w:t>Bankruptcy Management Solutions, Inc.</w:t>
      </w:r>
    </w:p>
    <w:p>
      <w:pPr>
        <w:ind w:left="186"/>
        <w:spacing w:after="0" w:line="186" w:lineRule="auto"/>
        <w:rPr>
          <w:sz w:val="20"/>
          <w:szCs w:val="20"/>
          <w:color w:val="auto"/>
        </w:rPr>
      </w:pPr>
      <w:r>
        <w:rPr>
          <w:rFonts w:ascii="Arial" w:cs="Arial" w:eastAsia="Arial" w:hAnsi="Arial"/>
          <w:sz w:val="13"/>
          <w:szCs w:val="13"/>
          <w:i w:val="1"/>
          <w:iCs w:val="1"/>
          <w:color w:val="auto"/>
        </w:rPr>
        <w:t>Services: Business</w:t>
      </w:r>
      <w:r>
        <w:rPr>
          <w:rFonts w:ascii="Arial" w:cs="Arial" w:eastAsia="Arial" w:hAnsi="Arial"/>
          <w:sz w:val="21"/>
          <w:szCs w:val="21"/>
          <w:color w:val="auto"/>
          <w:vertAlign w:val="superscript"/>
        </w:rPr>
        <w:t>(9)</w:t>
      </w:r>
    </w:p>
    <w:p>
      <w:pPr>
        <w:ind w:left="6"/>
        <w:spacing w:after="0" w:line="234" w:lineRule="auto"/>
        <w:rPr>
          <w:sz w:val="20"/>
          <w:szCs w:val="20"/>
          <w:color w:val="auto"/>
        </w:rPr>
      </w:pPr>
      <w:r>
        <w:rPr>
          <w:rFonts w:ascii="Arial" w:cs="Arial" w:eastAsia="Arial" w:hAnsi="Arial"/>
          <w:sz w:val="14"/>
          <w:szCs w:val="14"/>
          <w:color w:val="auto"/>
        </w:rPr>
        <w:t>BarBri, Inc. (Gemini Holdings, Inc.)</w:t>
      </w:r>
    </w:p>
    <w:p>
      <w:pPr>
        <w:ind w:left="186"/>
        <w:spacing w:after="0" w:line="180" w:lineRule="auto"/>
        <w:rPr>
          <w:sz w:val="20"/>
          <w:szCs w:val="20"/>
          <w:color w:val="auto"/>
        </w:rPr>
      </w:pPr>
      <w:r>
        <w:rPr>
          <w:rFonts w:ascii="Arial" w:cs="Arial" w:eastAsia="Arial" w:hAnsi="Arial"/>
          <w:sz w:val="13"/>
          <w:szCs w:val="13"/>
          <w:i w:val="1"/>
          <w:iCs w:val="1"/>
          <w:color w:val="auto"/>
        </w:rPr>
        <w:t>Services: Consumer</w:t>
      </w:r>
      <w:r>
        <w:rPr>
          <w:rFonts w:ascii="Arial" w:cs="Arial" w:eastAsia="Arial" w:hAnsi="Arial"/>
          <w:sz w:val="21"/>
          <w:szCs w:val="21"/>
          <w:color w:val="auto"/>
          <w:vertAlign w:val="superscript"/>
        </w:rPr>
        <w:t>(9), (11)</w:t>
      </w:r>
    </w:p>
    <w:p>
      <w:pPr>
        <w:spacing w:after="0" w:line="1" w:lineRule="exact"/>
        <w:rPr>
          <w:sz w:val="20"/>
          <w:szCs w:val="20"/>
          <w:color w:val="auto"/>
        </w:rPr>
      </w:pPr>
    </w:p>
    <w:p>
      <w:pPr>
        <w:ind w:left="186" w:right="440" w:hanging="186"/>
        <w:spacing w:after="0" w:line="251" w:lineRule="auto"/>
        <w:tabs>
          <w:tab w:leader="none" w:pos="33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Industries US Holdings, Inc. </w:t>
      </w:r>
      <w:r>
        <w:rPr>
          <w:rFonts w:ascii="Arial" w:cs="Arial" w:eastAsia="Arial" w:hAnsi="Arial"/>
          <w:sz w:val="14"/>
          <w:szCs w:val="14"/>
          <w:i w:val="1"/>
          <w:iCs w:val="1"/>
          <w:color w:val="auto"/>
        </w:rPr>
        <w:t>Automotive</w:t>
      </w:r>
      <w:r>
        <w:rPr>
          <w:rFonts w:ascii="Arial" w:cs="Arial" w:eastAsia="Arial" w:hAnsi="Arial"/>
          <w:sz w:val="23"/>
          <w:szCs w:val="23"/>
          <w:color w:val="auto"/>
          <w:vertAlign w:val="superscript"/>
        </w:rPr>
        <w:t>(9), (11)</w:t>
      </w:r>
    </w:p>
    <w:p>
      <w:pPr>
        <w:ind w:left="6"/>
        <w:spacing w:after="0" w:line="222" w:lineRule="auto"/>
        <w:rPr>
          <w:sz w:val="20"/>
          <w:szCs w:val="20"/>
          <w:color w:val="auto"/>
        </w:rPr>
      </w:pPr>
      <w:r>
        <w:rPr>
          <w:rFonts w:ascii="Arial" w:cs="Arial" w:eastAsia="Arial" w:hAnsi="Arial"/>
          <w:sz w:val="14"/>
          <w:szCs w:val="14"/>
          <w:color w:val="auto"/>
        </w:rPr>
        <w:t>Bellisio Foods, Inc.</w:t>
      </w:r>
    </w:p>
    <w:p>
      <w:pPr>
        <w:ind w:left="186"/>
        <w:spacing w:after="0" w:line="233" w:lineRule="auto"/>
        <w:rPr>
          <w:sz w:val="20"/>
          <w:szCs w:val="20"/>
          <w:color w:val="auto"/>
        </w:rPr>
      </w:pPr>
      <w:r>
        <w:rPr>
          <w:rFonts w:ascii="Arial" w:cs="Arial" w:eastAsia="Arial" w:hAnsi="Arial"/>
          <w:sz w:val="14"/>
          <w:szCs w:val="14"/>
          <w:i w:val="1"/>
          <w:iCs w:val="1"/>
          <w:color w:val="auto"/>
        </w:rPr>
        <w:t>Beverage,</w:t>
      </w:r>
    </w:p>
    <w:p>
      <w:pPr>
        <w:ind w:left="186"/>
        <w:spacing w:after="0" w:line="180" w:lineRule="auto"/>
        <w:rPr>
          <w:sz w:val="20"/>
          <w:szCs w:val="20"/>
          <w:color w:val="auto"/>
        </w:rPr>
      </w:pPr>
      <w:r>
        <w:rPr>
          <w:rFonts w:ascii="Arial" w:cs="Arial" w:eastAsia="Arial" w:hAnsi="Arial"/>
          <w:sz w:val="13"/>
          <w:szCs w:val="13"/>
          <w:i w:val="1"/>
          <w:iCs w:val="1"/>
          <w:color w:val="auto"/>
        </w:rPr>
        <w:t>Food and Tobacco</w:t>
      </w:r>
      <w:r>
        <w:rPr>
          <w:rFonts w:ascii="Arial" w:cs="Arial" w:eastAsia="Arial" w:hAnsi="Arial"/>
          <w:sz w:val="21"/>
          <w:szCs w:val="21"/>
          <w:color w:val="auto"/>
          <w:vertAlign w:val="superscript"/>
        </w:rPr>
        <w:t>(9), (11)</w:t>
      </w:r>
    </w:p>
    <w:p>
      <w:pPr>
        <w:ind w:left="6"/>
        <w:spacing w:after="0" w:line="234" w:lineRule="auto"/>
        <w:rPr>
          <w:sz w:val="20"/>
          <w:szCs w:val="20"/>
          <w:color w:val="auto"/>
        </w:rPr>
      </w:pPr>
      <w:r>
        <w:rPr>
          <w:rFonts w:ascii="Arial" w:cs="Arial" w:eastAsia="Arial" w:hAnsi="Arial"/>
          <w:sz w:val="14"/>
          <w:szCs w:val="14"/>
          <w:color w:val="auto"/>
        </w:rPr>
        <w:t>Blue Coat Systems, Inc.</w:t>
      </w:r>
    </w:p>
    <w:p>
      <w:pPr>
        <w:ind w:left="186"/>
        <w:spacing w:after="0"/>
        <w:rPr>
          <w:sz w:val="20"/>
          <w:szCs w:val="20"/>
          <w:color w:val="auto"/>
        </w:rPr>
      </w:pPr>
      <w:r>
        <w:rPr>
          <w:rFonts w:ascii="Arial" w:cs="Arial" w:eastAsia="Arial" w:hAnsi="Arial"/>
          <w:sz w:val="14"/>
          <w:szCs w:val="14"/>
          <w:i w:val="1"/>
          <w:iCs w:val="1"/>
          <w:color w:val="auto"/>
        </w:rPr>
        <w:t>High Tech Industries</w:t>
      </w:r>
      <w:r>
        <w:rPr>
          <w:rFonts w:ascii="Arial" w:cs="Arial" w:eastAsia="Arial" w:hAnsi="Arial"/>
          <w:sz w:val="23"/>
          <w:szCs w:val="23"/>
          <w:color w:val="auto"/>
          <w:vertAlign w:val="superscript"/>
        </w:rPr>
        <w:t>(9), (11)</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4"/>
          <w:szCs w:val="14"/>
          <w:color w:val="auto"/>
        </w:rPr>
        <w:t>Carolina Beverage Group LLC</w:t>
      </w:r>
    </w:p>
    <w:p>
      <w:pPr>
        <w:ind w:left="186"/>
        <w:spacing w:after="0" w:line="180" w:lineRule="auto"/>
        <w:rPr>
          <w:sz w:val="20"/>
          <w:szCs w:val="20"/>
          <w:color w:val="auto"/>
        </w:rPr>
      </w:pPr>
      <w:r>
        <w:rPr>
          <w:rFonts w:ascii="Arial" w:cs="Arial" w:eastAsia="Arial" w:hAnsi="Arial"/>
          <w:sz w:val="13"/>
          <w:szCs w:val="13"/>
          <w:i w:val="1"/>
          <w:iCs w:val="1"/>
          <w:color w:val="auto"/>
        </w:rPr>
        <w:t>Beverage, Food and Tobacco</w:t>
      </w:r>
      <w:r>
        <w:rPr>
          <w:rFonts w:ascii="Arial" w:cs="Arial" w:eastAsia="Arial" w:hAnsi="Arial"/>
          <w:sz w:val="21"/>
          <w:szCs w:val="21"/>
          <w:color w:val="auto"/>
          <w:vertAlign w:val="superscript"/>
        </w:rPr>
        <w:t>(9)</w:t>
      </w:r>
    </w:p>
    <w:p>
      <w:pPr>
        <w:ind w:left="6"/>
        <w:spacing w:after="0" w:line="221" w:lineRule="auto"/>
        <w:rPr>
          <w:sz w:val="20"/>
          <w:szCs w:val="20"/>
          <w:color w:val="auto"/>
        </w:rPr>
      </w:pPr>
      <w:r>
        <w:rPr>
          <w:rFonts w:ascii="Arial" w:cs="Arial" w:eastAsia="Arial" w:hAnsi="Arial"/>
          <w:sz w:val="14"/>
          <w:szCs w:val="14"/>
          <w:color w:val="auto"/>
        </w:rPr>
        <w:t>CCS Intermediate Holdings, LLC</w:t>
      </w:r>
    </w:p>
    <w:p>
      <w:pPr>
        <w:ind w:left="186" w:right="840"/>
        <w:spacing w:after="0" w:line="227" w:lineRule="auto"/>
        <w:rPr>
          <w:sz w:val="20"/>
          <w:szCs w:val="20"/>
          <w:color w:val="auto"/>
        </w:rPr>
      </w:pPr>
      <w:r>
        <w:rPr>
          <w:rFonts w:ascii="Arial" w:cs="Arial" w:eastAsia="Arial" w:hAnsi="Arial"/>
          <w:sz w:val="12"/>
          <w:szCs w:val="12"/>
          <w:i w:val="1"/>
          <w:iCs w:val="1"/>
          <w:color w:val="auto"/>
        </w:rPr>
        <w:t>Healthcare &amp; Pharmaceuticals</w:t>
      </w:r>
      <w:r>
        <w:rPr>
          <w:rFonts w:ascii="Arial" w:cs="Arial" w:eastAsia="Arial" w:hAnsi="Arial"/>
          <w:sz w:val="19"/>
          <w:szCs w:val="19"/>
          <w:color w:val="auto"/>
          <w:vertAlign w:val="superscript"/>
        </w:rPr>
        <w:t>(9), (11)</w:t>
      </w:r>
    </w:p>
    <w:p>
      <w:pPr>
        <w:ind w:left="186" w:right="20" w:hanging="179"/>
        <w:spacing w:after="0" w:line="221" w:lineRule="auto"/>
        <w:rPr>
          <w:sz w:val="20"/>
          <w:szCs w:val="20"/>
          <w:color w:val="auto"/>
        </w:rPr>
      </w:pPr>
      <w:r>
        <w:rPr>
          <w:rFonts w:ascii="Arial" w:cs="Arial" w:eastAsia="Arial" w:hAnsi="Arial"/>
          <w:sz w:val="14"/>
          <w:szCs w:val="14"/>
          <w:color w:val="auto"/>
        </w:rPr>
        <w:t>Cengage Learning Acquisitions, Inc. (fka TL Acquisitions, Inc.)</w:t>
      </w:r>
    </w:p>
    <w:p>
      <w:pPr>
        <w:spacing w:after="0" w:line="1" w:lineRule="exact"/>
        <w:rPr>
          <w:sz w:val="20"/>
          <w:szCs w:val="20"/>
          <w:color w:val="auto"/>
        </w:rPr>
      </w:pPr>
    </w:p>
    <w:p>
      <w:pPr>
        <w:ind w:left="186" w:right="420"/>
        <w:spacing w:after="0" w:line="190" w:lineRule="auto"/>
        <w:rPr>
          <w:sz w:val="20"/>
          <w:szCs w:val="20"/>
          <w:color w:val="auto"/>
        </w:rPr>
      </w:pPr>
      <w:r>
        <w:rPr>
          <w:rFonts w:ascii="Arial" w:cs="Arial" w:eastAsia="Arial" w:hAnsi="Arial"/>
          <w:sz w:val="14"/>
          <w:szCs w:val="14"/>
          <w:i w:val="1"/>
          <w:iCs w:val="1"/>
          <w:color w:val="auto"/>
        </w:rPr>
        <w:t>Media: Advertising, Printing &amp; Publishing</w:t>
      </w:r>
      <w:r>
        <w:rPr>
          <w:rFonts w:ascii="Arial" w:cs="Arial" w:eastAsia="Arial" w:hAnsi="Arial"/>
          <w:sz w:val="23"/>
          <w:szCs w:val="23"/>
          <w:color w:val="auto"/>
          <w:vertAlign w:val="superscript"/>
        </w:rPr>
        <w:t>(9), (11)</w:t>
      </w:r>
    </w:p>
    <w:p>
      <w:pPr>
        <w:spacing w:after="0" w:line="1" w:lineRule="exact"/>
        <w:rPr>
          <w:sz w:val="20"/>
          <w:szCs w:val="20"/>
          <w:color w:val="auto"/>
        </w:rPr>
      </w:pPr>
    </w:p>
    <w:p>
      <w:pPr>
        <w:ind w:left="186" w:hanging="179"/>
        <w:spacing w:after="0" w:line="221" w:lineRule="auto"/>
        <w:rPr>
          <w:sz w:val="20"/>
          <w:szCs w:val="20"/>
          <w:color w:val="auto"/>
        </w:rPr>
      </w:pPr>
      <w:r>
        <w:rPr>
          <w:rFonts w:ascii="Arial" w:cs="Arial" w:eastAsia="Arial" w:hAnsi="Arial"/>
          <w:sz w:val="14"/>
          <w:szCs w:val="14"/>
          <w:color w:val="auto"/>
        </w:rPr>
        <w:t>Charter Communications Operating, LLC (aka CCO Safari LLC)</w:t>
      </w:r>
    </w:p>
    <w:p>
      <w:pPr>
        <w:spacing w:after="0" w:line="1" w:lineRule="exact"/>
        <w:rPr>
          <w:sz w:val="20"/>
          <w:szCs w:val="20"/>
          <w:color w:val="auto"/>
        </w:rPr>
      </w:pPr>
    </w:p>
    <w:p>
      <w:pPr>
        <w:ind w:left="186" w:right="860"/>
        <w:spacing w:after="0" w:line="190" w:lineRule="auto"/>
        <w:rPr>
          <w:sz w:val="20"/>
          <w:szCs w:val="20"/>
          <w:color w:val="auto"/>
        </w:rPr>
      </w:pPr>
      <w:r>
        <w:rPr>
          <w:rFonts w:ascii="Arial" w:cs="Arial" w:eastAsia="Arial" w:hAnsi="Arial"/>
          <w:sz w:val="14"/>
          <w:szCs w:val="14"/>
          <w:i w:val="1"/>
          <w:iCs w:val="1"/>
          <w:color w:val="auto"/>
        </w:rPr>
        <w:t>Media: Broadcasting &amp; Subscription</w:t>
      </w:r>
      <w:r>
        <w:rPr>
          <w:rFonts w:ascii="Arial" w:cs="Arial" w:eastAsia="Arial" w:hAnsi="Arial"/>
          <w:sz w:val="23"/>
          <w:szCs w:val="23"/>
          <w:color w:val="auto"/>
          <w:vertAlign w:val="superscript"/>
        </w:rPr>
        <w:t>(11)</w:t>
      </w:r>
    </w:p>
    <w:p>
      <w:pPr>
        <w:ind w:left="6"/>
        <w:spacing w:after="0" w:line="222" w:lineRule="auto"/>
        <w:rPr>
          <w:sz w:val="20"/>
          <w:szCs w:val="20"/>
          <w:color w:val="auto"/>
        </w:rPr>
      </w:pPr>
      <w:r>
        <w:rPr>
          <w:rFonts w:ascii="Arial" w:cs="Arial" w:eastAsia="Arial" w:hAnsi="Arial"/>
          <w:sz w:val="14"/>
          <w:szCs w:val="14"/>
          <w:color w:val="auto"/>
        </w:rPr>
        <w:t>Checkout Holding Corp.</w:t>
      </w:r>
    </w:p>
    <w:p>
      <w:pPr>
        <w:ind w:left="186" w:right="420"/>
        <w:spacing w:after="0" w:line="190" w:lineRule="auto"/>
        <w:rPr>
          <w:sz w:val="20"/>
          <w:szCs w:val="20"/>
          <w:color w:val="auto"/>
        </w:rPr>
      </w:pPr>
      <w:r>
        <w:rPr>
          <w:rFonts w:ascii="Arial" w:cs="Arial" w:eastAsia="Arial" w:hAnsi="Arial"/>
          <w:sz w:val="14"/>
          <w:szCs w:val="14"/>
          <w:i w:val="1"/>
          <w:iCs w:val="1"/>
          <w:color w:val="auto"/>
        </w:rPr>
        <w:t>Media: Advertising, Printing &amp; Publishing</w:t>
      </w:r>
      <w:r>
        <w:rPr>
          <w:rFonts w:ascii="Arial" w:cs="Arial" w:eastAsia="Arial" w:hAnsi="Arial"/>
          <w:sz w:val="23"/>
          <w:szCs w:val="23"/>
          <w:color w:val="auto"/>
          <w:vertAlign w:val="superscript"/>
        </w:rPr>
        <w:t>(9), (11)</w:t>
      </w:r>
    </w:p>
    <w:p>
      <w:pPr>
        <w:ind w:left="6"/>
        <w:spacing w:after="0" w:line="234" w:lineRule="auto"/>
        <w:rPr>
          <w:sz w:val="20"/>
          <w:szCs w:val="20"/>
          <w:color w:val="auto"/>
        </w:rPr>
      </w:pPr>
      <w:r>
        <w:rPr>
          <w:rFonts w:ascii="Arial" w:cs="Arial" w:eastAsia="Arial" w:hAnsi="Arial"/>
          <w:sz w:val="14"/>
          <w:szCs w:val="14"/>
          <w:color w:val="auto"/>
        </w:rPr>
        <w:t>Consolidated Communications, Inc.</w:t>
      </w:r>
    </w:p>
    <w:p>
      <w:pPr>
        <w:ind w:left="186"/>
        <w:spacing w:after="0"/>
        <w:rPr>
          <w:sz w:val="20"/>
          <w:szCs w:val="20"/>
          <w:color w:val="auto"/>
        </w:rPr>
      </w:pPr>
      <w:r>
        <w:rPr>
          <w:rFonts w:ascii="Arial" w:cs="Arial" w:eastAsia="Arial" w:hAnsi="Arial"/>
          <w:sz w:val="14"/>
          <w:szCs w:val="14"/>
          <w:i w:val="1"/>
          <w:iCs w:val="1"/>
          <w:color w:val="auto"/>
        </w:rPr>
        <w:t>Telecommunications</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31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17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3179"/>
        <w:spacing w:after="0"/>
        <w:rPr>
          <w:sz w:val="20"/>
          <w:szCs w:val="20"/>
          <w:color w:val="auto"/>
        </w:rPr>
      </w:pPr>
      <w:r>
        <w:rPr>
          <w:rFonts w:ascii="Arial" w:cs="Arial" w:eastAsia="Arial" w:hAnsi="Arial"/>
          <w:sz w:val="18"/>
          <w:szCs w:val="18"/>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35331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2,793,000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2,768,057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2,723,175</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First Lien Bond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10.5% Cash, Due 6/19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2,962,507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2,580,000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1,002,384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992,000</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10/16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5,200,227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5,193,935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5,200,227</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7"/>
              </w:rPr>
              <w:t>Senior Secured Loan — B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6/17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2,992,277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2,988,629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2,972,947</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3.8%</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7/21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2,975,020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2/21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1,962,587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1,955,250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B-1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1,917,430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1,932,331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1,896,549</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467,123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464,966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457,977</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700,227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700,227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624,463</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4.5%</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7/19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2,861,557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2,835,158</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11/21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2,941,316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 Term B Loans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8/19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2,239,551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2,230,586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2,235,071</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New</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467,636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468,971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456,530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Bond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10.6% Cash, Due 8/18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1,515,584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1,552,500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2,978,364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2,940,131</w:t>
            </w:r>
          </w:p>
        </w:tc>
        <w:tc>
          <w:tcPr>
            <w:tcW w:w="0" w:type="dxa"/>
            <w:vAlign w:val="bottom"/>
          </w:tcPr>
          <w:p>
            <w:pPr>
              <w:spacing w:after="0"/>
              <w:rPr>
                <w:sz w:val="1"/>
                <w:szCs w:val="1"/>
                <w:color w:val="auto"/>
              </w:rPr>
            </w:pPr>
          </w:p>
        </w:tc>
      </w:tr>
      <w:tr>
        <w:trPr>
          <w:trHeight w:val="45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2,987,475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2,980,768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2,963,829</w:t>
            </w:r>
          </w:p>
        </w:tc>
        <w:tc>
          <w:tcPr>
            <w:tcW w:w="0" w:type="dxa"/>
            <w:vAlign w:val="bottom"/>
          </w:tcPr>
          <w:p>
            <w:pPr>
              <w:spacing w:after="0"/>
              <w:rPr>
                <w:sz w:val="1"/>
                <w:szCs w:val="1"/>
                <w:color w:val="auto"/>
              </w:rPr>
            </w:pPr>
          </w:p>
        </w:tc>
      </w:tr>
      <w:tr>
        <w:trPr>
          <w:trHeight w:val="452"/>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6"/>
              </w:rPr>
              <w:t>Senior Secured Loan — Term G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9/21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3,022,408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3,022,980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4.5%</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4/21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990,534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951,474</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2,992,443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3,003,588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2,976,538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-5934710</wp:posOffset>
            </wp:positionV>
            <wp:extent cx="5213985" cy="403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-5317490</wp:posOffset>
            </wp:positionV>
            <wp:extent cx="5213985" cy="283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-4725670</wp:posOffset>
            </wp:positionV>
            <wp:extent cx="5213985" cy="3086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-4133850</wp:posOffset>
            </wp:positionV>
            <wp:extent cx="5213985" cy="283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-3542030</wp:posOffset>
            </wp:positionV>
            <wp:extent cx="5213985" cy="3086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-3018790</wp:posOffset>
            </wp:positionV>
            <wp:extent cx="5213985" cy="2146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-2521585</wp:posOffset>
            </wp:positionV>
            <wp:extent cx="5213985" cy="3086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-1929765</wp:posOffset>
            </wp:positionV>
            <wp:extent cx="5213985" cy="2146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-1406525</wp:posOffset>
            </wp:positionV>
            <wp:extent cx="5213985" cy="403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-600710</wp:posOffset>
            </wp:positionV>
            <wp:extent cx="5213985" cy="308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105410</wp:posOffset>
            </wp:positionV>
            <wp:extent cx="611441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06" w:space="240"/>
            <w:col w:w="7439"/>
          </w:cols>
          <w:pgMar w:left="374" w:top="792"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4408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779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CRGT Inc.</w:t>
      </w:r>
    </w:p>
    <w:p>
      <w:pPr>
        <w:ind w:left="180"/>
        <w:spacing w:after="0" w:line="180" w:lineRule="auto"/>
        <w:rPr>
          <w:sz w:val="20"/>
          <w:szCs w:val="20"/>
          <w:color w:val="auto"/>
        </w:rPr>
      </w:pPr>
      <w:r>
        <w:rPr>
          <w:rFonts w:ascii="Arial" w:cs="Arial" w:eastAsia="Arial" w:hAnsi="Arial"/>
          <w:sz w:val="13"/>
          <w:szCs w:val="13"/>
          <w:i w:val="1"/>
          <w:iCs w:val="1"/>
          <w:color w:val="auto"/>
        </w:rPr>
        <w:t>High Tech Industries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Crowley Holdings Preferred, LLC</w:t>
      </w:r>
    </w:p>
    <w:p>
      <w:pPr>
        <w:ind w:left="180"/>
        <w:spacing w:after="0" w:line="180" w:lineRule="auto"/>
        <w:rPr>
          <w:sz w:val="20"/>
          <w:szCs w:val="20"/>
          <w:color w:val="auto"/>
        </w:rPr>
      </w:pPr>
      <w:r>
        <w:rPr>
          <w:rFonts w:ascii="Arial" w:cs="Arial" w:eastAsia="Arial" w:hAnsi="Arial"/>
          <w:sz w:val="13"/>
          <w:szCs w:val="13"/>
          <w:i w:val="1"/>
          <w:iCs w:val="1"/>
          <w:color w:val="auto"/>
        </w:rPr>
        <w:t>Transportation: Cargo</w:t>
      </w:r>
      <w:r>
        <w:rPr>
          <w:rFonts w:ascii="Arial" w:cs="Arial" w:eastAsia="Arial" w:hAnsi="Arial"/>
          <w:sz w:val="21"/>
          <w:szCs w:val="21"/>
          <w:color w:val="auto"/>
          <w:vertAlign w:val="superscript"/>
        </w:rPr>
        <w:t>(9)</w:t>
      </w:r>
    </w:p>
    <w:p>
      <w:pPr>
        <w:jc w:val="right"/>
        <w:ind w:right="1220"/>
        <w:spacing w:after="0"/>
        <w:rPr>
          <w:sz w:val="20"/>
          <w:szCs w:val="20"/>
          <w:color w:val="auto"/>
        </w:rPr>
      </w:pPr>
      <w:r>
        <w:rPr>
          <w:rFonts w:ascii="Arial" w:cs="Arial" w:eastAsia="Arial" w:hAnsi="Arial"/>
          <w:sz w:val="13"/>
          <w:szCs w:val="13"/>
          <w:color w:val="auto"/>
        </w:rPr>
        <w:t>Crowne Group, LLC</w:t>
      </w:r>
    </w:p>
    <w:p>
      <w:pPr>
        <w:spacing w:after="0" w:line="7" w:lineRule="exact"/>
        <w:rPr>
          <w:sz w:val="20"/>
          <w:szCs w:val="20"/>
          <w:color w:val="auto"/>
        </w:rPr>
      </w:pPr>
    </w:p>
    <w:p>
      <w:pPr>
        <w:jc w:val="right"/>
        <w:ind w:right="1180"/>
        <w:spacing w:after="0"/>
        <w:rPr>
          <w:sz w:val="20"/>
          <w:szCs w:val="20"/>
          <w:color w:val="auto"/>
        </w:rPr>
      </w:pPr>
      <w:r>
        <w:rPr>
          <w:rFonts w:ascii="Arial" w:cs="Arial" w:eastAsia="Arial" w:hAnsi="Arial"/>
          <w:sz w:val="14"/>
          <w:szCs w:val="14"/>
          <w:i w:val="1"/>
          <w:iCs w:val="1"/>
          <w:color w:val="auto"/>
        </w:rPr>
        <w:t>Automotive</w:t>
      </w:r>
      <w:r>
        <w:rPr>
          <w:rFonts w:ascii="Arial" w:cs="Arial" w:eastAsia="Arial" w:hAnsi="Arial"/>
          <w:sz w:val="22"/>
          <w:szCs w:val="22"/>
          <w:color w:val="auto"/>
          <w:vertAlign w:val="superscript"/>
        </w:rPr>
        <w:t>(9), (11)</w:t>
      </w:r>
    </w:p>
    <w:p>
      <w:pPr>
        <w:spacing w:after="0" w:line="36" w:lineRule="exact"/>
        <w:rPr>
          <w:sz w:val="20"/>
          <w:szCs w:val="20"/>
          <w:color w:val="auto"/>
        </w:rPr>
      </w:pPr>
    </w:p>
    <w:p>
      <w:pPr>
        <w:ind w:left="180" w:hanging="179"/>
        <w:spacing w:after="0" w:line="227" w:lineRule="auto"/>
        <w:rPr>
          <w:sz w:val="20"/>
          <w:szCs w:val="20"/>
          <w:color w:val="auto"/>
        </w:rPr>
      </w:pPr>
      <w:r>
        <w:rPr>
          <w:rFonts w:ascii="Arial" w:cs="Arial" w:eastAsia="Arial" w:hAnsi="Arial"/>
          <w:sz w:val="14"/>
          <w:szCs w:val="14"/>
          <w:color w:val="auto"/>
        </w:rPr>
        <w:t>CSM Bakery Solutions Limited (fka CSM Bakery Supplies Limited)</w:t>
      </w:r>
    </w:p>
    <w:p>
      <w:pPr>
        <w:ind w:left="180"/>
        <w:spacing w:after="0" w:line="180" w:lineRule="auto"/>
        <w:rPr>
          <w:sz w:val="20"/>
          <w:szCs w:val="20"/>
          <w:color w:val="auto"/>
        </w:rPr>
      </w:pPr>
      <w:r>
        <w:rPr>
          <w:rFonts w:ascii="Arial" w:cs="Arial" w:eastAsia="Arial" w:hAnsi="Arial"/>
          <w:sz w:val="13"/>
          <w:szCs w:val="13"/>
          <w:i w:val="1"/>
          <w:iCs w:val="1"/>
          <w:color w:val="auto"/>
        </w:rPr>
        <w:t>Beverage, Food and Tobacco</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hanging="179"/>
        <w:spacing w:after="0" w:line="221" w:lineRule="auto"/>
        <w:rPr>
          <w:sz w:val="20"/>
          <w:szCs w:val="20"/>
          <w:color w:val="auto"/>
        </w:rPr>
      </w:pPr>
      <w:r>
        <w:rPr>
          <w:rFonts w:ascii="Arial" w:cs="Arial" w:eastAsia="Arial" w:hAnsi="Arial"/>
          <w:sz w:val="14"/>
          <w:szCs w:val="14"/>
          <w:color w:val="auto"/>
        </w:rPr>
        <w:t>CSM Bakery Solutions Limited (fka CSM Bakery Supplies Limited)</w:t>
      </w:r>
    </w:p>
    <w:p>
      <w:pPr>
        <w:ind w:left="180"/>
        <w:spacing w:after="0" w:line="234" w:lineRule="auto"/>
        <w:rPr>
          <w:sz w:val="20"/>
          <w:szCs w:val="20"/>
          <w:color w:val="auto"/>
        </w:rPr>
      </w:pPr>
      <w:r>
        <w:rPr>
          <w:rFonts w:ascii="Arial" w:cs="Arial" w:eastAsia="Arial" w:hAnsi="Arial"/>
          <w:sz w:val="14"/>
          <w:szCs w:val="14"/>
          <w:i w:val="1"/>
          <w:iCs w:val="1"/>
          <w:color w:val="auto"/>
        </w:rPr>
        <w:t>Beverage, Food and</w:t>
      </w:r>
    </w:p>
    <w:p>
      <w:pPr>
        <w:ind w:left="180"/>
        <w:spacing w:after="0" w:line="180" w:lineRule="auto"/>
        <w:rPr>
          <w:sz w:val="20"/>
          <w:szCs w:val="20"/>
          <w:color w:val="auto"/>
        </w:rPr>
      </w:pPr>
      <w:r>
        <w:rPr>
          <w:rFonts w:ascii="Arial" w:cs="Arial" w:eastAsia="Arial" w:hAnsi="Arial"/>
          <w:sz w:val="21"/>
          <w:szCs w:val="21"/>
          <w:i w:val="1"/>
          <w:iCs w:val="1"/>
          <w:color w:val="auto"/>
          <w:vertAlign w:val="subscript"/>
        </w:rPr>
        <w:t>Tobacco</w:t>
      </w:r>
      <w:r>
        <w:rPr>
          <w:rFonts w:ascii="Arial" w:cs="Arial" w:eastAsia="Arial" w:hAnsi="Arial"/>
          <w:sz w:val="10"/>
          <w:szCs w:val="10"/>
          <w:color w:val="auto"/>
        </w:rPr>
        <w:t>(9), (11)</w:t>
      </w:r>
    </w:p>
    <w:p>
      <w:pPr>
        <w:spacing w:after="0"/>
        <w:rPr>
          <w:sz w:val="20"/>
          <w:szCs w:val="20"/>
          <w:color w:val="auto"/>
        </w:rPr>
      </w:pPr>
      <w:r>
        <w:rPr>
          <w:rFonts w:ascii="Arial" w:cs="Arial" w:eastAsia="Arial" w:hAnsi="Arial"/>
          <w:sz w:val="13"/>
          <w:szCs w:val="13"/>
          <w:color w:val="auto"/>
        </w:rPr>
        <w:t>CT Technologies Intermediate Holdings,</w:t>
      </w:r>
    </w:p>
    <w:p>
      <w:pPr>
        <w:ind w:left="180"/>
        <w:spacing w:after="0" w:line="221" w:lineRule="auto"/>
        <w:rPr>
          <w:sz w:val="20"/>
          <w:szCs w:val="20"/>
          <w:color w:val="auto"/>
        </w:rPr>
      </w:pPr>
      <w:r>
        <w:rPr>
          <w:rFonts w:ascii="Arial" w:cs="Arial" w:eastAsia="Arial" w:hAnsi="Arial"/>
          <w:sz w:val="14"/>
          <w:szCs w:val="14"/>
          <w:color w:val="auto"/>
        </w:rPr>
        <w:t>Inc. (Smart Holdings Corp.)</w:t>
      </w:r>
    </w:p>
    <w:p>
      <w:pPr>
        <w:ind w:left="180"/>
        <w:spacing w:after="0" w:line="233"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34" w:lineRule="auto"/>
        <w:rPr>
          <w:sz w:val="20"/>
          <w:szCs w:val="20"/>
          <w:color w:val="auto"/>
        </w:rPr>
      </w:pPr>
      <w:r>
        <w:rPr>
          <w:rFonts w:ascii="Arial" w:cs="Arial" w:eastAsia="Arial" w:hAnsi="Arial"/>
          <w:sz w:val="14"/>
          <w:szCs w:val="14"/>
          <w:color w:val="auto"/>
        </w:rPr>
        <w:t>DBI Holding LLC</w:t>
      </w:r>
    </w:p>
    <w:p>
      <w:pPr>
        <w:ind w:left="180"/>
        <w:spacing w:after="0" w:line="180" w:lineRule="auto"/>
        <w:rPr>
          <w:sz w:val="20"/>
          <w:szCs w:val="20"/>
          <w:color w:val="auto"/>
        </w:rPr>
      </w:pPr>
      <w:r>
        <w:rPr>
          <w:rFonts w:ascii="Arial" w:cs="Arial" w:eastAsia="Arial" w:hAnsi="Arial"/>
          <w:sz w:val="13"/>
          <w:szCs w:val="13"/>
          <w:i w:val="1"/>
          <w:iCs w:val="1"/>
          <w:color w:val="auto"/>
        </w:rPr>
        <w:t>Services: Business</w:t>
      </w:r>
      <w:r>
        <w:rPr>
          <w:rFonts w:ascii="Arial" w:cs="Arial" w:eastAsia="Arial" w:hAnsi="Arial"/>
          <w:sz w:val="21"/>
          <w:szCs w:val="21"/>
          <w:color w:val="auto"/>
          <w:vertAlign w:val="superscript"/>
        </w:rPr>
        <w:t>(9)</w:t>
      </w:r>
    </w:p>
    <w:p>
      <w:pPr>
        <w:spacing w:after="0" w:line="233" w:lineRule="auto"/>
        <w:rPr>
          <w:sz w:val="20"/>
          <w:szCs w:val="20"/>
          <w:color w:val="auto"/>
        </w:rPr>
      </w:pPr>
      <w:r>
        <w:rPr>
          <w:rFonts w:ascii="Arial" w:cs="Arial" w:eastAsia="Arial" w:hAnsi="Arial"/>
          <w:sz w:val="14"/>
          <w:szCs w:val="14"/>
          <w:color w:val="auto"/>
        </w:rPr>
        <w:t>DBI Holding LLC</w:t>
      </w:r>
    </w:p>
    <w:p>
      <w:pPr>
        <w:ind w:left="180"/>
        <w:spacing w:after="0" w:line="180" w:lineRule="auto"/>
        <w:rPr>
          <w:sz w:val="20"/>
          <w:szCs w:val="20"/>
          <w:color w:val="auto"/>
        </w:rPr>
      </w:pPr>
      <w:r>
        <w:rPr>
          <w:rFonts w:ascii="Arial" w:cs="Arial" w:eastAsia="Arial" w:hAnsi="Arial"/>
          <w:sz w:val="13"/>
          <w:szCs w:val="13"/>
          <w:i w:val="1"/>
          <w:iCs w:val="1"/>
          <w:color w:val="auto"/>
        </w:rPr>
        <w:t>Services: Business</w:t>
      </w:r>
      <w:r>
        <w:rPr>
          <w:rFonts w:ascii="Arial" w:cs="Arial" w:eastAsia="Arial" w:hAnsi="Arial"/>
          <w:sz w:val="21"/>
          <w:szCs w:val="21"/>
          <w:color w:val="auto"/>
          <w:vertAlign w:val="superscript"/>
        </w:rPr>
        <w:t>(9)</w:t>
      </w:r>
    </w:p>
    <w:p>
      <w:pPr>
        <w:ind w:left="180" w:right="60" w:hanging="179"/>
        <w:spacing w:after="0" w:line="221" w:lineRule="auto"/>
        <w:rPr>
          <w:sz w:val="20"/>
          <w:szCs w:val="20"/>
          <w:color w:val="auto"/>
        </w:rPr>
      </w:pPr>
      <w:r>
        <w:rPr>
          <w:rFonts w:ascii="Arial" w:cs="Arial" w:eastAsia="Arial" w:hAnsi="Arial"/>
          <w:sz w:val="14"/>
          <w:szCs w:val="14"/>
          <w:color w:val="auto"/>
        </w:rPr>
        <w:t>DJO Finance LLC (ReAble Therapeutics Fin LLC)</w:t>
      </w:r>
    </w:p>
    <w:p>
      <w:pPr>
        <w:ind w:left="180"/>
        <w:spacing w:after="0" w:line="234"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Drew Marine Group Inc.</w:t>
      </w:r>
    </w:p>
    <w:p>
      <w:pPr>
        <w:ind w:left="180"/>
        <w:spacing w:after="0"/>
        <w:rPr>
          <w:sz w:val="20"/>
          <w:szCs w:val="20"/>
          <w:color w:val="auto"/>
        </w:rPr>
      </w:pPr>
      <w:r>
        <w:rPr>
          <w:rFonts w:ascii="Arial" w:cs="Arial" w:eastAsia="Arial" w:hAnsi="Arial"/>
          <w:sz w:val="14"/>
          <w:szCs w:val="14"/>
          <w:i w:val="1"/>
          <w:iCs w:val="1"/>
          <w:color w:val="auto"/>
        </w:rPr>
        <w:t>Transportation: Cargo</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p>
    <w:p>
      <w:pPr>
        <w:ind w:left="180"/>
        <w:spacing w:after="0"/>
        <w:rPr>
          <w:sz w:val="20"/>
          <w:szCs w:val="20"/>
          <w:color w:val="auto"/>
        </w:rPr>
      </w:pPr>
      <w:r>
        <w:rPr>
          <w:rFonts w:ascii="Arial" w:cs="Arial" w:eastAsia="Arial" w:hAnsi="Arial"/>
          <w:sz w:val="14"/>
          <w:szCs w:val="14"/>
          <w:i w:val="1"/>
          <w:iCs w:val="1"/>
          <w:color w:val="auto"/>
        </w:rPr>
        <w:t>High Tech Industries</w:t>
      </w:r>
      <w:r>
        <w:rPr>
          <w:rFonts w:ascii="Arial" w:cs="Arial" w:eastAsia="Arial" w:hAnsi="Arial"/>
          <w:sz w:val="23"/>
          <w:szCs w:val="23"/>
          <w:color w:val="auto"/>
          <w:vertAlign w:val="superscript"/>
        </w:rPr>
        <w:t>(9), (11)</w:t>
      </w:r>
    </w:p>
    <w:p>
      <w:pPr>
        <w:spacing w:after="0" w:line="25" w:lineRule="exact"/>
        <w:rPr>
          <w:sz w:val="20"/>
          <w:szCs w:val="20"/>
          <w:color w:val="auto"/>
        </w:rPr>
      </w:pPr>
    </w:p>
    <w:p>
      <w:pPr>
        <w:ind w:left="180" w:right="380" w:hanging="179"/>
        <w:spacing w:after="0" w:line="227" w:lineRule="auto"/>
        <w:rPr>
          <w:sz w:val="20"/>
          <w:szCs w:val="20"/>
          <w:color w:val="auto"/>
        </w:rPr>
      </w:pPr>
      <w:r>
        <w:rPr>
          <w:rFonts w:ascii="Arial" w:cs="Arial" w:eastAsia="Arial" w:hAnsi="Arial"/>
          <w:sz w:val="14"/>
          <w:szCs w:val="14"/>
          <w:color w:val="auto"/>
        </w:rPr>
        <w:t>EWT Holdings III Corp. (fka WTG Holdings III Corp.)</w:t>
      </w:r>
    </w:p>
    <w:p>
      <w:pPr>
        <w:ind w:left="180"/>
        <w:spacing w:after="0" w:line="180" w:lineRule="auto"/>
        <w:rPr>
          <w:sz w:val="20"/>
          <w:szCs w:val="20"/>
          <w:color w:val="auto"/>
        </w:rPr>
      </w:pPr>
      <w:r>
        <w:rPr>
          <w:rFonts w:ascii="Arial" w:cs="Arial" w:eastAsia="Arial" w:hAnsi="Arial"/>
          <w:sz w:val="13"/>
          <w:szCs w:val="13"/>
          <w:i w:val="1"/>
          <w:iCs w:val="1"/>
          <w:color w:val="auto"/>
        </w:rPr>
        <w:t>Environmental Industries</w:t>
      </w:r>
      <w:r>
        <w:rPr>
          <w:rFonts w:ascii="Arial" w:cs="Arial" w:eastAsia="Arial" w:hAnsi="Arial"/>
          <w:sz w:val="21"/>
          <w:szCs w:val="21"/>
          <w:color w:val="auto"/>
          <w:vertAlign w:val="superscript"/>
        </w:rPr>
        <w:t>(9)</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Fender Musical Instruments Corporation</w:t>
      </w:r>
    </w:p>
    <w:p>
      <w:pPr>
        <w:spacing w:after="0" w:line="7" w:lineRule="exact"/>
        <w:rPr>
          <w:sz w:val="20"/>
          <w:szCs w:val="20"/>
          <w:color w:val="auto"/>
        </w:rPr>
      </w:pPr>
    </w:p>
    <w:p>
      <w:pPr>
        <w:ind w:right="320" w:firstLine="180"/>
        <w:spacing w:after="0" w:line="221" w:lineRule="auto"/>
        <w:rPr>
          <w:sz w:val="20"/>
          <w:szCs w:val="20"/>
          <w:color w:val="auto"/>
        </w:rPr>
      </w:pPr>
      <w:r>
        <w:rPr>
          <w:rFonts w:ascii="Arial" w:cs="Arial" w:eastAsia="Arial" w:hAnsi="Arial"/>
          <w:sz w:val="12"/>
          <w:szCs w:val="12"/>
          <w:i w:val="1"/>
          <w:iCs w:val="1"/>
          <w:color w:val="auto"/>
        </w:rPr>
        <w:t>Consumer goods: Durable</w:t>
      </w:r>
      <w:r>
        <w:rPr>
          <w:rFonts w:ascii="Arial" w:cs="Arial" w:eastAsia="Arial" w:hAnsi="Arial"/>
          <w:sz w:val="19"/>
          <w:szCs w:val="19"/>
          <w:color w:val="auto"/>
          <w:vertAlign w:val="superscript"/>
        </w:rPr>
        <w:t>(9), (11)</w:t>
      </w:r>
      <w:r>
        <w:rPr>
          <w:rFonts w:ascii="Arial" w:cs="Arial" w:eastAsia="Arial" w:hAnsi="Arial"/>
          <w:sz w:val="12"/>
          <w:szCs w:val="12"/>
          <w:i w:val="1"/>
          <w:iCs w:val="1"/>
          <w:color w:val="auto"/>
        </w:rPr>
        <w:t xml:space="preserve"> </w:t>
      </w:r>
      <w:r>
        <w:rPr>
          <w:rFonts w:ascii="Arial" w:cs="Arial" w:eastAsia="Arial" w:hAnsi="Arial"/>
          <w:sz w:val="12"/>
          <w:szCs w:val="12"/>
          <w:color w:val="auto"/>
        </w:rPr>
        <w:t>FHC Health Systems, Inc.</w:t>
      </w:r>
    </w:p>
    <w:p>
      <w:pPr>
        <w:spacing w:after="0" w:line="1" w:lineRule="exact"/>
        <w:rPr>
          <w:sz w:val="20"/>
          <w:szCs w:val="20"/>
          <w:color w:val="auto"/>
        </w:rPr>
      </w:pPr>
    </w:p>
    <w:p>
      <w:pPr>
        <w:ind w:left="180" w:right="860"/>
        <w:spacing w:after="0" w:line="227" w:lineRule="auto"/>
        <w:rPr>
          <w:sz w:val="20"/>
          <w:szCs w:val="20"/>
          <w:color w:val="auto"/>
        </w:rPr>
      </w:pPr>
      <w:r>
        <w:rPr>
          <w:rFonts w:ascii="Arial" w:cs="Arial" w:eastAsia="Arial" w:hAnsi="Arial"/>
          <w:sz w:val="12"/>
          <w:szCs w:val="12"/>
          <w:i w:val="1"/>
          <w:iCs w:val="1"/>
          <w:color w:val="auto"/>
        </w:rPr>
        <w:t>Healthcare &amp; Pharmaceuticals</w:t>
      </w:r>
      <w:r>
        <w:rPr>
          <w:rFonts w:ascii="Arial" w:cs="Arial" w:eastAsia="Arial" w:hAnsi="Arial"/>
          <w:sz w:val="19"/>
          <w:szCs w:val="19"/>
          <w:color w:val="auto"/>
          <w:vertAlign w:val="superscript"/>
        </w:rPr>
        <w:t>(9), (11)</w:t>
      </w:r>
    </w:p>
    <w:p>
      <w:pPr>
        <w:spacing w:after="0" w:line="222" w:lineRule="auto"/>
        <w:rPr>
          <w:sz w:val="20"/>
          <w:szCs w:val="20"/>
          <w:color w:val="auto"/>
        </w:rPr>
      </w:pPr>
      <w:r>
        <w:rPr>
          <w:rFonts w:ascii="Arial" w:cs="Arial" w:eastAsia="Arial" w:hAnsi="Arial"/>
          <w:sz w:val="14"/>
          <w:szCs w:val="14"/>
          <w:color w:val="auto"/>
        </w:rPr>
        <w:t>First American Payment Systems, L.P.</w:t>
      </w:r>
    </w:p>
    <w:p>
      <w:pPr>
        <w:ind w:left="180"/>
        <w:spacing w:after="0" w:line="233" w:lineRule="auto"/>
        <w:rPr>
          <w:sz w:val="20"/>
          <w:szCs w:val="20"/>
          <w:color w:val="auto"/>
        </w:rPr>
      </w:pPr>
      <w:r>
        <w:rPr>
          <w:rFonts w:ascii="Arial" w:cs="Arial" w:eastAsia="Arial" w:hAnsi="Arial"/>
          <w:sz w:val="14"/>
          <w:szCs w:val="14"/>
          <w:i w:val="1"/>
          <w:iCs w:val="1"/>
          <w:color w:val="auto"/>
        </w:rPr>
        <w:t>Banking, Finance, Insurance &amp; Real</w:t>
      </w:r>
    </w:p>
    <w:p>
      <w:pPr>
        <w:ind w:left="180"/>
        <w:spacing w:after="0" w:line="180" w:lineRule="auto"/>
        <w:rPr>
          <w:sz w:val="20"/>
          <w:szCs w:val="20"/>
          <w:color w:val="auto"/>
        </w:rPr>
      </w:pPr>
      <w:r>
        <w:rPr>
          <w:rFonts w:ascii="Arial" w:cs="Arial" w:eastAsia="Arial" w:hAnsi="Arial"/>
          <w:sz w:val="13"/>
          <w:szCs w:val="13"/>
          <w:i w:val="1"/>
          <w:iCs w:val="1"/>
          <w:color w:val="auto"/>
        </w:rPr>
        <w:t>Estate</w:t>
      </w:r>
      <w:r>
        <w:rPr>
          <w:rFonts w:ascii="Arial" w:cs="Arial" w:eastAsia="Arial" w:hAnsi="Arial"/>
          <w:sz w:val="21"/>
          <w:szCs w:val="21"/>
          <w:color w:val="auto"/>
          <w:vertAlign w:val="superscript"/>
        </w:rPr>
        <w:t>(9)</w:t>
      </w:r>
    </w:p>
    <w:p>
      <w:pPr>
        <w:spacing w:after="0" w:line="221" w:lineRule="auto"/>
        <w:rPr>
          <w:sz w:val="20"/>
          <w:szCs w:val="20"/>
          <w:color w:val="auto"/>
        </w:rPr>
      </w:pPr>
      <w:r>
        <w:rPr>
          <w:rFonts w:ascii="Arial" w:cs="Arial" w:eastAsia="Arial" w:hAnsi="Arial"/>
          <w:sz w:val="14"/>
          <w:szCs w:val="14"/>
          <w:color w:val="auto"/>
        </w:rPr>
        <w:t>First Data Corporation</w:t>
      </w:r>
    </w:p>
    <w:p>
      <w:pPr>
        <w:ind w:left="180"/>
        <w:spacing w:after="0" w:line="234" w:lineRule="auto"/>
        <w:rPr>
          <w:sz w:val="20"/>
          <w:szCs w:val="20"/>
          <w:color w:val="auto"/>
        </w:rPr>
      </w:pPr>
      <w:r>
        <w:rPr>
          <w:rFonts w:ascii="Arial" w:cs="Arial" w:eastAsia="Arial" w:hAnsi="Arial"/>
          <w:sz w:val="14"/>
          <w:szCs w:val="14"/>
          <w:i w:val="1"/>
          <w:iCs w:val="1"/>
          <w:color w:val="auto"/>
        </w:rPr>
        <w:t>Banking, Finance, Insurance &amp; Real</w:t>
      </w:r>
    </w:p>
    <w:p>
      <w:pPr>
        <w:ind w:left="180"/>
        <w:spacing w:after="0" w:line="180" w:lineRule="auto"/>
        <w:rPr>
          <w:sz w:val="20"/>
          <w:szCs w:val="20"/>
          <w:color w:val="auto"/>
        </w:rPr>
      </w:pPr>
      <w:r>
        <w:rPr>
          <w:rFonts w:ascii="Arial" w:cs="Arial" w:eastAsia="Arial" w:hAnsi="Arial"/>
          <w:sz w:val="21"/>
          <w:szCs w:val="21"/>
          <w:i w:val="1"/>
          <w:iCs w:val="1"/>
          <w:color w:val="auto"/>
          <w:vertAlign w:val="subscript"/>
        </w:rPr>
        <w:t>Estate</w:t>
      </w:r>
      <w:r>
        <w:rPr>
          <w:rFonts w:ascii="Arial" w:cs="Arial" w:eastAsia="Arial" w:hAnsi="Arial"/>
          <w:sz w:val="10"/>
          <w:szCs w:val="10"/>
          <w:color w:val="auto"/>
        </w:rPr>
        <w:t>(9), (11)</w:t>
      </w:r>
    </w:p>
    <w:p>
      <w:pPr>
        <w:spacing w:after="0" w:line="221" w:lineRule="auto"/>
        <w:rPr>
          <w:sz w:val="20"/>
          <w:szCs w:val="20"/>
          <w:color w:val="auto"/>
        </w:rPr>
      </w:pPr>
      <w:r>
        <w:rPr>
          <w:rFonts w:ascii="Arial" w:cs="Arial" w:eastAsia="Arial" w:hAnsi="Arial"/>
          <w:sz w:val="14"/>
          <w:szCs w:val="14"/>
          <w:color w:val="auto"/>
        </w:rPr>
        <w:t>Getty Images, Inc.</w:t>
      </w:r>
    </w:p>
    <w:p>
      <w:pPr>
        <w:ind w:left="180" w:right="440"/>
        <w:spacing w:after="0" w:line="190" w:lineRule="auto"/>
        <w:rPr>
          <w:sz w:val="20"/>
          <w:szCs w:val="20"/>
          <w:color w:val="auto"/>
        </w:rPr>
      </w:pPr>
      <w:r>
        <w:rPr>
          <w:rFonts w:ascii="Arial" w:cs="Arial" w:eastAsia="Arial" w:hAnsi="Arial"/>
          <w:sz w:val="14"/>
          <w:szCs w:val="14"/>
          <w:i w:val="1"/>
          <w:iCs w:val="1"/>
          <w:color w:val="auto"/>
        </w:rPr>
        <w:t>Media: Advertising, Printing &amp; Publishing</w:t>
      </w:r>
      <w:r>
        <w:rPr>
          <w:rFonts w:ascii="Arial" w:cs="Arial" w:eastAsia="Arial" w:hAnsi="Arial"/>
          <w:sz w:val="23"/>
          <w:szCs w:val="23"/>
          <w:color w:val="auto"/>
          <w:vertAlign w:val="superscript"/>
        </w:rPr>
        <w:t>(9), (11)</w:t>
      </w:r>
    </w:p>
    <w:p>
      <w:pPr>
        <w:spacing w:after="0" w:line="1" w:lineRule="exact"/>
        <w:rPr>
          <w:sz w:val="20"/>
          <w:szCs w:val="20"/>
          <w:color w:val="auto"/>
        </w:rPr>
      </w:pPr>
    </w:p>
    <w:p>
      <w:pPr>
        <w:jc w:val="center"/>
        <w:ind w:right="740"/>
        <w:spacing w:after="0"/>
        <w:rPr>
          <w:sz w:val="20"/>
          <w:szCs w:val="20"/>
          <w:color w:val="auto"/>
        </w:rPr>
      </w:pPr>
      <w:r>
        <w:rPr>
          <w:rFonts w:ascii="Arial" w:cs="Arial" w:eastAsia="Arial" w:hAnsi="Arial"/>
          <w:sz w:val="13"/>
          <w:szCs w:val="13"/>
          <w:color w:val="auto"/>
        </w:rPr>
        <w:t>Global Tel*Link Corporation</w:t>
      </w:r>
    </w:p>
    <w:p>
      <w:pPr>
        <w:spacing w:after="0" w:line="7" w:lineRule="exact"/>
        <w:rPr>
          <w:sz w:val="20"/>
          <w:szCs w:val="20"/>
          <w:color w:val="auto"/>
        </w:rPr>
      </w:pPr>
    </w:p>
    <w:p>
      <w:pPr>
        <w:jc w:val="center"/>
        <w:ind w:right="740"/>
        <w:spacing w:after="0"/>
        <w:rPr>
          <w:sz w:val="20"/>
          <w:szCs w:val="20"/>
          <w:color w:val="auto"/>
        </w:rPr>
      </w:pPr>
      <w:r>
        <w:rPr>
          <w:rFonts w:ascii="Arial" w:cs="Arial" w:eastAsia="Arial" w:hAnsi="Arial"/>
          <w:sz w:val="14"/>
          <w:szCs w:val="14"/>
          <w:i w:val="1"/>
          <w:iCs w:val="1"/>
          <w:color w:val="auto"/>
        </w:rPr>
        <w:t>Telecommunications</w:t>
      </w:r>
      <w:r>
        <w:rPr>
          <w:rFonts w:ascii="Arial" w:cs="Arial" w:eastAsia="Arial" w:hAnsi="Arial"/>
          <w:sz w:val="23"/>
          <w:szCs w:val="23"/>
          <w:color w:val="auto"/>
          <w:vertAlign w:val="superscript"/>
        </w:rPr>
        <w:t>(9)</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Grande Communications Networks LLC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Telecommunications</w:t>
      </w:r>
      <w:r>
        <w:rPr>
          <w:rFonts w:ascii="Arial" w:cs="Arial" w:eastAsia="Arial" w:hAnsi="Arial"/>
          <w:sz w:val="23"/>
          <w:szCs w:val="23"/>
          <w:color w:val="auto"/>
          <w:vertAlign w:val="superscript"/>
        </w:rPr>
        <w:t>(9), (11)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Grifols Worldwide Operations Limited</w:t>
      </w:r>
    </w:p>
    <w:p>
      <w:pPr>
        <w:ind w:left="180"/>
        <w:spacing w:after="0" w:line="233"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(11)</w:t>
      </w:r>
    </w:p>
    <w:p>
      <w:pPr>
        <w:spacing w:after="0" w:line="233" w:lineRule="auto"/>
        <w:rPr>
          <w:sz w:val="20"/>
          <w:szCs w:val="20"/>
          <w:color w:val="auto"/>
        </w:rPr>
      </w:pPr>
      <w:r>
        <w:rPr>
          <w:rFonts w:ascii="Arial" w:cs="Arial" w:eastAsia="Arial" w:hAnsi="Arial"/>
          <w:sz w:val="14"/>
          <w:szCs w:val="14"/>
          <w:color w:val="auto"/>
        </w:rPr>
        <w:t>Grupo HIMA San Pablo, Inc.</w:t>
      </w:r>
    </w:p>
    <w:p>
      <w:pPr>
        <w:ind w:left="180"/>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p>
    <w:p>
      <w:pPr>
        <w:ind w:right="300" w:firstLine="180"/>
        <w:spacing w:after="0" w:line="273" w:lineRule="auto"/>
        <w:rPr>
          <w:sz w:val="20"/>
          <w:szCs w:val="20"/>
          <w:color w:val="auto"/>
        </w:rPr>
      </w:pPr>
      <w:r>
        <w:rPr>
          <w:rFonts w:ascii="Arial" w:cs="Arial" w:eastAsia="Arial" w:hAnsi="Arial"/>
          <w:sz w:val="13"/>
          <w:szCs w:val="13"/>
          <w:i w:val="1"/>
          <w:iCs w:val="1"/>
          <w:color w:val="auto"/>
        </w:rPr>
        <w:t>Healthcare &amp; Pharmaceuticals</w:t>
      </w:r>
      <w:r>
        <w:rPr>
          <w:rFonts w:ascii="Arial" w:cs="Arial" w:eastAsia="Arial" w:hAnsi="Arial"/>
          <w:sz w:val="21"/>
          <w:szCs w:val="21"/>
          <w:color w:val="auto"/>
          <w:vertAlign w:val="superscript"/>
        </w:rPr>
        <w:t>(9)</w:t>
      </w:r>
      <w:r>
        <w:rPr>
          <w:rFonts w:ascii="Arial" w:cs="Arial" w:eastAsia="Arial" w:hAnsi="Arial"/>
          <w:sz w:val="13"/>
          <w:szCs w:val="13"/>
          <w:i w:val="1"/>
          <w:iCs w:val="1"/>
          <w:color w:val="auto"/>
        </w:rPr>
        <w:t xml:space="preserve"> </w:t>
      </w:r>
      <w:r>
        <w:rPr>
          <w:rFonts w:ascii="Arial" w:cs="Arial" w:eastAsia="Arial" w:hAnsi="Arial"/>
          <w:sz w:val="13"/>
          <w:szCs w:val="13"/>
          <w:color w:val="auto"/>
        </w:rPr>
        <w:t>Gymboree Corporation., The</w:t>
      </w:r>
    </w:p>
    <w:p>
      <w:pPr>
        <w:ind w:left="180"/>
        <w:spacing w:after="0" w:line="184" w:lineRule="auto"/>
        <w:rPr>
          <w:sz w:val="20"/>
          <w:szCs w:val="20"/>
          <w:color w:val="auto"/>
        </w:rPr>
      </w:pPr>
      <w:r>
        <w:rPr>
          <w:rFonts w:ascii="Arial" w:cs="Arial" w:eastAsia="Arial" w:hAnsi="Arial"/>
          <w:sz w:val="23"/>
          <w:szCs w:val="23"/>
          <w:i w:val="1"/>
          <w:iCs w:val="1"/>
          <w:color w:val="auto"/>
          <w:vertAlign w:val="subscript"/>
        </w:rPr>
        <w:t>Retail</w:t>
      </w:r>
      <w:r>
        <w:rPr>
          <w:rFonts w:ascii="Arial" w:cs="Arial" w:eastAsia="Arial" w:hAnsi="Arial"/>
          <w:sz w:val="11"/>
          <w:szCs w:val="11"/>
          <w:color w:val="auto"/>
        </w:rPr>
        <w:t>(9), (11)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2,940,000</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2,955,000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Preferred Stock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10.0% Cash, 2.0% PIK, Due 12/49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10,206,016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10,206,016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10,418,302</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9/20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3,990,000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3,932,506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3,838,779</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8.8%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3,016,357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2,910,000</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2,623,371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2,622,454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2,570,903</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2,970,271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2,988,750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.0% Cash, 13.0% PIK, Due 9/19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3,457,795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3,221,771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3,386,218</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Subordinated Bond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12.0% Cash, 1.0% PIK, Due 9/19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4,314,949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4,295,544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4,240,301</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New</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9/17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2,063,574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2,063,574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2,022,303</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8.0%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5/21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2,494,654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2,523,250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8.0%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1,726,036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1,677,698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1,642,496</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8.5%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3,982,390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4,033,200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Initial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2,002,536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2,012,321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1,982,110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3,407,143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3,373,191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3,381,589</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10.8% Cash, Due 4/19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2,796,448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2,759,556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2,782,466</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2018</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Dollar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3.7%</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968,906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982,190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4.8%</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10/19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2,185,164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2,187,551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2,012,165</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9.0%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11/20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3,935,659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3,889,200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3,940,040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3,944,690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3,938,464</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 Tranche B Term Loam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3.2%</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2/21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2,992,462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2,970,236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2,956,298</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8.5%</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PIK, Due 1/18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2,947,500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2,911,129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2,947,500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13.8% PIK, Due 7/18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6,894,754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7,105,000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2/18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1,390,786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935,563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-6646545</wp:posOffset>
            </wp:positionV>
            <wp:extent cx="5213985" cy="2146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-6217920</wp:posOffset>
            </wp:positionV>
            <wp:extent cx="5213985" cy="283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-5626100</wp:posOffset>
            </wp:positionV>
            <wp:extent cx="5213985" cy="403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-4819650</wp:posOffset>
            </wp:positionV>
            <wp:extent cx="5213985"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-4391025</wp:posOffset>
            </wp:positionV>
            <wp:extent cx="5213985" cy="403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-3705225</wp:posOffset>
            </wp:positionV>
            <wp:extent cx="5213985" cy="283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-3113405</wp:posOffset>
            </wp:positionV>
            <wp:extent cx="5213985" cy="2146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-2590165</wp:posOffset>
            </wp:positionV>
            <wp:extent cx="5213985" cy="3086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-1972945</wp:posOffset>
            </wp:positionV>
            <wp:extent cx="5213985" cy="308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-1381125</wp:posOffset>
            </wp:positionV>
            <wp:extent cx="5213985" cy="283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-789305</wp:posOffset>
            </wp:positionV>
            <wp:extent cx="5213985" cy="283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-223520</wp:posOffset>
            </wp:positionV>
            <wp:extent cx="5213985" cy="2146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-6903720</wp:posOffset>
            </wp:positionV>
            <wp:extent cx="353314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105410</wp:posOffset>
            </wp:positionV>
            <wp:extent cx="6114415" cy="59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20" w:space="220"/>
            <w:col w:w="7439"/>
          </w:cols>
          <w:pgMar w:left="380" w:top="792"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4408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779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180" w:right="300" w:hanging="179"/>
        <w:spacing w:after="0" w:line="227" w:lineRule="auto"/>
        <w:rPr>
          <w:sz w:val="20"/>
          <w:szCs w:val="20"/>
          <w:color w:val="auto"/>
        </w:rPr>
      </w:pPr>
      <w:r>
        <w:rPr>
          <w:rFonts w:ascii="Arial" w:cs="Arial" w:eastAsia="Arial" w:hAnsi="Arial"/>
          <w:sz w:val="14"/>
          <w:szCs w:val="14"/>
          <w:color w:val="auto"/>
        </w:rPr>
        <w:t>Hargray Communications Group, Inc. (HCP Acquisition LLC)</w:t>
      </w:r>
    </w:p>
    <w:p>
      <w:pPr>
        <w:ind w:left="180"/>
        <w:spacing w:after="0" w:line="188" w:lineRule="auto"/>
        <w:rPr>
          <w:sz w:val="20"/>
          <w:szCs w:val="20"/>
          <w:color w:val="auto"/>
        </w:rPr>
      </w:pPr>
      <w:r>
        <w:rPr>
          <w:rFonts w:ascii="Arial" w:cs="Arial" w:eastAsia="Arial" w:hAnsi="Arial"/>
          <w:sz w:val="13"/>
          <w:szCs w:val="13"/>
          <w:i w:val="1"/>
          <w:iCs w:val="1"/>
          <w:color w:val="auto"/>
        </w:rPr>
        <w:t>Media: Broadcasting &amp; Subscription</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Harland Clarke Holdings Corp.</w:t>
      </w:r>
    </w:p>
    <w:p>
      <w:pPr>
        <w:ind w:left="180"/>
        <w:spacing w:after="0" w:line="221" w:lineRule="auto"/>
        <w:rPr>
          <w:sz w:val="20"/>
          <w:szCs w:val="20"/>
          <w:color w:val="auto"/>
        </w:rPr>
      </w:pPr>
      <w:r>
        <w:rPr>
          <w:rFonts w:ascii="Arial" w:cs="Arial" w:eastAsia="Arial" w:hAnsi="Arial"/>
          <w:sz w:val="14"/>
          <w:szCs w:val="14"/>
          <w:color w:val="auto"/>
        </w:rPr>
        <w:t>(fka Clarke American Corp.)</w:t>
      </w:r>
    </w:p>
    <w:p>
      <w:pPr>
        <w:ind w:left="180"/>
        <w:spacing w:after="0" w:line="233" w:lineRule="auto"/>
        <w:rPr>
          <w:sz w:val="20"/>
          <w:szCs w:val="20"/>
          <w:color w:val="auto"/>
        </w:rPr>
      </w:pPr>
      <w:r>
        <w:rPr>
          <w:rFonts w:ascii="Arial" w:cs="Arial" w:eastAsia="Arial" w:hAnsi="Arial"/>
          <w:sz w:val="14"/>
          <w:szCs w:val="14"/>
          <w:i w:val="1"/>
          <w:iCs w:val="1"/>
          <w:color w:val="auto"/>
        </w:rPr>
        <w:t>Media: Advertising, Printing &amp;</w:t>
      </w:r>
    </w:p>
    <w:p>
      <w:pPr>
        <w:ind w:left="180"/>
        <w:spacing w:after="0" w:line="180" w:lineRule="auto"/>
        <w:rPr>
          <w:sz w:val="20"/>
          <w:szCs w:val="20"/>
          <w:color w:val="auto"/>
        </w:rPr>
      </w:pPr>
      <w:r>
        <w:rPr>
          <w:rFonts w:ascii="Arial" w:cs="Arial" w:eastAsia="Arial" w:hAnsi="Arial"/>
          <w:sz w:val="13"/>
          <w:szCs w:val="13"/>
          <w:i w:val="1"/>
          <w:iCs w:val="1"/>
          <w:color w:val="auto"/>
        </w:rPr>
        <w:t>Publishing</w:t>
      </w:r>
      <w:r>
        <w:rPr>
          <w:rFonts w:ascii="Arial" w:cs="Arial" w:eastAsia="Arial" w:hAnsi="Arial"/>
          <w:sz w:val="21"/>
          <w:szCs w:val="21"/>
          <w:color w:val="auto"/>
          <w:vertAlign w:val="superscript"/>
        </w:rPr>
        <w:t>(9), (11)</w:t>
      </w:r>
    </w:p>
    <w:p>
      <w:pPr>
        <w:spacing w:after="0" w:line="222" w:lineRule="auto"/>
        <w:rPr>
          <w:sz w:val="20"/>
          <w:szCs w:val="20"/>
          <w:color w:val="auto"/>
        </w:rPr>
      </w:pPr>
      <w:r>
        <w:rPr>
          <w:rFonts w:ascii="Arial" w:cs="Arial" w:eastAsia="Arial" w:hAnsi="Arial"/>
          <w:sz w:val="14"/>
          <w:szCs w:val="14"/>
          <w:color w:val="auto"/>
        </w:rPr>
        <w:t>Harland Clarke Holdings Corp.</w:t>
      </w:r>
    </w:p>
    <w:p>
      <w:pPr>
        <w:ind w:left="180"/>
        <w:spacing w:after="0" w:line="221" w:lineRule="auto"/>
        <w:rPr>
          <w:sz w:val="20"/>
          <w:szCs w:val="20"/>
          <w:color w:val="auto"/>
        </w:rPr>
      </w:pPr>
      <w:r>
        <w:rPr>
          <w:rFonts w:ascii="Arial" w:cs="Arial" w:eastAsia="Arial" w:hAnsi="Arial"/>
          <w:sz w:val="14"/>
          <w:szCs w:val="14"/>
          <w:color w:val="auto"/>
        </w:rPr>
        <w:t>(fka Clarke American Corp.)</w:t>
      </w:r>
    </w:p>
    <w:p>
      <w:pPr>
        <w:ind w:left="180"/>
        <w:spacing w:after="0" w:line="233" w:lineRule="auto"/>
        <w:rPr>
          <w:sz w:val="20"/>
          <w:szCs w:val="20"/>
          <w:color w:val="auto"/>
        </w:rPr>
      </w:pPr>
      <w:r>
        <w:rPr>
          <w:rFonts w:ascii="Arial" w:cs="Arial" w:eastAsia="Arial" w:hAnsi="Arial"/>
          <w:sz w:val="14"/>
          <w:szCs w:val="14"/>
          <w:i w:val="1"/>
          <w:iCs w:val="1"/>
          <w:color w:val="auto"/>
        </w:rPr>
        <w:t>Media: Advertising, Printing &amp;</w:t>
      </w:r>
    </w:p>
    <w:p>
      <w:pPr>
        <w:ind w:left="180"/>
        <w:spacing w:after="0" w:line="180" w:lineRule="auto"/>
        <w:rPr>
          <w:sz w:val="20"/>
          <w:szCs w:val="20"/>
          <w:color w:val="auto"/>
        </w:rPr>
      </w:pPr>
      <w:r>
        <w:rPr>
          <w:rFonts w:ascii="Arial" w:cs="Arial" w:eastAsia="Arial" w:hAnsi="Arial"/>
          <w:sz w:val="13"/>
          <w:szCs w:val="13"/>
          <w:i w:val="1"/>
          <w:iCs w:val="1"/>
          <w:color w:val="auto"/>
        </w:rPr>
        <w:t>Publishing</w:t>
      </w:r>
      <w:r>
        <w:rPr>
          <w:rFonts w:ascii="Arial" w:cs="Arial" w:eastAsia="Arial" w:hAnsi="Arial"/>
          <w:sz w:val="21"/>
          <w:szCs w:val="21"/>
          <w:color w:val="auto"/>
          <w:vertAlign w:val="superscript"/>
        </w:rPr>
        <w:t>(9), (11)</w:t>
      </w:r>
    </w:p>
    <w:p>
      <w:pPr>
        <w:spacing w:after="0" w:line="234" w:lineRule="auto"/>
        <w:rPr>
          <w:sz w:val="20"/>
          <w:szCs w:val="20"/>
          <w:color w:val="auto"/>
        </w:rPr>
      </w:pPr>
      <w:r>
        <w:rPr>
          <w:rFonts w:ascii="Arial" w:cs="Arial" w:eastAsia="Arial" w:hAnsi="Arial"/>
          <w:sz w:val="14"/>
          <w:szCs w:val="14"/>
          <w:color w:val="auto"/>
        </w:rPr>
        <w:t>Hoffmaster Group, Inc.</w:t>
      </w:r>
    </w:p>
    <w:p>
      <w:pPr>
        <w:ind w:left="180"/>
        <w:spacing w:after="0"/>
        <w:rPr>
          <w:sz w:val="20"/>
          <w:szCs w:val="20"/>
          <w:color w:val="auto"/>
        </w:rPr>
      </w:pPr>
      <w:r>
        <w:rPr>
          <w:rFonts w:ascii="Arial" w:cs="Arial" w:eastAsia="Arial" w:hAnsi="Arial"/>
          <w:sz w:val="14"/>
          <w:szCs w:val="14"/>
          <w:i w:val="1"/>
          <w:iCs w:val="1"/>
          <w:color w:val="auto"/>
        </w:rPr>
        <w:t>Forest Products &amp; Paper</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Hoffmaster Group, Inc.</w:t>
      </w:r>
    </w:p>
    <w:p>
      <w:pPr>
        <w:ind w:left="180"/>
        <w:spacing w:after="0"/>
        <w:rPr>
          <w:sz w:val="20"/>
          <w:szCs w:val="20"/>
          <w:color w:val="auto"/>
        </w:rPr>
      </w:pPr>
      <w:r>
        <w:rPr>
          <w:rFonts w:ascii="Arial" w:cs="Arial" w:eastAsia="Arial" w:hAnsi="Arial"/>
          <w:sz w:val="14"/>
          <w:szCs w:val="14"/>
          <w:i w:val="1"/>
          <w:iCs w:val="1"/>
          <w:color w:val="auto"/>
        </w:rPr>
        <w:t>Forest Products &amp; Paper</w:t>
      </w:r>
      <w:r>
        <w:rPr>
          <w:rFonts w:ascii="Arial" w:cs="Arial" w:eastAsia="Arial" w:hAnsi="Arial"/>
          <w:sz w:val="23"/>
          <w:szCs w:val="23"/>
          <w:color w:val="auto"/>
          <w:vertAlign w:val="superscript"/>
        </w:rPr>
        <w:t>(9), (11)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p>
    <w:p>
      <w:pPr>
        <w:ind w:left="180"/>
        <w:spacing w:after="0"/>
        <w:rPr>
          <w:sz w:val="20"/>
          <w:szCs w:val="20"/>
          <w:color w:val="auto"/>
        </w:rPr>
      </w:pPr>
      <w:r>
        <w:rPr>
          <w:rFonts w:ascii="Arial" w:cs="Arial" w:eastAsia="Arial" w:hAnsi="Arial"/>
          <w:sz w:val="14"/>
          <w:szCs w:val="14"/>
          <w:i w:val="1"/>
          <w:iCs w:val="1"/>
          <w:color w:val="auto"/>
        </w:rPr>
        <w:t>Aerospace and Defense</w:t>
      </w:r>
      <w:r>
        <w:rPr>
          <w:rFonts w:ascii="Arial" w:cs="Arial" w:eastAsia="Arial" w:hAnsi="Arial"/>
          <w:sz w:val="23"/>
          <w:szCs w:val="23"/>
          <w:color w:val="auto"/>
          <w:vertAlign w:val="superscript"/>
        </w:rPr>
        <w:t>(9), (11)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Integra Telecom Holdings, Inc.</w:t>
      </w:r>
    </w:p>
    <w:p>
      <w:pPr>
        <w:ind w:left="180"/>
        <w:spacing w:after="0" w:line="180" w:lineRule="auto"/>
        <w:rPr>
          <w:sz w:val="20"/>
          <w:szCs w:val="20"/>
          <w:color w:val="auto"/>
        </w:rPr>
      </w:pPr>
      <w:r>
        <w:rPr>
          <w:rFonts w:ascii="Arial" w:cs="Arial" w:eastAsia="Arial" w:hAnsi="Arial"/>
          <w:sz w:val="13"/>
          <w:szCs w:val="13"/>
          <w:i w:val="1"/>
          <w:iCs w:val="1"/>
          <w:color w:val="auto"/>
        </w:rPr>
        <w:t>Telecommunications</w:t>
      </w:r>
      <w:r>
        <w:rPr>
          <w:rFonts w:ascii="Arial" w:cs="Arial" w:eastAsia="Arial" w:hAnsi="Arial"/>
          <w:sz w:val="21"/>
          <w:szCs w:val="21"/>
          <w:color w:val="auto"/>
          <w:vertAlign w:val="superscript"/>
        </w:rPr>
        <w:t>(9), (11)</w:t>
      </w:r>
    </w:p>
    <w:p>
      <w:pPr>
        <w:spacing w:after="0"/>
        <w:rPr>
          <w:sz w:val="20"/>
          <w:szCs w:val="20"/>
          <w:color w:val="auto"/>
        </w:rPr>
      </w:pPr>
      <w:r>
        <w:rPr>
          <w:rFonts w:ascii="Arial" w:cs="Arial" w:eastAsia="Arial" w:hAnsi="Arial"/>
          <w:sz w:val="13"/>
          <w:szCs w:val="13"/>
          <w:color w:val="auto"/>
        </w:rPr>
        <w:t>International Architectural Products, Inc.</w:t>
      </w:r>
    </w:p>
    <w:p>
      <w:pPr>
        <w:ind w:left="180"/>
        <w:spacing w:after="0" w:line="186" w:lineRule="auto"/>
        <w:rPr>
          <w:sz w:val="20"/>
          <w:szCs w:val="20"/>
          <w:color w:val="auto"/>
        </w:rPr>
      </w:pPr>
      <w:r>
        <w:rPr>
          <w:rFonts w:ascii="Arial" w:cs="Arial" w:eastAsia="Arial" w:hAnsi="Arial"/>
          <w:sz w:val="13"/>
          <w:szCs w:val="13"/>
          <w:i w:val="1"/>
          <w:iCs w:val="1"/>
          <w:color w:val="auto"/>
        </w:rPr>
        <w:t>Metals &amp; Mining</w:t>
      </w:r>
      <w:r>
        <w:rPr>
          <w:rFonts w:ascii="Arial" w:cs="Arial" w:eastAsia="Arial" w:hAnsi="Arial"/>
          <w:sz w:val="21"/>
          <w:szCs w:val="21"/>
          <w:i w:val="1"/>
          <w:iCs w:val="1"/>
          <w:color w:val="auto"/>
          <w:vertAlign w:val="superscript"/>
        </w:rPr>
        <w:t>(7)</w:t>
      </w:r>
      <w:r>
        <w:rPr>
          <w:rFonts w:ascii="Arial" w:cs="Arial" w:eastAsia="Arial" w:hAnsi="Arial"/>
          <w:sz w:val="21"/>
          <w:szCs w:val="21"/>
          <w:color w:val="auto"/>
          <w:vertAlign w:val="superscript"/>
        </w:rPr>
        <w:t>, (9)</w:t>
      </w:r>
    </w:p>
    <w:p>
      <w:pPr>
        <w:spacing w:after="0" w:line="234" w:lineRule="auto"/>
        <w:rPr>
          <w:sz w:val="20"/>
          <w:szCs w:val="20"/>
          <w:color w:val="auto"/>
        </w:rPr>
      </w:pPr>
      <w:r>
        <w:rPr>
          <w:rFonts w:ascii="Arial" w:cs="Arial" w:eastAsia="Arial" w:hAnsi="Arial"/>
          <w:sz w:val="14"/>
          <w:szCs w:val="14"/>
          <w:color w:val="auto"/>
        </w:rPr>
        <w:t>Kellermeyer Bergensons Services, LLC</w:t>
      </w:r>
    </w:p>
    <w:p>
      <w:pPr>
        <w:ind w:left="180"/>
        <w:spacing w:after="0"/>
        <w:rPr>
          <w:sz w:val="20"/>
          <w:szCs w:val="20"/>
          <w:color w:val="auto"/>
        </w:rPr>
      </w:pPr>
      <w:r>
        <w:rPr>
          <w:rFonts w:ascii="Arial" w:cs="Arial" w:eastAsia="Arial" w:hAnsi="Arial"/>
          <w:sz w:val="14"/>
          <w:szCs w:val="14"/>
          <w:i w:val="1"/>
          <w:iCs w:val="1"/>
          <w:color w:val="auto"/>
        </w:rPr>
        <w:t>Services: Business</w:t>
      </w:r>
      <w:r>
        <w:rPr>
          <w:rFonts w:ascii="Arial" w:cs="Arial" w:eastAsia="Arial" w:hAnsi="Arial"/>
          <w:sz w:val="23"/>
          <w:szCs w:val="23"/>
          <w:color w:val="auto"/>
          <w:vertAlign w:val="superscript"/>
        </w:rPr>
        <w:t>(9)</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Automotive</w:t>
      </w:r>
      <w:r>
        <w:rPr>
          <w:rFonts w:ascii="Arial" w:cs="Arial" w:eastAsia="Arial" w:hAnsi="Arial"/>
          <w:sz w:val="23"/>
          <w:szCs w:val="23"/>
          <w:color w:val="auto"/>
          <w:vertAlign w:val="superscript"/>
        </w:rPr>
        <w:t>(9), (11)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p>
    <w:p>
      <w:pPr>
        <w:ind w:left="180"/>
        <w:spacing w:after="0" w:line="233"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21" w:lineRule="auto"/>
        <w:rPr>
          <w:sz w:val="20"/>
          <w:szCs w:val="20"/>
          <w:color w:val="auto"/>
        </w:rPr>
      </w:pPr>
      <w:r>
        <w:rPr>
          <w:rFonts w:ascii="Arial" w:cs="Arial" w:eastAsia="Arial" w:hAnsi="Arial"/>
          <w:sz w:val="14"/>
          <w:szCs w:val="14"/>
          <w:color w:val="auto"/>
        </w:rPr>
        <w:t>Landslide Holdings, Inc. (Crimson</w:t>
      </w:r>
    </w:p>
    <w:p>
      <w:pPr>
        <w:ind w:left="180"/>
        <w:spacing w:after="0" w:line="234" w:lineRule="auto"/>
        <w:rPr>
          <w:sz w:val="20"/>
          <w:szCs w:val="20"/>
          <w:color w:val="auto"/>
        </w:rPr>
      </w:pPr>
      <w:r>
        <w:rPr>
          <w:rFonts w:ascii="Arial" w:cs="Arial" w:eastAsia="Arial" w:hAnsi="Arial"/>
          <w:sz w:val="14"/>
          <w:szCs w:val="14"/>
          <w:color w:val="auto"/>
        </w:rPr>
        <w:t>Acquisition Corp.)</w:t>
      </w:r>
    </w:p>
    <w:p>
      <w:pPr>
        <w:ind w:left="180"/>
        <w:spacing w:after="0" w:line="180" w:lineRule="auto"/>
        <w:rPr>
          <w:sz w:val="20"/>
          <w:szCs w:val="20"/>
          <w:color w:val="auto"/>
        </w:rPr>
      </w:pPr>
      <w:r>
        <w:rPr>
          <w:rFonts w:ascii="Arial" w:cs="Arial" w:eastAsia="Arial" w:hAnsi="Arial"/>
          <w:sz w:val="13"/>
          <w:szCs w:val="13"/>
          <w:i w:val="1"/>
          <w:iCs w:val="1"/>
          <w:color w:val="auto"/>
        </w:rPr>
        <w:t>High Tech Industries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MB Aerospace ACP Holdings III Corp.</w:t>
      </w:r>
    </w:p>
    <w:p>
      <w:pPr>
        <w:ind w:left="180"/>
        <w:spacing w:after="0"/>
        <w:rPr>
          <w:sz w:val="20"/>
          <w:szCs w:val="20"/>
          <w:color w:val="auto"/>
        </w:rPr>
      </w:pPr>
      <w:r>
        <w:rPr>
          <w:rFonts w:ascii="Arial" w:cs="Arial" w:eastAsia="Arial" w:hAnsi="Arial"/>
          <w:sz w:val="14"/>
          <w:szCs w:val="14"/>
          <w:i w:val="1"/>
          <w:iCs w:val="1"/>
          <w:color w:val="auto"/>
        </w:rPr>
        <w:t>Aerospace and Defense</w:t>
      </w:r>
      <w:r>
        <w:rPr>
          <w:rFonts w:ascii="Arial" w:cs="Arial" w:eastAsia="Arial" w:hAnsi="Arial"/>
          <w:sz w:val="23"/>
          <w:szCs w:val="23"/>
          <w:color w:val="auto"/>
          <w:vertAlign w:val="superscript"/>
        </w:rPr>
        <w:t>(9), (11)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Media General, Inc.</w:t>
      </w:r>
    </w:p>
    <w:p>
      <w:pPr>
        <w:ind w:left="180"/>
        <w:spacing w:after="0" w:line="233" w:lineRule="auto"/>
        <w:rPr>
          <w:sz w:val="20"/>
          <w:szCs w:val="20"/>
          <w:color w:val="auto"/>
        </w:rPr>
      </w:pPr>
      <w:r>
        <w:rPr>
          <w:rFonts w:ascii="Arial" w:cs="Arial" w:eastAsia="Arial" w:hAnsi="Arial"/>
          <w:sz w:val="14"/>
          <w:szCs w:val="14"/>
          <w:i w:val="1"/>
          <w:iCs w:val="1"/>
          <w:color w:val="auto"/>
        </w:rPr>
        <w:t>Media: Broadcasting &amp;</w:t>
      </w:r>
    </w:p>
    <w:p>
      <w:pPr>
        <w:ind w:left="180"/>
        <w:spacing w:after="0" w:line="180" w:lineRule="auto"/>
        <w:rPr>
          <w:sz w:val="20"/>
          <w:szCs w:val="20"/>
          <w:color w:val="auto"/>
        </w:rPr>
      </w:pPr>
      <w:r>
        <w:rPr>
          <w:rFonts w:ascii="Arial" w:cs="Arial" w:eastAsia="Arial" w:hAnsi="Arial"/>
          <w:sz w:val="13"/>
          <w:szCs w:val="13"/>
          <w:i w:val="1"/>
          <w:iCs w:val="1"/>
          <w:color w:val="auto"/>
        </w:rPr>
        <w:t>Subscription</w:t>
      </w:r>
      <w:r>
        <w:rPr>
          <w:rFonts w:ascii="Arial" w:cs="Arial" w:eastAsia="Arial" w:hAnsi="Arial"/>
          <w:sz w:val="21"/>
          <w:szCs w:val="21"/>
          <w:color w:val="auto"/>
          <w:vertAlign w:val="superscript"/>
        </w:rPr>
        <w:t>(11)</w:t>
      </w:r>
    </w:p>
    <w:p>
      <w:pPr>
        <w:spacing w:after="0" w:line="221" w:lineRule="auto"/>
        <w:rPr>
          <w:sz w:val="20"/>
          <w:szCs w:val="20"/>
          <w:color w:val="auto"/>
        </w:rPr>
      </w:pPr>
      <w:r>
        <w:rPr>
          <w:rFonts w:ascii="Arial" w:cs="Arial" w:eastAsia="Arial" w:hAnsi="Arial"/>
          <w:sz w:val="14"/>
          <w:szCs w:val="14"/>
          <w:color w:val="auto"/>
        </w:rPr>
        <w:t>Medical Specialties Distributors, LLC</w:t>
      </w:r>
    </w:p>
    <w:p>
      <w:pPr>
        <w:ind w:left="180"/>
        <w:spacing w:after="0" w:line="234"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ind w:left="180" w:right="60" w:hanging="179"/>
        <w:spacing w:after="0" w:line="221" w:lineRule="auto"/>
        <w:rPr>
          <w:sz w:val="20"/>
          <w:szCs w:val="20"/>
          <w:color w:val="auto"/>
        </w:rPr>
      </w:pPr>
      <w:r>
        <w:rPr>
          <w:rFonts w:ascii="Arial" w:cs="Arial" w:eastAsia="Arial" w:hAnsi="Arial"/>
          <w:sz w:val="14"/>
          <w:szCs w:val="14"/>
          <w:color w:val="auto"/>
        </w:rPr>
        <w:t>Millennium Health, LLC (fka Millennium Laboratories, LLC)</w:t>
      </w:r>
    </w:p>
    <w:p>
      <w:pPr>
        <w:ind w:left="180"/>
        <w:spacing w:after="0" w:line="234"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Nielsen &amp; Bainbrige, LLC</w:t>
      </w:r>
    </w:p>
    <w:p>
      <w:pPr>
        <w:ind w:left="180"/>
        <w:spacing w:after="0"/>
        <w:rPr>
          <w:sz w:val="20"/>
          <w:szCs w:val="20"/>
          <w:color w:val="auto"/>
        </w:rPr>
      </w:pPr>
      <w:r>
        <w:rPr>
          <w:rFonts w:ascii="Arial" w:cs="Arial" w:eastAsia="Arial" w:hAnsi="Arial"/>
          <w:sz w:val="14"/>
          <w:szCs w:val="14"/>
          <w:i w:val="1"/>
          <w:iCs w:val="1"/>
          <w:color w:val="auto"/>
        </w:rPr>
        <w:t>Consumer goods: Durable</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p>
    <w:p>
      <w:pPr>
        <w:ind w:left="180"/>
        <w:spacing w:after="0"/>
        <w:rPr>
          <w:sz w:val="20"/>
          <w:szCs w:val="20"/>
          <w:color w:val="auto"/>
        </w:rPr>
      </w:pPr>
      <w:r>
        <w:rPr>
          <w:rFonts w:ascii="Arial" w:cs="Arial" w:eastAsia="Arial" w:hAnsi="Arial"/>
          <w:sz w:val="14"/>
          <w:szCs w:val="14"/>
          <w:i w:val="1"/>
          <w:iCs w:val="1"/>
          <w:color w:val="auto"/>
        </w:rPr>
        <w:t>Consumer goods: Durable</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Bainbrige, LLC</w:t>
      </w:r>
    </w:p>
    <w:p>
      <w:pPr>
        <w:ind w:left="180"/>
        <w:spacing w:after="0"/>
        <w:rPr>
          <w:sz w:val="20"/>
          <w:szCs w:val="20"/>
          <w:color w:val="auto"/>
        </w:rPr>
      </w:pPr>
      <w:r>
        <w:rPr>
          <w:rFonts w:ascii="Arial" w:cs="Arial" w:eastAsia="Arial" w:hAnsi="Arial"/>
          <w:sz w:val="14"/>
          <w:szCs w:val="14"/>
          <w:i w:val="1"/>
          <w:iCs w:val="1"/>
          <w:color w:val="auto"/>
        </w:rPr>
        <w:t>Consumer goods: Durable</w:t>
      </w:r>
      <w:r>
        <w:rPr>
          <w:rFonts w:ascii="Arial" w:cs="Arial" w:eastAsia="Arial" w:hAnsi="Arial"/>
          <w:sz w:val="23"/>
          <w:szCs w:val="23"/>
          <w:color w:val="auto"/>
          <w:vertAlign w:val="superscript"/>
        </w:rPr>
        <w:t>(9), (11)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2,930,662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2,908,645</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2,928,611</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8"/>
              </w:rPr>
              <w:t>Senior Secured Loan — Tranche B-3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3,368,750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3,343,813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3,385,594</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8"/>
              </w:rPr>
              <w:t>Senior Secured Loan — Tranche B-4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8/19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1,456,384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1,458,661</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10.0% Cash, Due 5/21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1,972,727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1,999,000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3,944,324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3,943,523</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2,934,961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2,988,866</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2/19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2,992,386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2,981,164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2,919,461</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 Cash, Due 5/15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247,636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228,563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10/21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1,980,432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1,990,000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1,496,250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1,489,134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1,488,769</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Dollar</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E-1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2,992,443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2,984,962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2,956,279</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New</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2/20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3,464,859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3,451,197</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Dollar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3,940,000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3,910,979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3,939,212</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3,003,750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2,972,805</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3,960,000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3,927,435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3,804,372</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Tranche B</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4/21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8/20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990,487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963,200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10.3% Cash, Due 8/21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1,971,249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2,971,460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2,889,600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-5934710</wp:posOffset>
            </wp:positionV>
            <wp:extent cx="5213985" cy="411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-5120005</wp:posOffset>
            </wp:positionV>
            <wp:extent cx="5213985" cy="4032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-4434205</wp:posOffset>
            </wp:positionV>
            <wp:extent cx="5213985" cy="283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-3867785</wp:posOffset>
            </wp:positionV>
            <wp:extent cx="5213985" cy="2146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-3439160</wp:posOffset>
            </wp:positionV>
            <wp:extent cx="5213985" cy="3771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-2778760</wp:posOffset>
            </wp:positionV>
            <wp:extent cx="5213985" cy="3086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-2161540</wp:posOffset>
            </wp:positionV>
            <wp:extent cx="5213985" cy="283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-1569720</wp:posOffset>
            </wp:positionV>
            <wp:extent cx="5213985" cy="308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-857885</wp:posOffset>
            </wp:positionV>
            <wp:extent cx="5213985" cy="283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-292100</wp:posOffset>
            </wp:positionV>
            <wp:extent cx="5213985" cy="283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-6191885</wp:posOffset>
            </wp:positionV>
            <wp:extent cx="35331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160"/>
            <w:col w:w="7439"/>
          </w:cols>
          <w:pgMar w:left="380" w:top="792" w:right="1440" w:bottom="1440" w:gutter="0" w:footer="0" w:header="0"/>
        </w:sectPr>
      </w:pPr>
    </w:p>
    <w:p>
      <w:pPr>
        <w:spacing w:after="0" w:line="31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4408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779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Novetta, LLC</w:t>
      </w:r>
    </w:p>
    <w:p>
      <w:pPr>
        <w:ind w:left="180"/>
        <w:spacing w:after="0"/>
        <w:rPr>
          <w:sz w:val="20"/>
          <w:szCs w:val="20"/>
          <w:color w:val="auto"/>
        </w:rPr>
      </w:pPr>
      <w:r>
        <w:rPr>
          <w:rFonts w:ascii="Arial" w:cs="Arial" w:eastAsia="Arial" w:hAnsi="Arial"/>
          <w:sz w:val="14"/>
          <w:szCs w:val="14"/>
          <w:i w:val="1"/>
          <w:iCs w:val="1"/>
          <w:color w:val="auto"/>
        </w:rPr>
        <w:t>Services: Business</w:t>
      </w:r>
      <w:r>
        <w:rPr>
          <w:rFonts w:ascii="Arial" w:cs="Arial" w:eastAsia="Arial" w:hAnsi="Arial"/>
          <w:sz w:val="23"/>
          <w:szCs w:val="23"/>
          <w:color w:val="auto"/>
          <w:vertAlign w:val="superscript"/>
        </w:rPr>
        <w:t>(9)</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Novitex Acquisition, LLC (fka ARSloane</w:t>
      </w:r>
    </w:p>
    <w:p>
      <w:pPr>
        <w:ind w:left="180"/>
        <w:spacing w:after="0" w:line="233" w:lineRule="auto"/>
        <w:rPr>
          <w:sz w:val="20"/>
          <w:szCs w:val="20"/>
          <w:color w:val="auto"/>
        </w:rPr>
      </w:pPr>
      <w:r>
        <w:rPr>
          <w:rFonts w:ascii="Arial" w:cs="Arial" w:eastAsia="Arial" w:hAnsi="Arial"/>
          <w:sz w:val="14"/>
          <w:szCs w:val="14"/>
          <w:color w:val="auto"/>
        </w:rPr>
        <w:t>Acquisition, LLC)</w:t>
      </w:r>
    </w:p>
    <w:p>
      <w:pPr>
        <w:ind w:left="180"/>
        <w:spacing w:after="0" w:line="180" w:lineRule="auto"/>
        <w:rPr>
          <w:sz w:val="20"/>
          <w:szCs w:val="20"/>
          <w:color w:val="auto"/>
        </w:rPr>
      </w:pPr>
      <w:r>
        <w:rPr>
          <w:rFonts w:ascii="Arial" w:cs="Arial" w:eastAsia="Arial" w:hAnsi="Arial"/>
          <w:sz w:val="13"/>
          <w:szCs w:val="13"/>
          <w:i w:val="1"/>
          <w:iCs w:val="1"/>
          <w:color w:val="auto"/>
        </w:rPr>
        <w:t>Services: Business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Onex Carestream Finance LP</w:t>
      </w:r>
    </w:p>
    <w:p>
      <w:pPr>
        <w:ind w:left="180"/>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(9)</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Onex Carestream Finance LP</w:t>
      </w:r>
    </w:p>
    <w:p>
      <w:pPr>
        <w:ind w:left="180"/>
        <w:spacing w:after="0" w:line="233"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Orbitz Worldwide, Inc.</w:t>
      </w:r>
    </w:p>
    <w:p>
      <w:pPr>
        <w:ind w:left="180"/>
        <w:spacing w:after="0"/>
        <w:rPr>
          <w:sz w:val="20"/>
          <w:szCs w:val="20"/>
          <w:color w:val="auto"/>
        </w:rPr>
      </w:pPr>
      <w:r>
        <w:rPr>
          <w:rFonts w:ascii="Arial" w:cs="Arial" w:eastAsia="Arial" w:hAnsi="Arial"/>
          <w:sz w:val="14"/>
          <w:szCs w:val="14"/>
          <w:i w:val="1"/>
          <w:iCs w:val="1"/>
          <w:color w:val="auto"/>
        </w:rPr>
        <w:t>Hotel, Gaming &amp; Leisure</w:t>
      </w:r>
      <w:r>
        <w:rPr>
          <w:rFonts w:ascii="Arial" w:cs="Arial" w:eastAsia="Arial" w:hAnsi="Arial"/>
          <w:sz w:val="23"/>
          <w:szCs w:val="23"/>
          <w:color w:val="auto"/>
          <w:vertAlign w:val="superscript"/>
        </w:rPr>
        <w:t>(11)</w:t>
      </w:r>
    </w:p>
    <w:p>
      <w:pPr>
        <w:spacing w:after="0" w:line="25" w:lineRule="exact"/>
        <w:rPr>
          <w:sz w:val="20"/>
          <w:szCs w:val="20"/>
          <w:color w:val="auto"/>
        </w:rPr>
      </w:pPr>
    </w:p>
    <w:p>
      <w:pPr>
        <w:ind w:left="180" w:right="80" w:hanging="179"/>
        <w:spacing w:after="0" w:line="227" w:lineRule="auto"/>
        <w:rPr>
          <w:sz w:val="20"/>
          <w:szCs w:val="20"/>
          <w:color w:val="auto"/>
        </w:rPr>
      </w:pPr>
      <w:r>
        <w:rPr>
          <w:rFonts w:ascii="Arial" w:cs="Arial" w:eastAsia="Arial" w:hAnsi="Arial"/>
          <w:sz w:val="14"/>
          <w:szCs w:val="14"/>
          <w:color w:val="auto"/>
        </w:rPr>
        <w:t>Otter Products, LLC (OtterBox Holdings, Inc.)</w:t>
      </w:r>
    </w:p>
    <w:p>
      <w:pPr>
        <w:jc w:val="center"/>
        <w:ind w:right="180"/>
        <w:spacing w:after="0" w:line="207" w:lineRule="auto"/>
        <w:rPr>
          <w:sz w:val="20"/>
          <w:szCs w:val="20"/>
          <w:color w:val="auto"/>
        </w:rPr>
      </w:pPr>
      <w:r>
        <w:rPr>
          <w:rFonts w:ascii="Arial" w:cs="Arial" w:eastAsia="Arial" w:hAnsi="Arial"/>
          <w:sz w:val="13"/>
          <w:szCs w:val="13"/>
          <w:i w:val="1"/>
          <w:iCs w:val="1"/>
          <w:color w:val="auto"/>
        </w:rPr>
        <w:t>Consumer goods: Durable</w:t>
      </w:r>
      <w:r>
        <w:rPr>
          <w:rFonts w:ascii="Arial" w:cs="Arial" w:eastAsia="Arial" w:hAnsi="Arial"/>
          <w:sz w:val="21"/>
          <w:szCs w:val="21"/>
          <w:color w:val="auto"/>
          <w:vertAlign w:val="superscript"/>
        </w:rPr>
        <w:t>(9), (11)</w:t>
      </w:r>
      <w:r>
        <w:rPr>
          <w:rFonts w:ascii="Arial" w:cs="Arial" w:eastAsia="Arial" w:hAnsi="Arial"/>
          <w:sz w:val="13"/>
          <w:szCs w:val="13"/>
          <w:i w:val="1"/>
          <w:iCs w:val="1"/>
          <w:color w:val="auto"/>
        </w:rPr>
        <w:t xml:space="preserve"> </w:t>
      </w:r>
      <w:r>
        <w:rPr>
          <w:rFonts w:ascii="Arial" w:cs="Arial" w:eastAsia="Arial" w:hAnsi="Arial"/>
          <w:sz w:val="13"/>
          <w:szCs w:val="13"/>
          <w:color w:val="auto"/>
        </w:rPr>
        <w:t>Ozburn-Hessey Holding Company LLC</w:t>
      </w:r>
    </w:p>
    <w:p>
      <w:pPr>
        <w:ind w:left="180"/>
        <w:spacing w:after="0" w:line="180" w:lineRule="auto"/>
        <w:rPr>
          <w:sz w:val="20"/>
          <w:szCs w:val="20"/>
          <w:color w:val="auto"/>
        </w:rPr>
      </w:pPr>
      <w:r>
        <w:rPr>
          <w:rFonts w:ascii="Arial" w:cs="Arial" w:eastAsia="Arial" w:hAnsi="Arial"/>
          <w:sz w:val="13"/>
          <w:szCs w:val="13"/>
          <w:i w:val="1"/>
          <w:iCs w:val="1"/>
          <w:color w:val="auto"/>
        </w:rPr>
        <w:t>Transportation: Cargo</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PGX Holdings, Inc.</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Services: Consumer</w:t>
      </w:r>
      <w:r>
        <w:rPr>
          <w:rFonts w:ascii="Arial" w:cs="Arial" w:eastAsia="Arial" w:hAnsi="Arial"/>
          <w:sz w:val="23"/>
          <w:szCs w:val="23"/>
          <w:color w:val="auto"/>
          <w:vertAlign w:val="superscript"/>
        </w:rPr>
        <w:t>(9), (11)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Post Holdings, Inc.</w:t>
      </w:r>
    </w:p>
    <w:p>
      <w:pPr>
        <w:ind w:left="180"/>
        <w:spacing w:after="0"/>
        <w:rPr>
          <w:sz w:val="20"/>
          <w:szCs w:val="20"/>
          <w:color w:val="auto"/>
        </w:rPr>
      </w:pPr>
      <w:r>
        <w:rPr>
          <w:rFonts w:ascii="Arial" w:cs="Arial" w:eastAsia="Arial" w:hAnsi="Arial"/>
          <w:sz w:val="14"/>
          <w:szCs w:val="14"/>
          <w:i w:val="1"/>
          <w:iCs w:val="1"/>
          <w:color w:val="auto"/>
        </w:rPr>
        <w:t>Beverage, Food and Tobacco</w:t>
      </w:r>
      <w:r>
        <w:rPr>
          <w:rFonts w:ascii="Arial" w:cs="Arial" w:eastAsia="Arial" w:hAnsi="Arial"/>
          <w:sz w:val="23"/>
          <w:szCs w:val="23"/>
          <w:color w:val="auto"/>
          <w:vertAlign w:val="superscript"/>
        </w:rPr>
        <w:t>(11)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PQ Corporation</w:t>
      </w:r>
    </w:p>
    <w:p>
      <w:pPr>
        <w:ind w:left="180"/>
        <w:spacing w:after="0" w:line="233" w:lineRule="auto"/>
        <w:rPr>
          <w:sz w:val="20"/>
          <w:szCs w:val="20"/>
          <w:color w:val="auto"/>
        </w:rPr>
      </w:pPr>
      <w:r>
        <w:rPr>
          <w:rFonts w:ascii="Arial" w:cs="Arial" w:eastAsia="Arial" w:hAnsi="Arial"/>
          <w:sz w:val="14"/>
          <w:szCs w:val="14"/>
          <w:i w:val="1"/>
          <w:iCs w:val="1"/>
          <w:color w:val="auto"/>
        </w:rPr>
        <w:t>Chemicals, Plastics and</w:t>
      </w:r>
    </w:p>
    <w:p>
      <w:pPr>
        <w:ind w:left="180"/>
        <w:spacing w:after="0" w:line="180" w:lineRule="auto"/>
        <w:rPr>
          <w:sz w:val="20"/>
          <w:szCs w:val="20"/>
          <w:color w:val="auto"/>
        </w:rPr>
      </w:pPr>
      <w:r>
        <w:rPr>
          <w:rFonts w:ascii="Arial" w:cs="Arial" w:eastAsia="Arial" w:hAnsi="Arial"/>
          <w:sz w:val="21"/>
          <w:szCs w:val="21"/>
          <w:i w:val="1"/>
          <w:iCs w:val="1"/>
          <w:color w:val="auto"/>
          <w:vertAlign w:val="subscript"/>
        </w:rPr>
        <w:t>Rubber</w:t>
      </w:r>
      <w:r>
        <w:rPr>
          <w:rFonts w:ascii="Arial" w:cs="Arial" w:eastAsia="Arial" w:hAnsi="Arial"/>
          <w:sz w:val="10"/>
          <w:szCs w:val="10"/>
          <w:color w:val="auto"/>
        </w:rPr>
        <w:t>(9), (11)</w:t>
      </w:r>
    </w:p>
    <w:p>
      <w:pPr>
        <w:spacing w:after="0" w:line="233" w:lineRule="auto"/>
        <w:rPr>
          <w:sz w:val="20"/>
          <w:szCs w:val="20"/>
          <w:color w:val="auto"/>
        </w:rPr>
      </w:pPr>
      <w:r>
        <w:rPr>
          <w:rFonts w:ascii="Arial" w:cs="Arial" w:eastAsia="Arial" w:hAnsi="Arial"/>
          <w:sz w:val="14"/>
          <w:szCs w:val="14"/>
          <w:color w:val="auto"/>
        </w:rPr>
        <w:t>PSC Industrial Holdings Corp.</w:t>
      </w:r>
    </w:p>
    <w:p>
      <w:pPr>
        <w:ind w:left="180"/>
        <w:spacing w:after="0"/>
        <w:rPr>
          <w:sz w:val="20"/>
          <w:szCs w:val="20"/>
          <w:color w:val="auto"/>
        </w:rPr>
      </w:pPr>
      <w:r>
        <w:rPr>
          <w:rFonts w:ascii="Arial" w:cs="Arial" w:eastAsia="Arial" w:hAnsi="Arial"/>
          <w:sz w:val="14"/>
          <w:szCs w:val="14"/>
          <w:i w:val="1"/>
          <w:iCs w:val="1"/>
          <w:color w:val="auto"/>
        </w:rPr>
        <w:t>Environmental Industries</w:t>
      </w:r>
      <w:r>
        <w:rPr>
          <w:rFonts w:ascii="Arial" w:cs="Arial" w:eastAsia="Arial" w:hAnsi="Arial"/>
          <w:sz w:val="23"/>
          <w:szCs w:val="23"/>
          <w:color w:val="auto"/>
          <w:vertAlign w:val="superscript"/>
        </w:rPr>
        <w:t>(9), (11)</w:t>
      </w:r>
    </w:p>
    <w:p>
      <w:pPr>
        <w:spacing w:after="0" w:line="25" w:lineRule="exact"/>
        <w:rPr>
          <w:sz w:val="20"/>
          <w:szCs w:val="20"/>
          <w:color w:val="auto"/>
        </w:rPr>
      </w:pPr>
    </w:p>
    <w:p>
      <w:pPr>
        <w:ind w:left="180" w:right="120" w:hanging="179"/>
        <w:spacing w:after="0" w:line="221" w:lineRule="auto"/>
        <w:rPr>
          <w:sz w:val="20"/>
          <w:szCs w:val="20"/>
          <w:color w:val="auto"/>
        </w:rPr>
      </w:pPr>
      <w:r>
        <w:rPr>
          <w:rFonts w:ascii="Arial" w:cs="Arial" w:eastAsia="Arial" w:hAnsi="Arial"/>
          <w:sz w:val="14"/>
          <w:szCs w:val="14"/>
          <w:color w:val="auto"/>
        </w:rPr>
        <w:t>Puerto Rico Cable Acquisition Company Inc. (D/B/A Choice TV)</w:t>
      </w:r>
    </w:p>
    <w:p>
      <w:pPr>
        <w:spacing w:after="0" w:line="1" w:lineRule="exact"/>
        <w:rPr>
          <w:sz w:val="20"/>
          <w:szCs w:val="20"/>
          <w:color w:val="auto"/>
        </w:rPr>
      </w:pPr>
    </w:p>
    <w:p>
      <w:pPr>
        <w:ind w:left="180" w:right="940"/>
        <w:spacing w:after="0" w:line="190" w:lineRule="auto"/>
        <w:rPr>
          <w:sz w:val="20"/>
          <w:szCs w:val="20"/>
          <w:color w:val="auto"/>
        </w:rPr>
      </w:pPr>
      <w:r>
        <w:rPr>
          <w:rFonts w:ascii="Arial" w:cs="Arial" w:eastAsia="Arial" w:hAnsi="Arial"/>
          <w:sz w:val="14"/>
          <w:szCs w:val="14"/>
          <w:i w:val="1"/>
          <w:iCs w:val="1"/>
          <w:color w:val="auto"/>
        </w:rPr>
        <w:t>Media: Broadcasting &amp; Subscription</w:t>
      </w:r>
      <w:r>
        <w:rPr>
          <w:rFonts w:ascii="Arial" w:cs="Arial" w:eastAsia="Arial" w:hAnsi="Arial"/>
          <w:sz w:val="23"/>
          <w:szCs w:val="23"/>
          <w:color w:val="auto"/>
          <w:vertAlign w:val="superscript"/>
        </w:rPr>
        <w:t>(9)</w:t>
      </w:r>
    </w:p>
    <w:p>
      <w:pPr>
        <w:spacing w:after="0" w:line="1" w:lineRule="exact"/>
        <w:rPr>
          <w:sz w:val="20"/>
          <w:szCs w:val="20"/>
          <w:color w:val="auto"/>
        </w:rPr>
      </w:pPr>
    </w:p>
    <w:p>
      <w:pPr>
        <w:ind w:left="180" w:right="120" w:hanging="179"/>
        <w:spacing w:after="0" w:line="227" w:lineRule="auto"/>
        <w:rPr>
          <w:sz w:val="20"/>
          <w:szCs w:val="20"/>
          <w:color w:val="auto"/>
        </w:rPr>
      </w:pPr>
      <w:r>
        <w:rPr>
          <w:rFonts w:ascii="Arial" w:cs="Arial" w:eastAsia="Arial" w:hAnsi="Arial"/>
          <w:sz w:val="14"/>
          <w:szCs w:val="14"/>
          <w:color w:val="auto"/>
        </w:rPr>
        <w:t>Puerto Rico Cable Acquisition Company Inc. (D/B/A Choice TV)</w:t>
      </w:r>
    </w:p>
    <w:p>
      <w:pPr>
        <w:ind w:left="180"/>
        <w:spacing w:after="0" w:line="188" w:lineRule="auto"/>
        <w:rPr>
          <w:sz w:val="20"/>
          <w:szCs w:val="20"/>
          <w:color w:val="auto"/>
        </w:rPr>
      </w:pPr>
      <w:r>
        <w:rPr>
          <w:rFonts w:ascii="Arial" w:cs="Arial" w:eastAsia="Arial" w:hAnsi="Arial"/>
          <w:sz w:val="13"/>
          <w:szCs w:val="13"/>
          <w:i w:val="1"/>
          <w:iCs w:val="1"/>
          <w:color w:val="auto"/>
        </w:rPr>
        <w:t>Media: Broadcasting &amp; Subscription</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jc w:val="right"/>
        <w:ind w:right="1520"/>
        <w:spacing w:after="0"/>
        <w:rPr>
          <w:sz w:val="20"/>
          <w:szCs w:val="20"/>
          <w:color w:val="auto"/>
        </w:rPr>
      </w:pPr>
      <w:r>
        <w:rPr>
          <w:rFonts w:ascii="Arial" w:cs="Arial" w:eastAsia="Arial" w:hAnsi="Arial"/>
          <w:sz w:val="13"/>
          <w:szCs w:val="13"/>
          <w:color w:val="auto"/>
        </w:rPr>
        <w:t>QoL Meds, LLC</w:t>
      </w:r>
    </w:p>
    <w:p>
      <w:pPr>
        <w:spacing w:after="0" w:line="6" w:lineRule="exact"/>
        <w:rPr>
          <w:sz w:val="20"/>
          <w:szCs w:val="20"/>
          <w:color w:val="auto"/>
        </w:rPr>
      </w:pPr>
    </w:p>
    <w:p>
      <w:pPr>
        <w:jc w:val="right"/>
        <w:ind w:right="1520"/>
        <w:spacing w:after="0"/>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ind w:left="180" w:right="320" w:hanging="179"/>
        <w:spacing w:after="0" w:line="221" w:lineRule="auto"/>
        <w:rPr>
          <w:sz w:val="20"/>
          <w:szCs w:val="20"/>
          <w:color w:val="auto"/>
        </w:rPr>
      </w:pPr>
      <w:r>
        <w:rPr>
          <w:rFonts w:ascii="Arial" w:cs="Arial" w:eastAsia="Arial" w:hAnsi="Arial"/>
          <w:sz w:val="14"/>
          <w:szCs w:val="14"/>
          <w:color w:val="auto"/>
        </w:rPr>
        <w:t>Quad-C JH Holdings Inc. (aka Joerns Healthcare)</w:t>
      </w:r>
    </w:p>
    <w:p>
      <w:pPr>
        <w:ind w:left="180"/>
        <w:spacing w:after="0" w:line="234" w:lineRule="auto"/>
        <w:rPr>
          <w:sz w:val="20"/>
          <w:szCs w:val="20"/>
          <w:color w:val="auto"/>
        </w:rPr>
      </w:pPr>
      <w:r>
        <w:rPr>
          <w:rFonts w:ascii="Arial" w:cs="Arial" w:eastAsia="Arial" w:hAnsi="Arial"/>
          <w:sz w:val="14"/>
          <w:szCs w:val="14"/>
          <w:i w:val="1"/>
          <w:iCs w:val="1"/>
          <w:color w:val="auto"/>
        </w:rPr>
        <w:t>Healthcare &amp;</w:t>
      </w:r>
    </w:p>
    <w:p>
      <w:pPr>
        <w:ind w:left="180"/>
        <w:spacing w:after="0" w:line="180" w:lineRule="auto"/>
        <w:rPr>
          <w:sz w:val="20"/>
          <w:szCs w:val="20"/>
          <w:color w:val="auto"/>
        </w:rPr>
      </w:pPr>
      <w:r>
        <w:rPr>
          <w:rFonts w:ascii="Arial" w:cs="Arial" w:eastAsia="Arial" w:hAnsi="Arial"/>
          <w:sz w:val="13"/>
          <w:szCs w:val="13"/>
          <w:i w:val="1"/>
          <w:iCs w:val="1"/>
          <w:color w:val="auto"/>
        </w:rPr>
        <w:t>Pharmaceuticals</w:t>
      </w:r>
      <w:r>
        <w:rPr>
          <w:rFonts w:ascii="Arial" w:cs="Arial" w:eastAsia="Arial" w:hAnsi="Arial"/>
          <w:sz w:val="21"/>
          <w:szCs w:val="21"/>
          <w:color w:val="auto"/>
          <w:vertAlign w:val="superscript"/>
        </w:rPr>
        <w:t>(9), (11)</w:t>
      </w:r>
    </w:p>
    <w:p>
      <w:pPr>
        <w:spacing w:after="0" w:line="233" w:lineRule="auto"/>
        <w:rPr>
          <w:sz w:val="20"/>
          <w:szCs w:val="20"/>
          <w:color w:val="auto"/>
        </w:rPr>
      </w:pPr>
      <w:r>
        <w:rPr>
          <w:rFonts w:ascii="Arial" w:cs="Arial" w:eastAsia="Arial" w:hAnsi="Arial"/>
          <w:sz w:val="14"/>
          <w:szCs w:val="14"/>
          <w:color w:val="auto"/>
        </w:rPr>
        <w:t>Restorix Health, Inc.</w:t>
      </w:r>
    </w:p>
    <w:p>
      <w:pPr>
        <w:ind w:left="180"/>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Restorix Health, Inc.</w:t>
      </w:r>
    </w:p>
    <w:p>
      <w:pPr>
        <w:ind w:left="180"/>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(9)</w:t>
      </w:r>
    </w:p>
    <w:p>
      <w:pPr>
        <w:spacing w:after="0" w:line="161" w:lineRule="exact"/>
        <w:rPr>
          <w:sz w:val="20"/>
          <w:szCs w:val="20"/>
          <w:color w:val="auto"/>
        </w:rPr>
      </w:pPr>
    </w:p>
    <w:p>
      <w:pPr>
        <w:jc w:val="right"/>
        <w:ind w:right="720"/>
        <w:spacing w:after="0" w:line="254" w:lineRule="auto"/>
        <w:rPr>
          <w:sz w:val="20"/>
          <w:szCs w:val="20"/>
          <w:color w:val="auto"/>
        </w:rPr>
      </w:pPr>
      <w:r>
        <w:rPr>
          <w:rFonts w:ascii="Arial" w:cs="Arial" w:eastAsia="Arial" w:hAnsi="Arial"/>
          <w:sz w:val="13"/>
          <w:szCs w:val="13"/>
          <w:color w:val="auto"/>
        </w:rPr>
        <w:t xml:space="preserve">Reynolds Group Holdings Inc. </w:t>
      </w:r>
      <w:r>
        <w:rPr>
          <w:rFonts w:ascii="Arial" w:cs="Arial" w:eastAsia="Arial" w:hAnsi="Arial"/>
          <w:sz w:val="13"/>
          <w:szCs w:val="13"/>
          <w:i w:val="1"/>
          <w:iCs w:val="1"/>
          <w:color w:val="auto"/>
        </w:rPr>
        <w:t>Containers, Packaging and</w:t>
      </w:r>
    </w:p>
    <w:p>
      <w:pPr>
        <w:ind w:left="180"/>
        <w:spacing w:after="0" w:line="180" w:lineRule="auto"/>
        <w:rPr>
          <w:sz w:val="20"/>
          <w:szCs w:val="20"/>
          <w:color w:val="auto"/>
        </w:rPr>
      </w:pPr>
      <w:r>
        <w:rPr>
          <w:rFonts w:ascii="Arial" w:cs="Arial" w:eastAsia="Arial" w:hAnsi="Arial"/>
          <w:sz w:val="21"/>
          <w:szCs w:val="21"/>
          <w:i w:val="1"/>
          <w:iCs w:val="1"/>
          <w:color w:val="auto"/>
          <w:vertAlign w:val="subscript"/>
        </w:rPr>
        <w:t>Glass</w:t>
      </w:r>
      <w:r>
        <w:rPr>
          <w:rFonts w:ascii="Arial" w:cs="Arial" w:eastAsia="Arial" w:hAnsi="Arial"/>
          <w:sz w:val="10"/>
          <w:szCs w:val="10"/>
          <w:color w:val="auto"/>
        </w:rPr>
        <w:t>(9), (11)</w:t>
      </w:r>
    </w:p>
    <w:p>
      <w:pPr>
        <w:spacing w:after="0" w:line="234" w:lineRule="auto"/>
        <w:rPr>
          <w:sz w:val="20"/>
          <w:szCs w:val="20"/>
          <w:color w:val="auto"/>
        </w:rPr>
      </w:pPr>
      <w:r>
        <w:rPr>
          <w:rFonts w:ascii="Arial" w:cs="Arial" w:eastAsia="Arial" w:hAnsi="Arial"/>
          <w:sz w:val="14"/>
          <w:szCs w:val="14"/>
          <w:color w:val="auto"/>
        </w:rPr>
        <w:t>Roscoe Medical, Inc.</w:t>
      </w:r>
    </w:p>
    <w:p>
      <w:pPr>
        <w:ind w:left="180"/>
        <w:spacing w:after="0"/>
        <w:rPr>
          <w:sz w:val="20"/>
          <w:szCs w:val="20"/>
          <w:color w:val="auto"/>
        </w:rPr>
      </w:pPr>
      <w:r>
        <w:rPr>
          <w:rFonts w:ascii="Arial" w:cs="Arial" w:eastAsia="Arial" w:hAnsi="Arial"/>
          <w:sz w:val="14"/>
          <w:szCs w:val="14"/>
          <w:i w:val="1"/>
          <w:iCs w:val="1"/>
          <w:color w:val="auto"/>
        </w:rPr>
        <w:t>Healthcare &amp; Pharmaceuticals</w:t>
      </w:r>
      <w:r>
        <w:rPr>
          <w:rFonts w:ascii="Arial" w:cs="Arial" w:eastAsia="Arial" w:hAnsi="Arial"/>
          <w:sz w:val="23"/>
          <w:szCs w:val="23"/>
          <w:color w:val="auto"/>
          <w:vertAlign w:val="superscript"/>
        </w:rPr>
        <w:t>(9)</w:t>
      </w:r>
    </w:p>
    <w:p>
      <w:pPr>
        <w:spacing w:after="0" w:line="25" w:lineRule="exact"/>
        <w:rPr>
          <w:sz w:val="20"/>
          <w:szCs w:val="20"/>
          <w:color w:val="auto"/>
        </w:rPr>
      </w:pPr>
    </w:p>
    <w:p>
      <w:pPr>
        <w:ind w:left="180" w:right="100" w:hanging="179"/>
        <w:spacing w:after="0" w:line="227" w:lineRule="auto"/>
        <w:rPr>
          <w:sz w:val="20"/>
          <w:szCs w:val="20"/>
          <w:color w:val="auto"/>
        </w:rPr>
      </w:pPr>
      <w:r>
        <w:rPr>
          <w:rFonts w:ascii="Arial" w:cs="Arial" w:eastAsia="Arial" w:hAnsi="Arial"/>
          <w:sz w:val="14"/>
          <w:szCs w:val="14"/>
          <w:color w:val="auto"/>
        </w:rPr>
        <w:t>Rovi Solutions Corporation/Rovi Guides, Inc.</w:t>
      </w:r>
    </w:p>
    <w:p>
      <w:pPr>
        <w:ind w:left="180"/>
        <w:spacing w:after="0" w:line="180" w:lineRule="auto"/>
        <w:rPr>
          <w:sz w:val="20"/>
          <w:szCs w:val="20"/>
          <w:color w:val="auto"/>
        </w:rPr>
      </w:pPr>
      <w:r>
        <w:rPr>
          <w:rFonts w:ascii="Arial" w:cs="Arial" w:eastAsia="Arial" w:hAnsi="Arial"/>
          <w:sz w:val="13"/>
          <w:szCs w:val="13"/>
          <w:i w:val="1"/>
          <w:iCs w:val="1"/>
          <w:color w:val="auto"/>
        </w:rPr>
        <w:t>High Tech Industries</w:t>
      </w:r>
      <w:r>
        <w:rPr>
          <w:rFonts w:ascii="Arial" w:cs="Arial" w:eastAsia="Arial" w:hAnsi="Arial"/>
          <w:sz w:val="21"/>
          <w:szCs w:val="21"/>
          <w:color w:val="auto"/>
          <w:vertAlign w:val="superscript"/>
        </w:rPr>
        <w:t>(11)</w:t>
      </w:r>
    </w:p>
    <w:p>
      <w:pPr>
        <w:spacing w:after="0" w:line="234" w:lineRule="auto"/>
        <w:rPr>
          <w:sz w:val="20"/>
          <w:szCs w:val="20"/>
          <w:color w:val="auto"/>
        </w:rPr>
      </w:pPr>
      <w:r>
        <w:rPr>
          <w:rFonts w:ascii="Arial" w:cs="Arial" w:eastAsia="Arial" w:hAnsi="Arial"/>
          <w:sz w:val="14"/>
          <w:szCs w:val="14"/>
          <w:color w:val="auto"/>
        </w:rPr>
        <w:t>Safenet, Inc.</w:t>
      </w:r>
    </w:p>
    <w:p>
      <w:pPr>
        <w:ind w:left="180"/>
        <w:spacing w:after="0"/>
        <w:rPr>
          <w:sz w:val="20"/>
          <w:szCs w:val="20"/>
          <w:color w:val="auto"/>
        </w:rPr>
      </w:pPr>
      <w:r>
        <w:rPr>
          <w:rFonts w:ascii="Arial" w:cs="Arial" w:eastAsia="Arial" w:hAnsi="Arial"/>
          <w:sz w:val="14"/>
          <w:szCs w:val="14"/>
          <w:i w:val="1"/>
          <w:iCs w:val="1"/>
          <w:color w:val="auto"/>
        </w:rPr>
        <w:t>High Tech Industries</w:t>
      </w:r>
      <w:r>
        <w:rPr>
          <w:rFonts w:ascii="Arial" w:cs="Arial" w:eastAsia="Arial" w:hAnsi="Arial"/>
          <w:sz w:val="23"/>
          <w:szCs w:val="23"/>
          <w:color w:val="auto"/>
          <w:vertAlign w:val="superscript"/>
        </w:rPr>
        <w:t>(9), (11)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Sandy Creek Energy Associates, L.P.</w:t>
      </w:r>
    </w:p>
    <w:p>
      <w:pPr>
        <w:ind w:left="180"/>
        <w:spacing w:after="0"/>
        <w:rPr>
          <w:sz w:val="20"/>
          <w:szCs w:val="20"/>
          <w:color w:val="auto"/>
        </w:rPr>
      </w:pPr>
      <w:r>
        <w:rPr>
          <w:rFonts w:ascii="Arial" w:cs="Arial" w:eastAsia="Arial" w:hAnsi="Arial"/>
          <w:sz w:val="14"/>
          <w:szCs w:val="14"/>
          <w:i w:val="1"/>
          <w:iCs w:val="1"/>
          <w:color w:val="auto"/>
        </w:rPr>
        <w:t>Utilities: Electric</w:t>
      </w:r>
      <w:r>
        <w:rPr>
          <w:rFonts w:ascii="Arial" w:cs="Arial" w:eastAsia="Arial" w:hAnsi="Arial"/>
          <w:sz w:val="23"/>
          <w:szCs w:val="23"/>
          <w:color w:val="auto"/>
          <w:vertAlign w:val="superscript"/>
        </w:rPr>
        <w:t>(9), (11)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1980" w:type="dxa"/>
            <w:vAlign w:val="bottom"/>
          </w:tcPr>
          <w:p>
            <w:pPr>
              <w:ind w:left="48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9"/>
              </w:rPr>
              <w:t>Fair Value</w:t>
            </w:r>
            <w:r>
              <w:rPr>
                <w:rFonts w:ascii="Arial" w:cs="Arial" w:eastAsia="Arial" w:hAnsi="Arial"/>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1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8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10/20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2,743,125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2,716,093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2,743,125</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98"/>
              </w:rPr>
              <w:t>Senior Secured Loan — Tranche B-2</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7.5%</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7/20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990,019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980,923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950,418</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9.5%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1,992,920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 2013)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6/19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1,973,333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1,969,219</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Tranche C</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4.5%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4/21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2,961,315</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2,968,458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2,966,297</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6.8%</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5/19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3,512,426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3,503,687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3,544,389</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9/20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3,936,815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3,917,363</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Series 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Incremental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3.8%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2,985,129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2,983,130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2014</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8/17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2,992,366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2,992,366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2,943,740</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7.0%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1,980,119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1,980,000</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909,069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910,287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909,069</w:t>
            </w:r>
          </w:p>
        </w:tc>
        <w:tc>
          <w:tcPr>
            <w:tcW w:w="0" w:type="dxa"/>
            <w:vAlign w:val="bottom"/>
          </w:tcPr>
          <w:p>
            <w:pPr>
              <w:spacing w:after="0"/>
              <w:rPr>
                <w:sz w:val="1"/>
                <w:szCs w:val="1"/>
                <w:color w:val="auto"/>
              </w:rPr>
            </w:pPr>
          </w:p>
        </w:tc>
      </w:tr>
      <w:tr>
        <w:trPr>
          <w:trHeight w:val="317"/>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2,727,206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2,717,359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2,727,206</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498,750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496,449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480,296</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5/20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3,953,083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3,786,174</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Unsecured Loan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Delayed Draw</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10.0% Cash, 1.5% PIK, Due 6/18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2,003,587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2,003,587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2,003,587</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Unsecured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 Subordinated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10.0% Cash, 1.5% PIK, Due 6/18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8,063,397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8,063,397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8,063,397</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4.0%</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12/18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2,992,443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2,946,734</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gridSpan w:val="2"/>
          </w:tcPr>
          <w:p>
            <w:pPr>
              <w:ind w:left="80"/>
              <w:spacing w:after="0"/>
              <w:rPr>
                <w:sz w:val="20"/>
                <w:szCs w:val="20"/>
                <w:color w:val="auto"/>
              </w:rPr>
            </w:pPr>
            <w:r>
              <w:rPr>
                <w:rFonts w:ascii="Arial" w:cs="Arial" w:eastAsia="Arial" w:hAnsi="Arial"/>
                <w:sz w:val="14"/>
                <w:szCs w:val="14"/>
                <w:color w:val="auto"/>
              </w:rPr>
              <w:t>11.3% Cash,, Due 9/19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6,700,000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6,642,367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6,499,000</w:t>
            </w:r>
          </w:p>
        </w:tc>
        <w:tc>
          <w:tcPr>
            <w:tcW w:w="0" w:type="dxa"/>
            <w:vAlign w:val="bottom"/>
          </w:tcPr>
          <w:p>
            <w:pPr>
              <w:spacing w:after="0"/>
              <w:rPr>
                <w:sz w:val="1"/>
                <w:szCs w:val="1"/>
                <w:color w:val="auto"/>
              </w:rPr>
            </w:pPr>
          </w:p>
        </w:tc>
      </w:tr>
      <w:tr>
        <w:trPr>
          <w:trHeight w:val="304"/>
        </w:trPr>
        <w:tc>
          <w:tcPr>
            <w:tcW w:w="2380" w:type="dxa"/>
            <w:vAlign w:val="bottom"/>
            <w:gridSpan w:val="2"/>
          </w:tcPr>
          <w:p>
            <w:pPr>
              <w:ind w:left="80"/>
              <w:spacing w:after="0"/>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3.8%</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Cash,, Due 7/21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2,954,531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2,936,387</w:t>
            </w: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6.8%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2,977,500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2,951,435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55"/>
        </w:trPr>
        <w:tc>
          <w:tcPr>
            <w:tcW w:w="23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11/20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2,844,544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2,832,599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2,794,053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-6741160</wp:posOffset>
            </wp:positionV>
            <wp:extent cx="5213985" cy="283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-6149340</wp:posOffset>
            </wp:positionV>
            <wp:extent cx="5213985" cy="283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-5557520</wp:posOffset>
            </wp:positionV>
            <wp:extent cx="5213985" cy="283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-4965700</wp:posOffset>
            </wp:positionV>
            <wp:extent cx="5213985" cy="2146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-4468495</wp:posOffset>
            </wp:positionV>
            <wp:extent cx="5213985" cy="283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-3876675</wp:posOffset>
            </wp:positionV>
            <wp:extent cx="5213985" cy="283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-3190240</wp:posOffset>
            </wp:positionV>
            <wp:extent cx="5213985" cy="411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-2470150</wp:posOffset>
            </wp:positionV>
            <wp:extent cx="5213985" cy="4032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-1784350</wp:posOffset>
            </wp:positionV>
            <wp:extent cx="5213985" cy="3771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-1097915</wp:posOffset>
            </wp:positionV>
            <wp:extent cx="5213985" cy="283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-506095</wp:posOffset>
            </wp:positionV>
            <wp:extent cx="5213985" cy="283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-6998335</wp:posOffset>
            </wp:positionV>
            <wp:extent cx="35331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2480" w:space="160"/>
            <w:col w:w="7439"/>
          </w:cols>
          <w:pgMar w:left="380" w:top="792" w:right="1440" w:bottom="1440" w:gutter="0" w:footer="0" w:header="0"/>
        </w:sectPr>
      </w:pPr>
    </w:p>
    <w:p>
      <w:pPr>
        <w:spacing w:after="0" w:line="24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7" w:name="page98"/>
    <w:bookmarkEnd w:id="9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40" w:type="dxa"/>
            <w:vAlign w:val="bottom"/>
          </w:tcPr>
          <w:p>
            <w:pPr>
              <w:jc w:val="center"/>
              <w:ind w:left="58"/>
              <w:spacing w:after="0"/>
              <w:rPr>
                <w:sz w:val="20"/>
                <w:szCs w:val="20"/>
                <w:color w:val="auto"/>
              </w:rPr>
            </w:pPr>
            <w:r>
              <w:rPr>
                <w:rFonts w:ascii="Arial" w:cs="Arial" w:eastAsia="Arial" w:hAnsi="Arial"/>
                <w:sz w:val="13"/>
                <w:szCs w:val="13"/>
                <w:b w:val="1"/>
                <w:bCs w:val="1"/>
                <w:color w:val="auto"/>
                <w:w w:val="90"/>
              </w:rPr>
              <w:t>Investment</w:t>
            </w:r>
          </w:p>
        </w:tc>
        <w:tc>
          <w:tcPr>
            <w:tcW w:w="1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Amortized</w:t>
            </w:r>
          </w:p>
        </w:tc>
        <w:tc>
          <w:tcPr>
            <w:tcW w:w="90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40" w:type="dxa"/>
            <w:vAlign w:val="bottom"/>
          </w:tcPr>
          <w:p>
            <w:pPr>
              <w:jc w:val="center"/>
              <w:ind w:left="58"/>
              <w:spacing w:after="0" w:line="169" w:lineRule="exact"/>
              <w:rPr>
                <w:sz w:val="20"/>
                <w:szCs w:val="20"/>
                <w:color w:val="auto"/>
              </w:rPr>
            </w:pPr>
            <w:r>
              <w:rPr>
                <w:rFonts w:ascii="Arial" w:cs="Arial" w:eastAsia="Arial" w:hAnsi="Arial"/>
                <w:sz w:val="12"/>
                <w:szCs w:val="12"/>
                <w:b w:val="1"/>
                <w:bCs w:val="1"/>
                <w:color w:val="auto"/>
                <w:w w:val="96"/>
              </w:rPr>
              <w:t>Interest Rate</w:t>
            </w:r>
            <w:r>
              <w:rPr>
                <w:rFonts w:ascii="Arial" w:cs="Arial" w:eastAsia="Arial" w:hAnsi="Arial"/>
                <w:sz w:val="19"/>
                <w:szCs w:val="19"/>
                <w:b w:val="1"/>
                <w:bCs w:val="1"/>
                <w:color w:val="auto"/>
                <w:w w:val="96"/>
                <w:vertAlign w:val="superscript"/>
              </w:rPr>
              <w:t>(1)</w:t>
            </w:r>
            <w:r>
              <w:rPr>
                <w:rFonts w:ascii="Arial" w:cs="Arial" w:eastAsia="Arial" w:hAnsi="Arial"/>
                <w:sz w:val="12"/>
                <w:szCs w:val="12"/>
                <w:b w:val="1"/>
                <w:bCs w:val="1"/>
                <w:color w:val="auto"/>
                <w:w w:val="96"/>
              </w:rPr>
              <w:t>/Maturity</w:t>
            </w:r>
          </w:p>
        </w:tc>
        <w:tc>
          <w:tcPr>
            <w:tcW w:w="1160" w:type="dxa"/>
            <w:vAlign w:val="bottom"/>
          </w:tcPr>
          <w:p>
            <w:pPr>
              <w:ind w:left="420"/>
              <w:spacing w:after="0"/>
              <w:rPr>
                <w:sz w:val="20"/>
                <w:szCs w:val="20"/>
                <w:color w:val="auto"/>
              </w:rPr>
            </w:pPr>
            <w:r>
              <w:rPr>
                <w:rFonts w:ascii="Arial" w:cs="Arial" w:eastAsia="Arial" w:hAnsi="Arial"/>
                <w:sz w:val="13"/>
                <w:szCs w:val="13"/>
                <w:b w:val="1"/>
                <w:bCs w:val="1"/>
                <w:color w:val="auto"/>
              </w:rPr>
              <w:t>Principal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213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221" w:lineRule="auto"/>
        <w:rPr>
          <w:sz w:val="20"/>
          <w:szCs w:val="20"/>
          <w:color w:val="auto"/>
        </w:rPr>
      </w:pPr>
      <w:r>
        <w:rPr>
          <w:rFonts w:ascii="Arial" w:cs="Arial" w:eastAsia="Arial" w:hAnsi="Arial"/>
          <w:sz w:val="14"/>
          <w:szCs w:val="14"/>
          <w:color w:val="auto"/>
        </w:rPr>
        <w:t>SGF Produce Holding Corp.</w:t>
      </w:r>
    </w:p>
    <w:p>
      <w:pPr>
        <w:ind w:left="200"/>
        <w:spacing w:after="0" w:line="233" w:lineRule="auto"/>
        <w:rPr>
          <w:sz w:val="20"/>
          <w:szCs w:val="20"/>
          <w:color w:val="auto"/>
        </w:rPr>
      </w:pPr>
      <w:r>
        <w:rPr>
          <w:rFonts w:ascii="Arial" w:cs="Arial" w:eastAsia="Arial" w:hAnsi="Arial"/>
          <w:sz w:val="14"/>
          <w:szCs w:val="14"/>
          <w:color w:val="auto"/>
        </w:rPr>
        <w:t>(Frozsun, Inc.)</w:t>
      </w:r>
    </w:p>
    <w:p>
      <w:pPr>
        <w:ind w:left="200"/>
        <w:spacing w:after="0" w:line="180" w:lineRule="auto"/>
        <w:rPr>
          <w:sz w:val="20"/>
          <w:szCs w:val="20"/>
          <w:color w:val="auto"/>
        </w:rPr>
      </w:pPr>
      <w:r>
        <w:rPr>
          <w:rFonts w:ascii="Arial" w:cs="Arial" w:eastAsia="Arial" w:hAnsi="Arial"/>
          <w:sz w:val="13"/>
          <w:szCs w:val="13"/>
          <w:i w:val="1"/>
          <w:iCs w:val="1"/>
          <w:color w:val="auto"/>
        </w:rPr>
        <w:t>Beverage, Food and Tobacco</w:t>
      </w:r>
      <w:r>
        <w:rPr>
          <w:rFonts w:ascii="Arial" w:cs="Arial" w:eastAsia="Arial" w:hAnsi="Arial"/>
          <w:sz w:val="21"/>
          <w:szCs w:val="21"/>
          <w:color w:val="auto"/>
          <w:vertAlign w:val="superscript"/>
        </w:rPr>
        <w:t>(9)</w:t>
      </w:r>
    </w:p>
    <w:p>
      <w:pPr>
        <w:ind w:left="20"/>
        <w:spacing w:after="0" w:line="222" w:lineRule="auto"/>
        <w:rPr>
          <w:sz w:val="20"/>
          <w:szCs w:val="20"/>
          <w:color w:val="auto"/>
        </w:rPr>
      </w:pPr>
      <w:r>
        <w:rPr>
          <w:rFonts w:ascii="Arial" w:cs="Arial" w:eastAsia="Arial" w:hAnsi="Arial"/>
          <w:sz w:val="14"/>
          <w:szCs w:val="14"/>
          <w:color w:val="auto"/>
        </w:rPr>
        <w:t>SGF Produce Holding Corp.</w:t>
      </w:r>
    </w:p>
    <w:p>
      <w:pPr>
        <w:ind w:left="200"/>
        <w:spacing w:after="0" w:line="221" w:lineRule="auto"/>
        <w:rPr>
          <w:sz w:val="20"/>
          <w:szCs w:val="20"/>
          <w:color w:val="auto"/>
        </w:rPr>
      </w:pPr>
      <w:r>
        <w:rPr>
          <w:rFonts w:ascii="Arial" w:cs="Arial" w:eastAsia="Arial" w:hAnsi="Arial"/>
          <w:sz w:val="14"/>
          <w:szCs w:val="14"/>
          <w:color w:val="auto"/>
        </w:rPr>
        <w:t>(Frozsun, Inc.)</w:t>
      </w:r>
    </w:p>
    <w:p>
      <w:pPr>
        <w:ind w:left="200"/>
        <w:spacing w:after="0" w:line="233" w:lineRule="auto"/>
        <w:rPr>
          <w:sz w:val="20"/>
          <w:szCs w:val="20"/>
          <w:color w:val="auto"/>
        </w:rPr>
      </w:pPr>
      <w:r>
        <w:rPr>
          <w:rFonts w:ascii="Arial" w:cs="Arial" w:eastAsia="Arial" w:hAnsi="Arial"/>
          <w:sz w:val="14"/>
          <w:szCs w:val="14"/>
          <w:i w:val="1"/>
          <w:iCs w:val="1"/>
          <w:color w:val="auto"/>
        </w:rPr>
        <w:t>Beverage, Food and</w:t>
      </w:r>
    </w:p>
    <w:p>
      <w:pPr>
        <w:ind w:left="200"/>
        <w:spacing w:after="0" w:line="180" w:lineRule="auto"/>
        <w:rPr>
          <w:sz w:val="20"/>
          <w:szCs w:val="20"/>
          <w:color w:val="auto"/>
        </w:rPr>
      </w:pPr>
      <w:r>
        <w:rPr>
          <w:rFonts w:ascii="Arial" w:cs="Arial" w:eastAsia="Arial" w:hAnsi="Arial"/>
          <w:sz w:val="21"/>
          <w:szCs w:val="21"/>
          <w:i w:val="1"/>
          <w:iCs w:val="1"/>
          <w:color w:val="auto"/>
          <w:vertAlign w:val="subscript"/>
        </w:rPr>
        <w:t>Tobacco</w:t>
      </w:r>
      <w:r>
        <w:rPr>
          <w:rFonts w:ascii="Arial" w:cs="Arial" w:eastAsia="Arial" w:hAnsi="Arial"/>
          <w:sz w:val="10"/>
          <w:szCs w:val="10"/>
          <w:color w:val="auto"/>
        </w:rPr>
        <w:t>(9), (11)</w:t>
      </w:r>
    </w:p>
    <w:p>
      <w:pPr>
        <w:ind w:left="20"/>
        <w:spacing w:after="0" w:line="222" w:lineRule="auto"/>
        <w:rPr>
          <w:sz w:val="20"/>
          <w:szCs w:val="20"/>
          <w:color w:val="auto"/>
        </w:rPr>
      </w:pPr>
      <w:r>
        <w:rPr>
          <w:rFonts w:ascii="Arial" w:cs="Arial" w:eastAsia="Arial" w:hAnsi="Arial"/>
          <w:sz w:val="14"/>
          <w:szCs w:val="14"/>
          <w:color w:val="auto"/>
        </w:rPr>
        <w:t>Stafford Logistics, Inc.</w:t>
      </w:r>
    </w:p>
    <w:p>
      <w:pPr>
        <w:ind w:left="200"/>
        <w:spacing w:after="0" w:line="233" w:lineRule="auto"/>
        <w:rPr>
          <w:sz w:val="20"/>
          <w:szCs w:val="20"/>
          <w:color w:val="auto"/>
        </w:rPr>
      </w:pPr>
      <w:r>
        <w:rPr>
          <w:rFonts w:ascii="Arial" w:cs="Arial" w:eastAsia="Arial" w:hAnsi="Arial"/>
          <w:sz w:val="14"/>
          <w:szCs w:val="14"/>
          <w:color w:val="auto"/>
        </w:rPr>
        <w:t>(dba Custom Ecology, Inc.)</w:t>
      </w:r>
    </w:p>
    <w:p>
      <w:pPr>
        <w:ind w:left="200"/>
        <w:spacing w:after="0" w:line="180" w:lineRule="auto"/>
        <w:rPr>
          <w:sz w:val="20"/>
          <w:szCs w:val="20"/>
          <w:color w:val="auto"/>
        </w:rPr>
      </w:pPr>
      <w:r>
        <w:rPr>
          <w:rFonts w:ascii="Arial" w:cs="Arial" w:eastAsia="Arial" w:hAnsi="Arial"/>
          <w:sz w:val="13"/>
          <w:szCs w:val="13"/>
          <w:i w:val="1"/>
          <w:iCs w:val="1"/>
          <w:color w:val="auto"/>
        </w:rPr>
        <w:t>Environmental Industries</w:t>
      </w:r>
      <w:r>
        <w:rPr>
          <w:rFonts w:ascii="Arial" w:cs="Arial" w:eastAsia="Arial" w:hAnsi="Arial"/>
          <w:sz w:val="21"/>
          <w:szCs w:val="21"/>
          <w:color w:val="auto"/>
          <w:vertAlign w:val="superscript"/>
        </w:rPr>
        <w:t>(9), (11)</w:t>
      </w:r>
    </w:p>
    <w:p>
      <w:pPr>
        <w:spacing w:after="0" w:line="1" w:lineRule="exact"/>
        <w:rPr>
          <w:sz w:val="20"/>
          <w:szCs w:val="20"/>
          <w:color w:val="auto"/>
        </w:rPr>
      </w:pPr>
    </w:p>
    <w:p>
      <w:pPr>
        <w:ind w:left="200" w:right="40" w:hanging="179"/>
        <w:spacing w:after="0" w:line="221" w:lineRule="auto"/>
        <w:rPr>
          <w:sz w:val="20"/>
          <w:szCs w:val="20"/>
          <w:color w:val="auto"/>
        </w:rPr>
      </w:pPr>
      <w:r>
        <w:rPr>
          <w:rFonts w:ascii="Arial" w:cs="Arial" w:eastAsia="Arial" w:hAnsi="Arial"/>
          <w:sz w:val="14"/>
          <w:szCs w:val="14"/>
          <w:color w:val="auto"/>
        </w:rPr>
        <w:t>Sun Products Corporation, The (fka Huish Detergents Inc.)</w:t>
      </w:r>
    </w:p>
    <w:p>
      <w:pPr>
        <w:ind w:left="200"/>
        <w:spacing w:after="0" w:line="234" w:lineRule="auto"/>
        <w:rPr>
          <w:sz w:val="20"/>
          <w:szCs w:val="20"/>
          <w:color w:val="auto"/>
        </w:rPr>
      </w:pPr>
      <w:r>
        <w:rPr>
          <w:rFonts w:ascii="Arial" w:cs="Arial" w:eastAsia="Arial" w:hAnsi="Arial"/>
          <w:sz w:val="14"/>
          <w:szCs w:val="14"/>
          <w:i w:val="1"/>
          <w:iCs w:val="1"/>
          <w:color w:val="auto"/>
        </w:rPr>
        <w:t>Consumer goods:</w:t>
      </w:r>
    </w:p>
    <w:p>
      <w:pPr>
        <w:ind w:left="200"/>
        <w:spacing w:after="0" w:line="180" w:lineRule="auto"/>
        <w:rPr>
          <w:sz w:val="20"/>
          <w:szCs w:val="20"/>
          <w:color w:val="auto"/>
        </w:rPr>
      </w:pPr>
      <w:r>
        <w:rPr>
          <w:rFonts w:ascii="Arial" w:cs="Arial" w:eastAsia="Arial" w:hAnsi="Arial"/>
          <w:sz w:val="13"/>
          <w:szCs w:val="13"/>
          <w:i w:val="1"/>
          <w:iCs w:val="1"/>
          <w:color w:val="auto"/>
        </w:rPr>
        <w:t>Non-durable</w:t>
      </w:r>
      <w:r>
        <w:rPr>
          <w:rFonts w:ascii="Arial" w:cs="Arial" w:eastAsia="Arial" w:hAnsi="Arial"/>
          <w:sz w:val="21"/>
          <w:szCs w:val="21"/>
          <w:color w:val="auto"/>
          <w:vertAlign w:val="superscript"/>
        </w:rPr>
        <w:t>(9), (11)</w:t>
      </w:r>
    </w:p>
    <w:p>
      <w:pPr>
        <w:ind w:left="20"/>
        <w:spacing w:after="0" w:line="233" w:lineRule="auto"/>
        <w:rPr>
          <w:sz w:val="20"/>
          <w:szCs w:val="20"/>
          <w:color w:val="auto"/>
        </w:rPr>
      </w:pPr>
      <w:r>
        <w:rPr>
          <w:rFonts w:ascii="Arial" w:cs="Arial" w:eastAsia="Arial" w:hAnsi="Arial"/>
          <w:sz w:val="14"/>
          <w:szCs w:val="14"/>
          <w:color w:val="auto"/>
        </w:rPr>
        <w:t>Tank Partners Holdings, LLC</w:t>
      </w:r>
    </w:p>
    <w:p>
      <w:pPr>
        <w:ind w:left="200"/>
        <w:spacing w:after="0" w:line="180" w:lineRule="auto"/>
        <w:rPr>
          <w:sz w:val="20"/>
          <w:szCs w:val="20"/>
          <w:color w:val="auto"/>
        </w:rPr>
      </w:pPr>
      <w:r>
        <w:rPr>
          <w:rFonts w:ascii="Arial" w:cs="Arial" w:eastAsia="Arial" w:hAnsi="Arial"/>
          <w:sz w:val="13"/>
          <w:szCs w:val="13"/>
          <w:i w:val="1"/>
          <w:iCs w:val="1"/>
          <w:color w:val="auto"/>
        </w:rPr>
        <w:t>Energy: Oil &amp; Gas</w:t>
      </w:r>
      <w:r>
        <w:rPr>
          <w:rFonts w:ascii="Arial" w:cs="Arial" w:eastAsia="Arial" w:hAnsi="Arial"/>
          <w:sz w:val="21"/>
          <w:szCs w:val="21"/>
          <w:color w:val="auto"/>
          <w:vertAlign w:val="superscript"/>
        </w:rPr>
        <w:t>(9)</w:t>
      </w:r>
    </w:p>
    <w:p>
      <w:pPr>
        <w:ind w:left="200" w:right="20" w:hanging="179"/>
        <w:spacing w:after="0" w:line="227" w:lineRule="auto"/>
        <w:rPr>
          <w:sz w:val="20"/>
          <w:szCs w:val="20"/>
          <w:color w:val="auto"/>
        </w:rPr>
      </w:pPr>
      <w:r>
        <w:rPr>
          <w:rFonts w:ascii="Arial" w:cs="Arial" w:eastAsia="Arial" w:hAnsi="Arial"/>
          <w:sz w:val="14"/>
          <w:szCs w:val="14"/>
          <w:color w:val="auto"/>
        </w:rPr>
        <w:t>TPF II Power, LLC (TPF II Covert Midco, LLC)</w:t>
      </w:r>
    </w:p>
    <w:p>
      <w:pPr>
        <w:ind w:left="200"/>
        <w:spacing w:after="0" w:line="188" w:lineRule="auto"/>
        <w:rPr>
          <w:sz w:val="20"/>
          <w:szCs w:val="20"/>
          <w:color w:val="auto"/>
        </w:rPr>
      </w:pPr>
      <w:r>
        <w:rPr>
          <w:rFonts w:ascii="Arial" w:cs="Arial" w:eastAsia="Arial" w:hAnsi="Arial"/>
          <w:sz w:val="13"/>
          <w:szCs w:val="13"/>
          <w:i w:val="1"/>
          <w:iCs w:val="1"/>
          <w:color w:val="auto"/>
        </w:rPr>
        <w:t>Utilities: Electric</w:t>
      </w:r>
      <w:r>
        <w:rPr>
          <w:rFonts w:ascii="Arial" w:cs="Arial" w:eastAsia="Arial" w:hAnsi="Arial"/>
          <w:sz w:val="21"/>
          <w:szCs w:val="21"/>
          <w:color w:val="auto"/>
          <w:vertAlign w:val="superscript"/>
        </w:rPr>
        <w:t>(9), (11)</w:t>
      </w:r>
    </w:p>
    <w:p>
      <w:pPr>
        <w:ind w:left="20"/>
        <w:spacing w:after="0" w:line="188" w:lineRule="auto"/>
        <w:rPr>
          <w:sz w:val="20"/>
          <w:szCs w:val="20"/>
          <w:color w:val="auto"/>
        </w:rPr>
      </w:pPr>
      <w:r>
        <w:rPr>
          <w:rFonts w:ascii="Arial" w:cs="Arial" w:eastAsia="Arial" w:hAnsi="Arial"/>
          <w:sz w:val="13"/>
          <w:szCs w:val="13"/>
          <w:color w:val="auto"/>
        </w:rPr>
        <w:t>Trimaran Advisors, L.L.C.</w:t>
      </w:r>
      <w:r>
        <w:rPr>
          <w:rFonts w:ascii="Arial" w:cs="Arial" w:eastAsia="Arial" w:hAnsi="Arial"/>
          <w:sz w:val="21"/>
          <w:szCs w:val="21"/>
          <w:color w:val="auto"/>
          <w:vertAlign w:val="superscript"/>
        </w:rPr>
        <w:t>(12)</w:t>
      </w:r>
    </w:p>
    <w:p>
      <w:pPr>
        <w:ind w:left="200"/>
        <w:spacing w:after="0" w:line="225" w:lineRule="auto"/>
        <w:rPr>
          <w:sz w:val="20"/>
          <w:szCs w:val="20"/>
          <w:color w:val="auto"/>
        </w:rPr>
      </w:pPr>
      <w:r>
        <w:rPr>
          <w:rFonts w:ascii="Arial" w:cs="Arial" w:eastAsia="Arial" w:hAnsi="Arial"/>
          <w:sz w:val="14"/>
          <w:szCs w:val="14"/>
          <w:i w:val="1"/>
          <w:iCs w:val="1"/>
          <w:color w:val="auto"/>
        </w:rPr>
        <w:t>Portfolio Company Loan</w:t>
      </w:r>
      <w:r>
        <w:rPr>
          <w:rFonts w:ascii="Arial" w:cs="Arial" w:eastAsia="Arial" w:hAnsi="Arial"/>
          <w:sz w:val="23"/>
          <w:szCs w:val="23"/>
          <w:color w:val="auto"/>
          <w:vertAlign w:val="superscript"/>
        </w:rPr>
        <w:t>(9), (12)</w:t>
      </w:r>
    </w:p>
    <w:p>
      <w:pPr>
        <w:ind w:left="20"/>
        <w:spacing w:after="0" w:line="234" w:lineRule="auto"/>
        <w:rPr>
          <w:sz w:val="20"/>
          <w:szCs w:val="20"/>
          <w:color w:val="auto"/>
        </w:rPr>
      </w:pPr>
      <w:r>
        <w:rPr>
          <w:rFonts w:ascii="Arial" w:cs="Arial" w:eastAsia="Arial" w:hAnsi="Arial"/>
          <w:sz w:val="14"/>
          <w:szCs w:val="14"/>
          <w:color w:val="auto"/>
        </w:rPr>
        <w:t>TRSO I, Inc.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Energy: Oil &amp; Gas</w:t>
      </w:r>
      <w:r>
        <w:rPr>
          <w:rFonts w:ascii="Arial" w:cs="Arial" w:eastAsia="Arial" w:hAnsi="Arial"/>
          <w:sz w:val="23"/>
          <w:szCs w:val="23"/>
          <w:color w:val="auto"/>
          <w:vertAlign w:val="superscript"/>
        </w:rPr>
        <w:t>(9)</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TWCC Holding Corp.</w:t>
      </w:r>
    </w:p>
    <w:p>
      <w:pPr>
        <w:ind w:left="200"/>
        <w:spacing w:after="0"/>
        <w:rPr>
          <w:sz w:val="20"/>
          <w:szCs w:val="20"/>
          <w:color w:val="auto"/>
        </w:rPr>
      </w:pPr>
      <w:r>
        <w:rPr>
          <w:rFonts w:ascii="Arial" w:cs="Arial" w:eastAsia="Arial" w:hAnsi="Arial"/>
          <w:sz w:val="13"/>
          <w:szCs w:val="13"/>
          <w:i w:val="1"/>
          <w:iCs w:val="1"/>
          <w:color w:val="auto"/>
        </w:rPr>
        <w:t>Media: Broadcasting &amp; Subscription</w:t>
      </w:r>
      <w:r>
        <w:rPr>
          <w:rFonts w:ascii="Arial" w:cs="Arial" w:eastAsia="Arial" w:hAnsi="Arial"/>
          <w:sz w:val="21"/>
          <w:szCs w:val="21"/>
          <w:color w:val="auto"/>
          <w:vertAlign w:val="superscript"/>
        </w:rPr>
        <w:t>(9)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TWCC Holding Corp.</w:t>
      </w:r>
    </w:p>
    <w:p>
      <w:pPr>
        <w:ind w:left="200"/>
        <w:spacing w:after="0" w:line="187" w:lineRule="auto"/>
        <w:rPr>
          <w:sz w:val="20"/>
          <w:szCs w:val="20"/>
          <w:color w:val="auto"/>
        </w:rPr>
      </w:pPr>
      <w:r>
        <w:rPr>
          <w:rFonts w:ascii="Arial" w:cs="Arial" w:eastAsia="Arial" w:hAnsi="Arial"/>
          <w:sz w:val="13"/>
          <w:szCs w:val="13"/>
          <w:i w:val="1"/>
          <w:iCs w:val="1"/>
          <w:color w:val="auto"/>
        </w:rPr>
        <w:t>Media: Broadcasting &amp; Subscription</w:t>
      </w:r>
      <w:r>
        <w:rPr>
          <w:rFonts w:ascii="Arial" w:cs="Arial" w:eastAsia="Arial" w:hAnsi="Arial"/>
          <w:sz w:val="21"/>
          <w:szCs w:val="21"/>
          <w:color w:val="auto"/>
          <w:vertAlign w:val="superscript"/>
        </w:rPr>
        <w:t>(9),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Univar Inc.</w:t>
      </w:r>
    </w:p>
    <w:p>
      <w:pPr>
        <w:ind w:left="200"/>
        <w:spacing w:after="0" w:line="233" w:lineRule="auto"/>
        <w:rPr>
          <w:sz w:val="20"/>
          <w:szCs w:val="20"/>
          <w:color w:val="auto"/>
        </w:rPr>
      </w:pPr>
      <w:r>
        <w:rPr>
          <w:rFonts w:ascii="Arial" w:cs="Arial" w:eastAsia="Arial" w:hAnsi="Arial"/>
          <w:sz w:val="14"/>
          <w:szCs w:val="14"/>
          <w:i w:val="1"/>
          <w:iCs w:val="1"/>
          <w:color w:val="auto"/>
        </w:rPr>
        <w:t>Chemicals, Plastics and</w:t>
      </w:r>
    </w:p>
    <w:p>
      <w:pPr>
        <w:ind w:left="200"/>
        <w:spacing w:after="0" w:line="180" w:lineRule="auto"/>
        <w:rPr>
          <w:sz w:val="20"/>
          <w:szCs w:val="20"/>
          <w:color w:val="auto"/>
        </w:rPr>
      </w:pPr>
      <w:r>
        <w:rPr>
          <w:rFonts w:ascii="Arial" w:cs="Arial" w:eastAsia="Arial" w:hAnsi="Arial"/>
          <w:sz w:val="21"/>
          <w:szCs w:val="21"/>
          <w:i w:val="1"/>
          <w:iCs w:val="1"/>
          <w:color w:val="auto"/>
          <w:vertAlign w:val="subscript"/>
        </w:rPr>
        <w:t>Rubber</w:t>
      </w:r>
      <w:r>
        <w:rPr>
          <w:rFonts w:ascii="Arial" w:cs="Arial" w:eastAsia="Arial" w:hAnsi="Arial"/>
          <w:sz w:val="10"/>
          <w:szCs w:val="10"/>
          <w:color w:val="auto"/>
        </w:rPr>
        <w:t>(9), (11)</w:t>
      </w:r>
    </w:p>
    <w:p>
      <w:pPr>
        <w:ind w:left="20"/>
        <w:spacing w:after="0" w:line="233" w:lineRule="auto"/>
        <w:rPr>
          <w:sz w:val="20"/>
          <w:szCs w:val="20"/>
          <w:color w:val="auto"/>
        </w:rPr>
      </w:pPr>
      <w:r>
        <w:rPr>
          <w:rFonts w:ascii="Arial" w:cs="Arial" w:eastAsia="Arial" w:hAnsi="Arial"/>
          <w:sz w:val="14"/>
          <w:szCs w:val="14"/>
          <w:color w:val="auto"/>
        </w:rPr>
        <w:t>USJ-IMECO Holding Company, LLC</w:t>
      </w:r>
    </w:p>
    <w:p>
      <w:pPr>
        <w:ind w:left="200"/>
        <w:spacing w:after="0" w:line="180" w:lineRule="auto"/>
        <w:rPr>
          <w:sz w:val="20"/>
          <w:szCs w:val="20"/>
          <w:color w:val="auto"/>
        </w:rPr>
      </w:pPr>
      <w:r>
        <w:rPr>
          <w:rFonts w:ascii="Arial" w:cs="Arial" w:eastAsia="Arial" w:hAnsi="Arial"/>
          <w:sz w:val="13"/>
          <w:szCs w:val="13"/>
          <w:i w:val="1"/>
          <w:iCs w:val="1"/>
          <w:color w:val="auto"/>
        </w:rPr>
        <w:t>Transportation: Cargo</w:t>
      </w:r>
      <w:r>
        <w:rPr>
          <w:rFonts w:ascii="Arial" w:cs="Arial" w:eastAsia="Arial" w:hAnsi="Arial"/>
          <w:sz w:val="21"/>
          <w:szCs w:val="21"/>
          <w:color w:val="auto"/>
          <w:vertAlign w:val="superscript"/>
        </w:rPr>
        <w:t>(9), (11)</w:t>
      </w:r>
    </w:p>
    <w:p>
      <w:pPr>
        <w:ind w:left="20"/>
        <w:spacing w:after="0" w:line="222" w:lineRule="auto"/>
        <w:rPr>
          <w:sz w:val="20"/>
          <w:szCs w:val="20"/>
          <w:color w:val="auto"/>
        </w:rPr>
      </w:pPr>
      <w:r>
        <w:rPr>
          <w:rFonts w:ascii="Arial" w:cs="Arial" w:eastAsia="Arial" w:hAnsi="Arial"/>
          <w:sz w:val="14"/>
          <w:szCs w:val="14"/>
          <w:color w:val="auto"/>
        </w:rPr>
        <w:t>Vantiv, LLC (fka Fifth Third Processing</w:t>
      </w:r>
    </w:p>
    <w:p>
      <w:pPr>
        <w:ind w:left="200"/>
        <w:spacing w:after="0" w:line="221" w:lineRule="auto"/>
        <w:rPr>
          <w:sz w:val="20"/>
          <w:szCs w:val="20"/>
          <w:color w:val="auto"/>
        </w:rPr>
      </w:pPr>
      <w:r>
        <w:rPr>
          <w:rFonts w:ascii="Arial" w:cs="Arial" w:eastAsia="Arial" w:hAnsi="Arial"/>
          <w:sz w:val="14"/>
          <w:szCs w:val="14"/>
          <w:color w:val="auto"/>
        </w:rPr>
        <w:t>Solutions, LLC)</w:t>
      </w:r>
    </w:p>
    <w:p>
      <w:pPr>
        <w:ind w:left="200" w:right="180"/>
        <w:spacing w:after="0" w:line="190" w:lineRule="auto"/>
        <w:rPr>
          <w:sz w:val="20"/>
          <w:szCs w:val="20"/>
          <w:color w:val="auto"/>
        </w:rPr>
      </w:pPr>
      <w:r>
        <w:rPr>
          <w:rFonts w:ascii="Arial" w:cs="Arial" w:eastAsia="Arial" w:hAnsi="Arial"/>
          <w:sz w:val="14"/>
          <w:szCs w:val="14"/>
          <w:i w:val="1"/>
          <w:iCs w:val="1"/>
          <w:color w:val="auto"/>
        </w:rPr>
        <w:t>Banking, Finance, Insurance &amp; Real Estate</w:t>
      </w:r>
      <w:r>
        <w:rPr>
          <w:rFonts w:ascii="Arial" w:cs="Arial" w:eastAsia="Arial" w:hAnsi="Arial"/>
          <w:sz w:val="23"/>
          <w:szCs w:val="23"/>
          <w:color w:val="auto"/>
          <w:vertAlign w:val="superscript"/>
        </w:rPr>
        <w:t>(11)</w:t>
      </w:r>
    </w:p>
    <w:p>
      <w:pPr>
        <w:ind w:left="20"/>
        <w:spacing w:after="0" w:line="234" w:lineRule="auto"/>
        <w:rPr>
          <w:sz w:val="20"/>
          <w:szCs w:val="20"/>
          <w:color w:val="auto"/>
        </w:rPr>
      </w:pPr>
      <w:r>
        <w:rPr>
          <w:rFonts w:ascii="Arial" w:cs="Arial" w:eastAsia="Arial" w:hAnsi="Arial"/>
          <w:sz w:val="14"/>
          <w:szCs w:val="14"/>
          <w:color w:val="auto"/>
        </w:rPr>
        <w:t>Verdesian Life Sciences, LLC</w:t>
      </w:r>
    </w:p>
    <w:p>
      <w:pPr>
        <w:ind w:left="200"/>
        <w:spacing w:after="0"/>
        <w:rPr>
          <w:sz w:val="20"/>
          <w:szCs w:val="20"/>
          <w:color w:val="auto"/>
        </w:rPr>
      </w:pPr>
      <w:r>
        <w:rPr>
          <w:rFonts w:ascii="Arial" w:cs="Arial" w:eastAsia="Arial" w:hAnsi="Arial"/>
          <w:sz w:val="14"/>
          <w:szCs w:val="14"/>
          <w:i w:val="1"/>
          <w:iCs w:val="1"/>
          <w:color w:val="auto"/>
        </w:rPr>
        <w:t>Environmental Industries</w:t>
      </w:r>
      <w:r>
        <w:rPr>
          <w:rFonts w:ascii="Arial" w:cs="Arial" w:eastAsia="Arial" w:hAnsi="Arial"/>
          <w:sz w:val="23"/>
          <w:szCs w:val="23"/>
          <w:color w:val="auto"/>
          <w:vertAlign w:val="superscript"/>
        </w:rPr>
        <w:t>(9)</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Verdesian Life Sciences, LLC</w:t>
      </w:r>
    </w:p>
    <w:p>
      <w:pPr>
        <w:ind w:left="200"/>
        <w:spacing w:after="0"/>
        <w:rPr>
          <w:sz w:val="20"/>
          <w:szCs w:val="20"/>
          <w:color w:val="auto"/>
        </w:rPr>
      </w:pPr>
      <w:r>
        <w:rPr>
          <w:rFonts w:ascii="Arial" w:cs="Arial" w:eastAsia="Arial" w:hAnsi="Arial"/>
          <w:sz w:val="14"/>
          <w:szCs w:val="14"/>
          <w:i w:val="1"/>
          <w:iCs w:val="1"/>
          <w:color w:val="auto"/>
        </w:rPr>
        <w:t>Environmental Industries</w:t>
      </w:r>
      <w:r>
        <w:rPr>
          <w:rFonts w:ascii="Arial" w:cs="Arial" w:eastAsia="Arial" w:hAnsi="Arial"/>
          <w:sz w:val="23"/>
          <w:szCs w:val="23"/>
          <w:color w:val="auto"/>
          <w:vertAlign w:val="superscript"/>
        </w:rPr>
        <w:t>(9), (11)</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Vestcom International, Inc. (fka Vector</w:t>
      </w:r>
    </w:p>
    <w:p>
      <w:pPr>
        <w:ind w:left="200"/>
        <w:spacing w:after="0" w:line="233" w:lineRule="auto"/>
        <w:rPr>
          <w:sz w:val="20"/>
          <w:szCs w:val="20"/>
          <w:color w:val="auto"/>
        </w:rPr>
      </w:pPr>
      <w:r>
        <w:rPr>
          <w:rFonts w:ascii="Arial" w:cs="Arial" w:eastAsia="Arial" w:hAnsi="Arial"/>
          <w:sz w:val="14"/>
          <w:szCs w:val="14"/>
          <w:color w:val="auto"/>
        </w:rPr>
        <w:t>Investment Holdings, Inc.)</w:t>
      </w:r>
    </w:p>
    <w:p>
      <w:pPr>
        <w:ind w:left="200"/>
        <w:spacing w:after="0" w:line="180" w:lineRule="auto"/>
        <w:rPr>
          <w:sz w:val="20"/>
          <w:szCs w:val="20"/>
          <w:color w:val="auto"/>
        </w:rPr>
      </w:pPr>
      <w:r>
        <w:rPr>
          <w:rFonts w:ascii="Arial" w:cs="Arial" w:eastAsia="Arial" w:hAnsi="Arial"/>
          <w:sz w:val="21"/>
          <w:szCs w:val="21"/>
          <w:i w:val="1"/>
          <w:iCs w:val="1"/>
          <w:color w:val="auto"/>
          <w:vertAlign w:val="subscript"/>
        </w:rPr>
        <w:t>Retail</w:t>
      </w:r>
      <w:r>
        <w:rPr>
          <w:rFonts w:ascii="Arial" w:cs="Arial" w:eastAsia="Arial" w:hAnsi="Arial"/>
          <w:sz w:val="10"/>
          <w:szCs w:val="10"/>
          <w:color w:val="auto"/>
        </w:rPr>
        <w:t>(9), (11)</w:t>
      </w:r>
    </w:p>
    <w:p>
      <w:pPr>
        <w:ind w:left="20"/>
        <w:spacing w:after="0" w:line="233" w:lineRule="auto"/>
        <w:rPr>
          <w:sz w:val="20"/>
          <w:szCs w:val="20"/>
          <w:color w:val="auto"/>
        </w:rPr>
      </w:pPr>
      <w:r>
        <w:rPr>
          <w:rFonts w:ascii="Arial" w:cs="Arial" w:eastAsia="Arial" w:hAnsi="Arial"/>
          <w:sz w:val="14"/>
          <w:szCs w:val="14"/>
          <w:color w:val="auto"/>
        </w:rPr>
        <w:t>Weiman Products, LLC</w:t>
      </w:r>
    </w:p>
    <w:p>
      <w:pPr>
        <w:ind w:left="200"/>
        <w:spacing w:after="0" w:line="180" w:lineRule="auto"/>
        <w:rPr>
          <w:sz w:val="20"/>
          <w:szCs w:val="20"/>
          <w:color w:val="auto"/>
        </w:rPr>
      </w:pPr>
      <w:r>
        <w:rPr>
          <w:rFonts w:ascii="Arial" w:cs="Arial" w:eastAsia="Arial" w:hAnsi="Arial"/>
          <w:sz w:val="13"/>
          <w:szCs w:val="13"/>
          <w:i w:val="1"/>
          <w:iCs w:val="1"/>
          <w:color w:val="auto"/>
        </w:rPr>
        <w:t>Consumer goods: Non-durable</w:t>
      </w:r>
      <w:r>
        <w:rPr>
          <w:rFonts w:ascii="Arial" w:cs="Arial" w:eastAsia="Arial" w:hAnsi="Arial"/>
          <w:sz w:val="21"/>
          <w:szCs w:val="21"/>
          <w:color w:val="auto"/>
          <w:vertAlign w:val="superscript"/>
        </w:rPr>
        <w:t>(9)</w:t>
      </w:r>
    </w:p>
    <w:p>
      <w:pPr>
        <w:ind w:left="20"/>
        <w:spacing w:after="0" w:line="222" w:lineRule="auto"/>
        <w:rPr>
          <w:sz w:val="20"/>
          <w:szCs w:val="20"/>
          <w:color w:val="auto"/>
        </w:rPr>
      </w:pPr>
      <w:r>
        <w:rPr>
          <w:rFonts w:ascii="Arial" w:cs="Arial" w:eastAsia="Arial" w:hAnsi="Arial"/>
          <w:sz w:val="14"/>
          <w:szCs w:val="14"/>
          <w:color w:val="auto"/>
        </w:rPr>
        <w:t>Weiman Products, LLC</w:t>
      </w:r>
    </w:p>
    <w:p>
      <w:pPr>
        <w:ind w:left="200"/>
        <w:spacing w:after="0" w:line="233" w:lineRule="auto"/>
        <w:rPr>
          <w:sz w:val="20"/>
          <w:szCs w:val="20"/>
          <w:color w:val="auto"/>
        </w:rPr>
      </w:pPr>
      <w:r>
        <w:rPr>
          <w:rFonts w:ascii="Arial" w:cs="Arial" w:eastAsia="Arial" w:hAnsi="Arial"/>
          <w:sz w:val="14"/>
          <w:szCs w:val="14"/>
          <w:i w:val="1"/>
          <w:iCs w:val="1"/>
          <w:color w:val="auto"/>
        </w:rPr>
        <w:t>Consumer goods:</w:t>
      </w:r>
    </w:p>
    <w:p>
      <w:pPr>
        <w:ind w:left="200"/>
        <w:spacing w:after="0" w:line="180" w:lineRule="auto"/>
        <w:rPr>
          <w:sz w:val="20"/>
          <w:szCs w:val="20"/>
          <w:color w:val="auto"/>
        </w:rPr>
      </w:pPr>
      <w:r>
        <w:rPr>
          <w:rFonts w:ascii="Arial" w:cs="Arial" w:eastAsia="Arial" w:hAnsi="Arial"/>
          <w:sz w:val="13"/>
          <w:szCs w:val="13"/>
          <w:i w:val="1"/>
          <w:iCs w:val="1"/>
          <w:color w:val="auto"/>
        </w:rPr>
        <w:t>Non-durable</w:t>
      </w:r>
      <w:r>
        <w:rPr>
          <w:rFonts w:ascii="Arial" w:cs="Arial" w:eastAsia="Arial" w:hAnsi="Arial"/>
          <w:sz w:val="21"/>
          <w:szCs w:val="21"/>
          <w:color w:val="auto"/>
          <w:vertAlign w:val="superscript"/>
        </w:rPr>
        <w:t>(9), (11)</w:t>
      </w:r>
    </w:p>
    <w:p>
      <w:pPr>
        <w:ind w:left="20"/>
        <w:spacing w:after="0" w:line="233" w:lineRule="auto"/>
        <w:rPr>
          <w:sz w:val="20"/>
          <w:szCs w:val="20"/>
          <w:color w:val="auto"/>
        </w:rPr>
      </w:pPr>
      <w:r>
        <w:rPr>
          <w:rFonts w:ascii="Arial" w:cs="Arial" w:eastAsia="Arial" w:hAnsi="Arial"/>
          <w:sz w:val="14"/>
          <w:szCs w:val="14"/>
          <w:color w:val="auto"/>
        </w:rPr>
        <w:t>WideOpenWest Finance, LLC</w:t>
      </w:r>
    </w:p>
    <w:p>
      <w:pPr>
        <w:ind w:left="200"/>
        <w:spacing w:after="0" w:line="180" w:lineRule="auto"/>
        <w:rPr>
          <w:sz w:val="20"/>
          <w:szCs w:val="20"/>
          <w:color w:val="auto"/>
        </w:rPr>
      </w:pPr>
      <w:r>
        <w:rPr>
          <w:rFonts w:ascii="Arial" w:cs="Arial" w:eastAsia="Arial" w:hAnsi="Arial"/>
          <w:sz w:val="13"/>
          <w:szCs w:val="13"/>
          <w:i w:val="1"/>
          <w:iCs w:val="1"/>
          <w:color w:val="auto"/>
        </w:rPr>
        <w:t>Telecommunications</w:t>
      </w:r>
      <w:r>
        <w:rPr>
          <w:rFonts w:ascii="Arial" w:cs="Arial" w:eastAsia="Arial" w:hAnsi="Arial"/>
          <w:sz w:val="21"/>
          <w:szCs w:val="21"/>
          <w:color w:val="auto"/>
          <w:vertAlign w:val="superscript"/>
        </w:rPr>
        <w:t>(9)</w:t>
      </w:r>
    </w:p>
    <w:p>
      <w:pPr>
        <w:ind w:left="20"/>
        <w:spacing w:after="0" w:line="234" w:lineRule="auto"/>
        <w:rPr>
          <w:sz w:val="20"/>
          <w:szCs w:val="20"/>
          <w:color w:val="auto"/>
        </w:rPr>
      </w:pPr>
      <w:r>
        <w:rPr>
          <w:rFonts w:ascii="Arial" w:cs="Arial" w:eastAsia="Arial" w:hAnsi="Arial"/>
          <w:sz w:val="14"/>
          <w:szCs w:val="14"/>
          <w:color w:val="auto"/>
        </w:rPr>
        <w:t>WireCo WorldGroup Inc.</w:t>
      </w:r>
    </w:p>
    <w:p>
      <w:pPr>
        <w:ind w:left="200"/>
        <w:spacing w:after="0" w:line="180" w:lineRule="auto"/>
        <w:rPr>
          <w:sz w:val="20"/>
          <w:szCs w:val="20"/>
          <w:color w:val="auto"/>
        </w:rPr>
      </w:pPr>
      <w:r>
        <w:rPr>
          <w:rFonts w:ascii="Arial" w:cs="Arial" w:eastAsia="Arial" w:hAnsi="Arial"/>
          <w:sz w:val="13"/>
          <w:szCs w:val="13"/>
          <w:i w:val="1"/>
          <w:iCs w:val="1"/>
          <w:color w:val="auto"/>
        </w:rPr>
        <w:t>Capital Equipment</w:t>
      </w:r>
      <w:r>
        <w:rPr>
          <w:rFonts w:ascii="Arial" w:cs="Arial" w:eastAsia="Arial" w:hAnsi="Arial"/>
          <w:sz w:val="21"/>
          <w:szCs w:val="21"/>
          <w:color w:val="auto"/>
          <w:vertAlign w:val="superscript"/>
        </w:rPr>
        <w:t>(9)</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  2,191,289</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  2,175,642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2,191,289</w:t>
            </w:r>
          </w:p>
        </w:tc>
      </w:tr>
      <w:tr>
        <w:trPr>
          <w:trHeight w:val="452"/>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3,440,528</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3,429,224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3,440,528</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2,861,935</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2,840,504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2,858,501</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Tranche B</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3,910,711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3,887,178</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3,656,515</w:t>
            </w:r>
          </w:p>
        </w:tc>
      </w:tr>
      <w:tr>
        <w:trPr>
          <w:trHeight w:val="155"/>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rPr>
              <w:t>Senior Secured Loan — Loan</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9.8%</w:t>
            </w:r>
          </w:p>
        </w:tc>
        <w:tc>
          <w:tcPr>
            <w:tcW w:w="2000" w:type="dxa"/>
            <w:vAlign w:val="bottom"/>
          </w:tcPr>
          <w:p>
            <w:pPr>
              <w:ind w:left="20"/>
              <w:spacing w:after="0"/>
              <w:rPr>
                <w:sz w:val="20"/>
                <w:szCs w:val="20"/>
                <w:color w:val="auto"/>
              </w:rPr>
            </w:pPr>
            <w:r>
              <w:rPr>
                <w:rFonts w:ascii="Arial" w:cs="Arial" w:eastAsia="Arial" w:hAnsi="Arial"/>
                <w:sz w:val="14"/>
                <w:szCs w:val="14"/>
                <w:color w:val="auto"/>
              </w:rPr>
              <w:t>Cash, 3.5% PIK, Due 8/19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10,385,331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10,212,907</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9,866,065</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5.5%</w:t>
            </w:r>
          </w:p>
        </w:tc>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Cash,, Due 10/21</w:t>
            </w: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3,000,000</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3,026,933</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3,009,375</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w w:val="99"/>
              </w:rPr>
              <w:t>Senior Unsecured Loan — Revolving</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9.0%</w:t>
            </w:r>
          </w:p>
        </w:tc>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Cash,, Due 11/17</w:t>
            </w: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23,000,000</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23,000,000</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23,000,000</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Junior Secured Loan — Term Loan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11.0% Cash,, Due 12/17</w:t>
            </w: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1,000,000</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988,097</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961,300</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Junior Secured Loan — Term Loan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1,004,005</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961,670</w:t>
            </w:r>
          </w:p>
        </w:tc>
      </w:tr>
      <w:tr>
        <w:trPr>
          <w:trHeight w:val="317"/>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3.5%</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2/17</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906,653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910,624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887,060</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w w:val="98"/>
              </w:rPr>
              <w:t>Senior Secured Loan — Term B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2,894,577</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2,890,893</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2,808,536</w:t>
            </w:r>
          </w:p>
        </w:tc>
      </w:tr>
      <w:tr>
        <w:trPr>
          <w:trHeight w:val="155"/>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3,970,000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3,952,343</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3,970,000</w:t>
            </w:r>
          </w:p>
        </w:tc>
      </w:tr>
      <w:tr>
        <w:trPr>
          <w:trHeight w:val="452"/>
        </w:trPr>
        <w:tc>
          <w:tcPr>
            <w:tcW w:w="2320" w:type="dxa"/>
            <w:vAlign w:val="bottom"/>
            <w:gridSpan w:val="2"/>
          </w:tcPr>
          <w:p>
            <w:pPr>
              <w:spacing w:after="0"/>
              <w:rPr>
                <w:sz w:val="20"/>
                <w:szCs w:val="20"/>
                <w:color w:val="auto"/>
              </w:rPr>
            </w:pPr>
            <w:r>
              <w:rPr>
                <w:rFonts w:ascii="Arial" w:cs="Arial" w:eastAsia="Arial" w:hAnsi="Arial"/>
                <w:sz w:val="14"/>
                <w:szCs w:val="14"/>
                <w:color w:val="auto"/>
                <w:w w:val="98"/>
              </w:rPr>
              <w:t>Senior Secured Loan — Term B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3.8%</w:t>
            </w:r>
          </w:p>
        </w:tc>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Cash,, Due 6/21</w:t>
            </w: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1,994,987</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1,999,927</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1,978,160</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 — Initial</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6.0%</w:t>
            </w:r>
          </w:p>
        </w:tc>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Cash,, Due 7/20</w:t>
            </w: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975,012</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961,553</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938,547</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Senior Secured Loan — Initial</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3,221,243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3,178,026</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3,100,769</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9/21</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2,866,953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2,843,300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2,838,284</w:t>
            </w:r>
          </w:p>
        </w:tc>
      </w:tr>
      <w:tr>
        <w:trPr>
          <w:trHeight w:val="155"/>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11/18</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2,972,255</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2,948,574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2,972,255</w:t>
            </w:r>
          </w:p>
        </w:tc>
      </w:tr>
      <w:tr>
        <w:trPr>
          <w:trHeight w:val="304"/>
        </w:trPr>
        <w:tc>
          <w:tcPr>
            <w:tcW w:w="23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11/18</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3,963,007</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3,932,167</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3,963,007</w:t>
            </w:r>
          </w:p>
        </w:tc>
      </w:tr>
      <w:tr>
        <w:trPr>
          <w:trHeight w:val="155"/>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w w:val="98"/>
              </w:rPr>
              <w:t>Senior Secured Loan — Term B Loan</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2,954,887</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2,971,397</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2,941,974</w:t>
            </w:r>
          </w:p>
        </w:tc>
      </w:tr>
      <w:tr>
        <w:trPr>
          <w:trHeight w:val="155"/>
        </w:trPr>
        <w:tc>
          <w:tcPr>
            <w:tcW w:w="2320" w:type="dxa"/>
            <w:vAlign w:val="bottom"/>
            <w:gridSpan w:val="2"/>
          </w:tcPr>
          <w:p>
            <w:pPr>
              <w:spacing w:after="0" w:line="155" w:lineRule="exact"/>
              <w:rPr>
                <w:sz w:val="20"/>
                <w:szCs w:val="20"/>
                <w:color w:val="auto"/>
              </w:rPr>
            </w:pPr>
            <w:r>
              <w:rPr>
                <w:rFonts w:ascii="Arial" w:cs="Arial" w:eastAsia="Arial" w:hAnsi="Arial"/>
                <w:sz w:val="14"/>
                <w:szCs w:val="14"/>
                <w:color w:val="auto"/>
              </w:rPr>
              <w:t>Senior Unsecured Bond —</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4"/>
                <w:szCs w:val="14"/>
                <w:color w:val="auto"/>
                <w:w w:val="93"/>
              </w:rPr>
              <w:t>9.0%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5,000,000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4,991,504</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-5861050</wp:posOffset>
            </wp:positionV>
            <wp:extent cx="5213985" cy="3086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-5149215</wp:posOffset>
            </wp:positionV>
            <wp:extent cx="5213985" cy="3086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-4437380</wp:posOffset>
            </wp:positionV>
            <wp:extent cx="5213985" cy="2146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-3914140</wp:posOffset>
            </wp:positionV>
            <wp:extent cx="5213985" cy="283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-3348355</wp:posOffset>
            </wp:positionV>
            <wp:extent cx="5213985" cy="283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-2747645</wp:posOffset>
            </wp:positionV>
            <wp:extent cx="5213985" cy="3086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-2225040</wp:posOffset>
            </wp:positionV>
            <wp:extent cx="5213985" cy="4032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-1538605</wp:posOffset>
            </wp:positionV>
            <wp:extent cx="5213985" cy="283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-946785</wp:posOffset>
            </wp:positionV>
            <wp:extent cx="5213985" cy="2146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-424180</wp:posOffset>
            </wp:positionV>
            <wp:extent cx="5213985" cy="2146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00" w:space="240"/>
            <w:col w:w="735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WireCo WorldGroup Inc.</w:t>
            </w:r>
          </w:p>
        </w:tc>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Senior Unsecured Bond —</w:t>
            </w: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6"/>
        </w:trPr>
        <w:tc>
          <w:tcPr>
            <w:tcW w:w="246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i w:val="1"/>
                <w:iCs w:val="1"/>
                <w:color w:val="auto"/>
              </w:rPr>
              <w:t>Capital Equipment</w:t>
            </w:r>
            <w:r>
              <w:rPr>
                <w:rFonts w:ascii="Arial" w:cs="Arial" w:eastAsia="Arial" w:hAnsi="Arial"/>
                <w:sz w:val="20"/>
                <w:szCs w:val="20"/>
                <w:color w:val="auto"/>
                <w:vertAlign w:val="superscript"/>
              </w:rPr>
              <w:t>(9), (11)</w:t>
            </w:r>
          </w:p>
        </w:tc>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9.0% Cash,, Due 5/17</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2,994,903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3,000,000</w:t>
            </w:r>
          </w:p>
        </w:tc>
      </w:tr>
      <w:tr>
        <w:trPr>
          <w:trHeight w:val="119"/>
        </w:trPr>
        <w:tc>
          <w:tcPr>
            <w:tcW w:w="2460" w:type="dxa"/>
            <w:vAlign w:val="bottom"/>
            <w:tcBorders>
              <w:top w:val="single" w:sz="8" w:color="CCEEFF"/>
            </w:tcBorders>
          </w:tcPr>
          <w:p>
            <w:pPr>
              <w:ind w:left="20"/>
              <w:spacing w:after="0" w:line="119" w:lineRule="exact"/>
              <w:rPr>
                <w:sz w:val="20"/>
                <w:szCs w:val="20"/>
                <w:color w:val="auto"/>
              </w:rPr>
            </w:pPr>
            <w:r>
              <w:rPr>
                <w:rFonts w:ascii="Arial" w:cs="Arial" w:eastAsia="Arial" w:hAnsi="Arial"/>
                <w:sz w:val="13"/>
                <w:szCs w:val="13"/>
                <w:b w:val="1"/>
                <w:bCs w:val="1"/>
                <w:color w:val="auto"/>
              </w:rPr>
              <w:t>Total Investment in Debt Securities</w:t>
            </w:r>
          </w:p>
        </w:tc>
        <w:tc>
          <w:tcPr>
            <w:tcW w:w="274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r>
      <w:tr>
        <w:trPr>
          <w:trHeight w:val="149"/>
        </w:trPr>
        <w:tc>
          <w:tcPr>
            <w:tcW w:w="24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(125% of net asset value at fair</w:t>
            </w: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2460" w:type="dxa"/>
            <w:vAlign w:val="bottom"/>
          </w:tcPr>
          <w:p>
            <w:pPr>
              <w:ind w:left="200"/>
              <w:spacing w:after="0"/>
              <w:rPr>
                <w:sz w:val="20"/>
                <w:szCs w:val="20"/>
                <w:color w:val="auto"/>
              </w:rPr>
            </w:pPr>
            <w:r>
              <w:rPr>
                <w:rFonts w:ascii="Arial" w:cs="Arial" w:eastAsia="Arial" w:hAnsi="Arial"/>
                <w:sz w:val="14"/>
                <w:szCs w:val="14"/>
                <w:b w:val="1"/>
                <w:bCs w:val="1"/>
                <w:color w:val="auto"/>
              </w:rPr>
              <w:t>value)</w:t>
            </w:r>
          </w:p>
        </w:tc>
        <w:tc>
          <w:tcPr>
            <w:tcW w:w="2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$ 324,808,055</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$ 322,884,934</w:t>
            </w:r>
          </w:p>
        </w:tc>
        <w:tc>
          <w:tcPr>
            <w:tcW w:w="20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  320,143,170</w:t>
            </w:r>
          </w:p>
        </w:tc>
      </w:tr>
      <w:tr>
        <w:trPr>
          <w:trHeight w:val="20"/>
        </w:trPr>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-299720</wp:posOffset>
            </wp:positionV>
            <wp:extent cx="5213985" cy="3003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8" w:name="page99"/>
    <w:bookmarkEnd w:id="9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16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Interest/Shares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250,961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648,764</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B 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C Warrants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 Stock 2013</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314,325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391,932</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(9)</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359,765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624,304</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258,940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746,964</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1,079,617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2,351,329</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891,000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573,750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185,204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99,752</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1,788,886</w:t>
            </w:r>
          </w:p>
        </w:tc>
        <w:tc>
          <w:tcPr>
            <w:tcW w:w="0" w:type="dxa"/>
            <w:vAlign w:val="bottom"/>
          </w:tcPr>
          <w:p>
            <w:pPr>
              <w:spacing w:after="0"/>
              <w:rPr>
                <w:sz w:val="1"/>
                <w:szCs w:val="1"/>
                <w:color w:val="auto"/>
              </w:rPr>
            </w:pPr>
          </w:p>
        </w:tc>
      </w:tr>
      <w:tr>
        <w:trPr>
          <w:trHeight w:val="119"/>
        </w:trPr>
        <w:tc>
          <w:tcPr>
            <w:tcW w:w="2800" w:type="dxa"/>
            <w:vAlign w:val="bottom"/>
            <w:tcBorders>
              <w:top w:val="single" w:sz="8" w:color="CCEEFF"/>
            </w:tcBorders>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w:t>
            </w:r>
          </w:p>
        </w:tc>
        <w:tc>
          <w:tcPr>
            <w:tcW w:w="160" w:type="dxa"/>
            <w:vAlign w:val="bottom"/>
            <w:tcBorders>
              <w:top w:val="single" w:sz="8" w:color="CCEEFF"/>
            </w:tcBorders>
          </w:tcPr>
          <w:p>
            <w:pPr>
              <w:spacing w:after="0"/>
              <w:rPr>
                <w:sz w:val="10"/>
                <w:szCs w:val="10"/>
                <w:color w:val="auto"/>
              </w:rPr>
            </w:pPr>
          </w:p>
        </w:tc>
        <w:tc>
          <w:tcPr>
            <w:tcW w:w="19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0"/>
              <w:spacing w:after="0"/>
              <w:rPr>
                <w:sz w:val="20"/>
                <w:szCs w:val="20"/>
                <w:color w:val="auto"/>
              </w:rPr>
            </w:pPr>
            <w:r>
              <w:rPr>
                <w:rFonts w:ascii="Arial" w:cs="Arial" w:eastAsia="Arial" w:hAnsi="Arial"/>
                <w:sz w:val="14"/>
                <w:szCs w:val="14"/>
                <w:b w:val="1"/>
                <w:bCs w:val="1"/>
                <w:color w:val="auto"/>
              </w:rPr>
              <w:t>(3% of net asset value at fair value)</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8,828,812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8,119,681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057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22.2%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$ 2,254,638</w:t>
            </w:r>
          </w:p>
        </w:tc>
        <w:tc>
          <w:tcPr>
            <w:tcW w:w="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469,131</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23.1%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1,015,334</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16.4%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3,563,252</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10.3%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2,755,267</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6.9%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1,262,496</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594,989</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33.3%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8,910,471</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4,863,001</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w w:val="96"/>
              </w:rPr>
              <w:t>Katonah 2007-I CLO Ltd.</w:t>
            </w:r>
            <w:r>
              <w:rPr>
                <w:rFonts w:ascii="Arial" w:cs="Arial" w:eastAsia="Arial" w:hAnsi="Arial"/>
                <w:sz w:val="29"/>
                <w:szCs w:val="29"/>
                <w:color w:val="auto"/>
                <w:w w:val="96"/>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23,471,779</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25,191,782</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19.0%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11,094</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Subordinate Notes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1,292,698</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1,657,020</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16.0%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1,531,142</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1,399,074</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2,084,394</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w w:val="87"/>
              </w:rPr>
              <w:t>Catamaran CLO 2012-1 Ltd.</w:t>
            </w:r>
            <w:r>
              <w:rPr>
                <w:rFonts w:ascii="Arial" w:cs="Arial" w:eastAsia="Arial" w:hAnsi="Arial"/>
                <w:sz w:val="29"/>
                <w:szCs w:val="29"/>
                <w:color w:val="auto"/>
                <w:w w:val="87"/>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24.9%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7,994,677</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5,793,924</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w w:val="87"/>
              </w:rPr>
              <w:t>Catamaran CLO 2013-1 Ltd.</w:t>
            </w:r>
            <w:r>
              <w:rPr>
                <w:rFonts w:ascii="Arial" w:cs="Arial" w:eastAsia="Arial" w:hAnsi="Arial"/>
                <w:sz w:val="29"/>
                <w:szCs w:val="29"/>
                <w:color w:val="auto"/>
                <w:w w:val="87"/>
                <w:vertAlign w:val="superscript"/>
              </w:rPr>
              <w:t>(3), (6)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23.5%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7,492,702</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7,874,910</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w w:val="87"/>
              </w:rPr>
              <w:t>Catamaran CLO 2014-1 Ltd.</w:t>
            </w:r>
            <w:r>
              <w:rPr>
                <w:rFonts w:ascii="Arial" w:cs="Arial" w:eastAsia="Arial" w:hAnsi="Arial"/>
                <w:sz w:val="29"/>
                <w:szCs w:val="29"/>
                <w:color w:val="auto"/>
                <w:w w:val="87"/>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24.9%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10,473,628</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8,867,176</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w w:val="98"/>
              </w:rPr>
              <w:t>Dryden 30 Senior Loan Fund</w:t>
            </w:r>
            <w:r>
              <w:rPr>
                <w:rFonts w:ascii="Arial" w:cs="Arial" w:eastAsia="Arial" w:hAnsi="Arial"/>
                <w:sz w:val="29"/>
                <w:szCs w:val="29"/>
                <w:color w:val="auto"/>
                <w:w w:val="98"/>
                <w:vertAlign w:val="superscript"/>
              </w:rPr>
              <w:t>(3)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2,263,321</w:t>
            </w:r>
          </w:p>
        </w:tc>
        <w:tc>
          <w:tcPr>
            <w:tcW w:w="4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2,506,075</w:t>
            </w:r>
          </w:p>
        </w:tc>
        <w:tc>
          <w:tcPr>
            <w:tcW w:w="0" w:type="dxa"/>
            <w:vAlign w:val="bottom"/>
          </w:tcPr>
          <w:p>
            <w:pPr>
              <w:spacing w:after="0"/>
              <w:rPr>
                <w:sz w:val="1"/>
                <w:szCs w:val="1"/>
                <w:color w:val="auto"/>
              </w:rPr>
            </w:pPr>
          </w:p>
        </w:tc>
      </w:tr>
      <w:tr>
        <w:trPr>
          <w:trHeight w:val="257"/>
        </w:trPr>
        <w:tc>
          <w:tcPr>
            <w:tcW w:w="2540" w:type="dxa"/>
            <w:vAlign w:val="bottom"/>
          </w:tcPr>
          <w:p>
            <w:pPr>
              <w:ind w:left="20"/>
              <w:spacing w:after="0" w:line="256" w:lineRule="exact"/>
              <w:rPr>
                <w:sz w:val="20"/>
                <w:szCs w:val="20"/>
                <w:color w:val="auto"/>
              </w:rPr>
            </w:pPr>
            <w:r>
              <w:rPr>
                <w:rFonts w:ascii="Arial" w:cs="Arial" w:eastAsia="Arial" w:hAnsi="Arial"/>
                <w:sz w:val="18"/>
                <w:szCs w:val="18"/>
                <w:color w:val="auto"/>
                <w:w w:val="87"/>
              </w:rPr>
              <w:t>Catamaran CLO 2014-2 Ltd.</w:t>
            </w:r>
            <w:r>
              <w:rPr>
                <w:rFonts w:ascii="Arial" w:cs="Arial" w:eastAsia="Arial" w:hAnsi="Arial"/>
                <w:sz w:val="29"/>
                <w:szCs w:val="29"/>
                <w:color w:val="auto"/>
                <w:w w:val="87"/>
                <w:vertAlign w:val="superscript"/>
              </w:rPr>
              <w:t>(3), (6)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3"/>
          </w:tcPr>
          <w:p>
            <w:pPr>
              <w:jc w:val="right"/>
              <w:ind w:right="48"/>
              <w:spacing w:after="0"/>
              <w:rPr>
                <w:sz w:val="20"/>
                <w:szCs w:val="20"/>
                <w:color w:val="auto"/>
              </w:rPr>
            </w:pPr>
            <w:r>
              <w:rPr>
                <w:rFonts w:ascii="Arial" w:cs="Arial" w:eastAsia="Arial" w:hAnsi="Arial"/>
                <w:sz w:val="18"/>
                <w:szCs w:val="18"/>
                <w:color w:val="auto"/>
              </w:rPr>
              <w:t>24.9%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9,862,799</w:t>
            </w:r>
          </w:p>
        </w:tc>
        <w:tc>
          <w:tcPr>
            <w:tcW w:w="40" w:type="dxa"/>
            <w:vAlign w:val="bottom"/>
          </w:tcPr>
          <w:p>
            <w:pPr>
              <w:spacing w:after="0"/>
              <w:rPr>
                <w:sz w:val="22"/>
                <w:szCs w:val="22"/>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8,761,500</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2"/>
              </w:rPr>
              <w:t>Preferred Shares and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85,554,372</w:t>
            </w:r>
          </w:p>
        </w:tc>
        <w:tc>
          <w:tcPr>
            <w:tcW w:w="4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72,014,902</w:t>
            </w:r>
          </w:p>
        </w:tc>
        <w:tc>
          <w:tcPr>
            <w:tcW w:w="0" w:type="dxa"/>
            <w:vAlign w:val="bottom"/>
          </w:tcPr>
          <w:p>
            <w:pPr>
              <w:spacing w:after="0"/>
              <w:rPr>
                <w:sz w:val="1"/>
                <w:szCs w:val="1"/>
                <w:color w:val="auto"/>
              </w:rPr>
            </w:pPr>
          </w:p>
        </w:tc>
      </w:tr>
      <w:tr>
        <w:trPr>
          <w:trHeight w:val="358"/>
        </w:trPr>
        <w:tc>
          <w:tcPr>
            <w:tcW w:w="254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w w:val="98"/>
              </w:rPr>
              <w:t>CLO Rated-Note Investments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Catamaran CLO 2012-1 Ltd.</w:t>
            </w:r>
          </w:p>
        </w:tc>
        <w:tc>
          <w:tcPr>
            <w:tcW w:w="10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80"/>
              <w:spacing w:after="0" w:line="195" w:lineRule="exact"/>
              <w:rPr>
                <w:sz w:val="20"/>
                <w:szCs w:val="20"/>
                <w:color w:val="auto"/>
              </w:rPr>
            </w:pPr>
            <w:r>
              <w:rPr>
                <w:rFonts w:ascii="Arial" w:cs="Arial" w:eastAsia="Arial" w:hAnsi="Arial"/>
                <w:sz w:val="18"/>
                <w:szCs w:val="18"/>
                <w:color w:val="auto"/>
              </w:rPr>
              <w:t>Float – 12/2023 – F –</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14889CAE0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Par Value of $4,500,000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42.9%, Due 12/23</w:t>
            </w:r>
          </w:p>
        </w:tc>
        <w:tc>
          <w:tcPr>
            <w:tcW w:w="10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3,917,442</w:t>
            </w:r>
          </w:p>
        </w:tc>
        <w:tc>
          <w:tcPr>
            <w:tcW w:w="4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4,160,000</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Float – 04/2026 – E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14889FAC7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Par Value of $1,525,000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Catamaran CLO 2014-1 Ltd.</w:t>
            </w:r>
          </w:p>
        </w:tc>
        <w:tc>
          <w:tcPr>
            <w:tcW w:w="100" w:type="dxa"/>
            <w:vAlign w:val="bottom"/>
          </w:tcPr>
          <w:p>
            <w:pPr>
              <w:spacing w:after="0"/>
              <w:rPr>
                <w:sz w:val="20"/>
                <w:szCs w:val="20"/>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15.1%, Due 4/26</w:t>
            </w:r>
          </w:p>
        </w:tc>
        <w:tc>
          <w:tcPr>
            <w:tcW w:w="1000" w:type="dxa"/>
            <w:vAlign w:val="bottom"/>
            <w:gridSpan w:val="3"/>
          </w:tcPr>
          <w:p>
            <w:pPr>
              <w:jc w:val="right"/>
              <w:ind w:right="88"/>
              <w:spacing w:after="0"/>
              <w:rPr>
                <w:sz w:val="20"/>
                <w:szCs w:val="20"/>
                <w:color w:val="auto"/>
              </w:rPr>
            </w:pPr>
            <w:r>
              <w:rPr>
                <w:rFonts w:ascii="Arial" w:cs="Arial" w:eastAsia="Arial" w:hAnsi="Arial"/>
                <w:sz w:val="18"/>
                <w:szCs w:val="18"/>
                <w:color w:val="auto"/>
              </w:rPr>
              <w:t>15.1%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1,417,376</w:t>
            </w:r>
          </w:p>
        </w:tc>
        <w:tc>
          <w:tcPr>
            <w:tcW w:w="4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1,340,000</w:t>
            </w:r>
          </w:p>
        </w:tc>
        <w:tc>
          <w:tcPr>
            <w:tcW w:w="0" w:type="dxa"/>
            <w:vAlign w:val="bottom"/>
          </w:tcPr>
          <w:p>
            <w:pPr>
              <w:spacing w:after="0"/>
              <w:rPr>
                <w:sz w:val="1"/>
                <w:szCs w:val="1"/>
                <w:color w:val="auto"/>
              </w:rPr>
            </w:pPr>
          </w:p>
        </w:tc>
      </w:tr>
      <w:tr>
        <w:trPr>
          <w:trHeight w:val="191"/>
        </w:trPr>
        <w:tc>
          <w:tcPr>
            <w:tcW w:w="2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3"/>
              </w:rPr>
              <w:t>Total Investment in CLO Rated-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5,334,818</w:t>
            </w:r>
          </w:p>
        </w:tc>
        <w:tc>
          <w:tcPr>
            <w:tcW w:w="4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191"/>
        </w:trPr>
        <w:tc>
          <w:tcPr>
            <w:tcW w:w="254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7"/>
              </w:rPr>
              <w:t>Total Investment in CLO Fund</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b w:val="1"/>
                <w:bCs w:val="1"/>
                <w:color w:val="auto"/>
                <w:w w:val="97"/>
              </w:rPr>
              <w:t>Securities (30% of net asset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90,889,190</w:t>
            </w:r>
          </w:p>
        </w:tc>
        <w:tc>
          <w:tcPr>
            <w:tcW w:w="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77,514,902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-427990</wp:posOffset>
            </wp:positionV>
            <wp:extent cx="5213985" cy="4286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-2083435</wp:posOffset>
            </wp:positionV>
            <wp:extent cx="52139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8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gridSpan w:val="3"/>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Interest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Asset Manager Affiliates</w:t>
            </w:r>
          </w:p>
        </w:tc>
        <w:tc>
          <w:tcPr>
            <w:tcW w:w="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Asset Management Company</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100.0%</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7"/>
              </w:rPr>
              <w:t>$ 60,292,677</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$ 72,326,000</w:t>
            </w:r>
          </w:p>
        </w:tc>
        <w:tc>
          <w:tcPr>
            <w:tcW w:w="0" w:type="dxa"/>
            <w:vAlign w:val="bottom"/>
          </w:tcPr>
          <w:p>
            <w:pPr>
              <w:spacing w:after="0"/>
              <w:rPr>
                <w:sz w:val="1"/>
                <w:szCs w:val="1"/>
                <w:color w:val="auto"/>
              </w:rPr>
            </w:pPr>
          </w:p>
        </w:tc>
      </w:tr>
      <w:tr>
        <w:trPr>
          <w:trHeight w:val="191"/>
        </w:trPr>
        <w:tc>
          <w:tcPr>
            <w:tcW w:w="2860" w:type="dxa"/>
            <w:vAlign w:val="bottom"/>
            <w:tcBorders>
              <w:top w:val="single" w:sz="8" w:color="CCEEFF"/>
            </w:tcBorders>
            <w:gridSpan w:val="5"/>
          </w:tcPr>
          <w:p>
            <w:pPr>
              <w:ind w:left="20"/>
              <w:spacing w:after="0" w:line="191" w:lineRule="exact"/>
              <w:rPr>
                <w:sz w:val="20"/>
                <w:szCs w:val="20"/>
                <w:color w:val="auto"/>
              </w:rPr>
            </w:pPr>
            <w:r>
              <w:rPr>
                <w:rFonts w:ascii="Arial" w:cs="Arial" w:eastAsia="Arial" w:hAnsi="Arial"/>
                <w:sz w:val="18"/>
                <w:szCs w:val="18"/>
                <w:b w:val="1"/>
                <w:bCs w:val="1"/>
                <w:color w:val="auto"/>
                <w:w w:val="94"/>
              </w:rPr>
              <w:t>Total Investment in Asset Manager</w:t>
            </w:r>
          </w:p>
        </w:tc>
        <w:tc>
          <w:tcPr>
            <w:tcW w:w="40" w:type="dxa"/>
            <w:vAlign w:val="bottom"/>
            <w:tcBorders>
              <w:top w:val="single" w:sz="8" w:color="CCEEFF"/>
            </w:tcBorders>
          </w:tcPr>
          <w:p>
            <w:pPr>
              <w:spacing w:after="0"/>
              <w:rPr>
                <w:sz w:val="16"/>
                <w:szCs w:val="16"/>
                <w:color w:val="auto"/>
              </w:rPr>
            </w:pPr>
          </w:p>
        </w:tc>
        <w:tc>
          <w:tcPr>
            <w:tcW w:w="2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Affiliates (28% of net asset value</w:t>
            </w:r>
          </w:p>
        </w:tc>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gridSpan w:val="4"/>
          </w:tcPr>
          <w:p>
            <w:pPr>
              <w:ind w:left="180"/>
              <w:spacing w:after="0"/>
              <w:rPr>
                <w:sz w:val="20"/>
                <w:szCs w:val="20"/>
                <w:color w:val="auto"/>
              </w:rPr>
            </w:pPr>
            <w:r>
              <w:rPr>
                <w:rFonts w:ascii="Arial" w:cs="Arial" w:eastAsia="Arial" w:hAnsi="Arial"/>
                <w:sz w:val="18"/>
                <w:szCs w:val="18"/>
                <w:b w:val="1"/>
                <w:bCs w:val="1"/>
                <w:color w:val="auto"/>
              </w:rPr>
              <w:t>at fair value)</w:t>
            </w:r>
          </w:p>
        </w:tc>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60,292,677</w:t>
            </w:r>
          </w:p>
        </w:tc>
        <w:tc>
          <w:tcPr>
            <w:tcW w:w="40" w:type="dxa"/>
            <w:vAlign w:val="bottom"/>
          </w:tcPr>
          <w:p>
            <w:pPr>
              <w:spacing w:after="0"/>
              <w:rPr>
                <w:sz w:val="20"/>
                <w:szCs w:val="20"/>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72,326,000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gridSpan w:val="8"/>
          </w:tcPr>
          <w:p>
            <w:pPr>
              <w:ind w:left="40"/>
              <w:spacing w:after="0"/>
              <w:rPr>
                <w:sz w:val="20"/>
                <w:szCs w:val="20"/>
                <w:color w:val="auto"/>
              </w:rPr>
            </w:pPr>
            <w:r>
              <w:rPr>
                <w:rFonts w:ascii="Arial" w:cs="Arial" w:eastAsia="Arial" w:hAnsi="Arial"/>
                <w:sz w:val="18"/>
                <w:szCs w:val="18"/>
                <w:b w:val="1"/>
                <w:bCs w:val="1"/>
                <w:color w:val="auto"/>
              </w:rPr>
              <w:t>Time Deposits and Money Market Account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Time Deposit and Money Market Accounts</w:t>
            </w:r>
          </w:p>
        </w:tc>
        <w:tc>
          <w:tcPr>
            <w:tcW w:w="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Yield</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6"/>
              </w:rPr>
              <w:t>Par/Amortized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60" w:type="dxa"/>
            <w:vAlign w:val="bottom"/>
            <w:gridSpan w:val="5"/>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JP Morgan Business Money Market</w:t>
            </w:r>
          </w:p>
        </w:tc>
        <w:tc>
          <w:tcPr>
            <w:tcW w:w="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8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w:t>
            </w:r>
          </w:p>
        </w:tc>
        <w:tc>
          <w:tcPr>
            <w:tcW w:w="4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Money Market Account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249,105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249,105</w:t>
            </w:r>
          </w:p>
        </w:tc>
        <w:tc>
          <w:tcPr>
            <w:tcW w:w="0" w:type="dxa"/>
            <w:vAlign w:val="bottom"/>
          </w:tcPr>
          <w:p>
            <w:pPr>
              <w:spacing w:after="0"/>
              <w:rPr>
                <w:sz w:val="1"/>
                <w:szCs w:val="1"/>
                <w:color w:val="auto"/>
              </w:rPr>
            </w:pPr>
          </w:p>
        </w:tc>
      </w:tr>
      <w:tr>
        <w:trPr>
          <w:trHeight w:val="202"/>
        </w:trPr>
        <w:tc>
          <w:tcPr>
            <w:tcW w:w="286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US Bank Money Market</w:t>
            </w: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4"/>
          </w:tcPr>
          <w:p>
            <w:pPr>
              <w:ind w:left="180"/>
              <w:spacing w:after="0"/>
              <w:rPr>
                <w:sz w:val="20"/>
                <w:szCs w:val="20"/>
                <w:color w:val="auto"/>
              </w:rPr>
            </w:pPr>
            <w:r>
              <w:rPr>
                <w:rFonts w:ascii="Arial" w:cs="Arial" w:eastAsia="Arial" w:hAnsi="Arial"/>
                <w:sz w:val="18"/>
                <w:szCs w:val="18"/>
                <w:color w:val="auto"/>
              </w:rPr>
              <w:t>Account</w:t>
            </w:r>
          </w:p>
        </w:tc>
        <w:tc>
          <w:tcPr>
            <w:tcW w:w="40" w:type="dxa"/>
            <w:vAlign w:val="bottom"/>
          </w:tcPr>
          <w:p>
            <w:pPr>
              <w:spacing w:after="0"/>
              <w:rPr>
                <w:sz w:val="20"/>
                <w:szCs w:val="20"/>
                <w:color w:val="auto"/>
              </w:rPr>
            </w:pPr>
          </w:p>
        </w:tc>
        <w:tc>
          <w:tcPr>
            <w:tcW w:w="2260" w:type="dxa"/>
            <w:vAlign w:val="bottom"/>
            <w:gridSpan w:val="3"/>
          </w:tcPr>
          <w:p>
            <w:pPr>
              <w:ind w:left="80"/>
              <w:spacing w:after="0"/>
              <w:rPr>
                <w:sz w:val="20"/>
                <w:szCs w:val="20"/>
                <w:color w:val="auto"/>
              </w:rPr>
            </w:pPr>
            <w:r>
              <w:rPr>
                <w:rFonts w:ascii="Arial" w:cs="Arial" w:eastAsia="Arial" w:hAnsi="Arial"/>
                <w:sz w:val="18"/>
                <w:szCs w:val="18"/>
                <w:color w:val="auto"/>
              </w:rPr>
              <w:t>Money Market Account</w:t>
            </w:r>
          </w:p>
        </w:tc>
        <w:tc>
          <w:tcPr>
            <w:tcW w:w="760" w:type="dxa"/>
            <w:vAlign w:val="bottom"/>
            <w:gridSpan w:val="2"/>
          </w:tcPr>
          <w:p>
            <w:pPr>
              <w:jc w:val="right"/>
              <w:ind w:right="48"/>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1,353,636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1,353,636</w:t>
            </w:r>
          </w:p>
        </w:tc>
        <w:tc>
          <w:tcPr>
            <w:tcW w:w="0" w:type="dxa"/>
            <w:vAlign w:val="bottom"/>
          </w:tcPr>
          <w:p>
            <w:pPr>
              <w:spacing w:after="0"/>
              <w:rPr>
                <w:sz w:val="1"/>
                <w:szCs w:val="1"/>
                <w:color w:val="auto"/>
              </w:rPr>
            </w:pPr>
          </w:p>
        </w:tc>
      </w:tr>
      <w:tr>
        <w:trPr>
          <w:trHeight w:val="191"/>
        </w:trPr>
        <w:tc>
          <w:tcPr>
            <w:tcW w:w="2860" w:type="dxa"/>
            <w:vAlign w:val="bottom"/>
            <w:gridSpan w:val="5"/>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Total Investment in Time Deposit</w:t>
            </w:r>
          </w:p>
        </w:tc>
        <w:tc>
          <w:tcPr>
            <w:tcW w:w="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and Money Market Accounts (1%</w:t>
            </w:r>
          </w:p>
        </w:tc>
        <w:tc>
          <w:tcPr>
            <w:tcW w:w="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4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of net asset value at fair value)</w:t>
            </w:r>
          </w:p>
        </w:tc>
        <w:tc>
          <w:tcPr>
            <w:tcW w:w="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1,602,741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0" w:type="dxa"/>
            <w:vAlign w:val="bottom"/>
          </w:tcPr>
          <w:p>
            <w:pPr>
              <w:spacing w:after="0"/>
              <w:rPr>
                <w:sz w:val="1"/>
                <w:szCs w:val="1"/>
                <w:color w:val="auto"/>
              </w:rPr>
            </w:pPr>
          </w:p>
        </w:tc>
      </w:tr>
      <w:tr>
        <w:trPr>
          <w:trHeight w:val="232"/>
        </w:trPr>
        <w:tc>
          <w:tcPr>
            <w:tcW w:w="2860" w:type="dxa"/>
            <w:vAlign w:val="bottom"/>
            <w:tcBorders>
              <w:top w:val="single" w:sz="8" w:color="CCEEFF"/>
            </w:tcBorders>
            <w:gridSpan w:val="5"/>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(188% of net</w:t>
            </w:r>
          </w:p>
        </w:tc>
        <w:tc>
          <w:tcPr>
            <w:tcW w:w="40" w:type="dxa"/>
            <w:vAlign w:val="bottom"/>
            <w:tcBorders>
              <w:top w:val="single" w:sz="8" w:color="CCEEFF"/>
            </w:tcBorders>
          </w:tcPr>
          <w:p>
            <w:pPr>
              <w:spacing w:after="0"/>
              <w:rPr>
                <w:sz w:val="20"/>
                <w:szCs w:val="20"/>
                <w:color w:val="auto"/>
              </w:rPr>
            </w:pPr>
          </w:p>
        </w:tc>
        <w:tc>
          <w:tcPr>
            <w:tcW w:w="2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gridSpan w:val="4"/>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484,498,354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479,706,494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-2451735</wp:posOffset>
            </wp:positionV>
            <wp:extent cx="5213985" cy="4286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-522605</wp:posOffset>
            </wp:positionV>
            <wp:extent cx="5213985" cy="3429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3985" cy="3429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-1765935</wp:posOffset>
            </wp:positionV>
            <wp:extent cx="52139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variable rate loans to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2014. As noted in the table above, 75% (based on par) of debt securities contain LIBOR floors which range between 0.75% and 3.00%.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2014,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939" w:hanging="272"/>
        <w:spacing w:after="0" w:line="264"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cost of investments for federal income tax purposes is approximately $502 million. The aggregate gross unrealized appreciation is approximately $15.7 million, the aggregate gross unrealized depreciation is approximately $37.7 million, and the net unrealized depreciation is approximately $22 million.</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40" w:hanging="31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of December 31, 2014, this CLO Fund Security was not providing a dividend distribution.</w:t>
      </w:r>
    </w:p>
    <w:p>
      <w:pPr>
        <w:spacing w:after="0" w:line="129" w:lineRule="exact"/>
        <w:rPr>
          <w:sz w:val="20"/>
          <w:szCs w:val="20"/>
          <w:color w:val="auto"/>
        </w:rPr>
      </w:pPr>
    </w:p>
    <w:p>
      <w:pPr>
        <w:ind w:left="320" w:right="939" w:hanging="296"/>
        <w:spacing w:after="0" w:line="277" w:lineRule="auto"/>
        <w:rPr>
          <w:sz w:val="20"/>
          <w:szCs w:val="20"/>
          <w:color w:val="auto"/>
        </w:rPr>
      </w:pPr>
      <w:r>
        <w:rPr>
          <w:rFonts w:ascii="Arial" w:cs="Arial" w:eastAsia="Arial" w:hAnsi="Arial"/>
          <w:sz w:val="18"/>
          <w:szCs w:val="18"/>
          <w:color w:val="auto"/>
        </w:rPr>
        <w:t>(11)As of December 31, 2014, investment was owned by KCAP Senior Funding I, LLC and has been pledged to secure KCAP Senior Funding I, LLC’s obligation.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(12)Affiliated portfolio company.</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914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3"/>
                <w:szCs w:val="13"/>
                <w:b w:val="1"/>
                <w:bCs w:val="1"/>
                <w:color w:val="auto"/>
              </w:rPr>
              <w:t>For the Years Ended December 31,</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3"/>
                <w:szCs w:val="13"/>
                <w:b w:val="1"/>
                <w:bCs w:val="1"/>
                <w:color w:val="auto"/>
              </w:rPr>
              <w:t>2015</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asset value, at beginning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89"/>
        </w:trPr>
        <w:tc>
          <w:tcPr>
            <w:tcW w:w="3160" w:type="dxa"/>
            <w:vAlign w:val="bottom"/>
          </w:tcPr>
          <w:p>
            <w:pPr>
              <w:ind w:left="200"/>
              <w:spacing w:after="0" w:line="189" w:lineRule="exact"/>
              <w:rPr>
                <w:sz w:val="20"/>
                <w:szCs w:val="20"/>
                <w:color w:val="auto"/>
              </w:rPr>
            </w:pPr>
            <w:r>
              <w:rPr>
                <w:rFonts w:ascii="Arial" w:cs="Arial" w:eastAsia="Arial" w:hAnsi="Arial"/>
                <w:sz w:val="13"/>
                <w:szCs w:val="13"/>
                <w:color w:val="auto"/>
              </w:rPr>
              <w:t>Net investment income</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0.62</w:t>
            </w:r>
          </w:p>
        </w:tc>
        <w:tc>
          <w:tcPr>
            <w:tcW w:w="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0"/>
        </w:trPr>
        <w:tc>
          <w:tcPr>
            <w:tcW w:w="316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Net realized losses from investment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380"/>
              <w:spacing w:after="0" w:line="198" w:lineRule="exact"/>
              <w:rPr>
                <w:sz w:val="20"/>
                <w:szCs w:val="20"/>
                <w:color w:val="auto"/>
              </w:rPr>
            </w:pPr>
            <w:r>
              <w:rPr>
                <w:rFonts w:ascii="Arial" w:cs="Arial" w:eastAsia="Arial" w:hAnsi="Arial"/>
                <w:sz w:val="14"/>
                <w:szCs w:val="14"/>
                <w:color w:val="auto"/>
              </w:rPr>
              <w:t>transactions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(0.37)</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40"/>
        </w:trPr>
        <w:tc>
          <w:tcPr>
            <w:tcW w:w="3160" w:type="dxa"/>
            <w:vAlign w:val="bottom"/>
          </w:tcPr>
          <w:p>
            <w:pPr>
              <w:ind w:left="200"/>
              <w:spacing w:after="0" w:line="140" w:lineRule="exact"/>
              <w:rPr>
                <w:sz w:val="20"/>
                <w:szCs w:val="20"/>
                <w:color w:val="auto"/>
              </w:rPr>
            </w:pPr>
            <w:r>
              <w:rPr>
                <w:rFonts w:ascii="Arial" w:cs="Arial" w:eastAsia="Arial" w:hAnsi="Arial"/>
                <w:sz w:val="14"/>
                <w:szCs w:val="14"/>
                <w:color w:val="auto"/>
              </w:rPr>
              <w:t>Realized losses from extinguishments of</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380"/>
              <w:spacing w:after="0" w:line="198" w:lineRule="exact"/>
              <w:rPr>
                <w:sz w:val="20"/>
                <w:szCs w:val="20"/>
                <w:color w:val="auto"/>
              </w:rPr>
            </w:pPr>
            <w:r>
              <w:rPr>
                <w:rFonts w:ascii="Arial" w:cs="Arial" w:eastAsia="Arial" w:hAnsi="Arial"/>
                <w:sz w:val="14"/>
                <w:szCs w:val="14"/>
                <w:color w:val="auto"/>
              </w:rPr>
              <w:t>debt</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316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Net change in unrealized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380"/>
              <w:spacing w:after="0" w:line="198" w:lineRule="exact"/>
              <w:rPr>
                <w:sz w:val="20"/>
                <w:szCs w:val="20"/>
                <w:color w:val="auto"/>
              </w:rPr>
            </w:pPr>
            <w:r>
              <w:rPr>
                <w:rFonts w:ascii="Arial" w:cs="Arial" w:eastAsia="Arial" w:hAnsi="Arial"/>
                <w:sz w:val="14"/>
                <w:szCs w:val="14"/>
                <w:color w:val="auto"/>
                <w:w w:val="99"/>
              </w:rPr>
              <w:t>(depreciation)/appreciation of investments</w:t>
            </w:r>
            <w:r>
              <w:rPr>
                <w:rFonts w:ascii="Arial" w:cs="Arial" w:eastAsia="Arial" w:hAnsi="Arial"/>
                <w:sz w:val="22"/>
                <w:szCs w:val="22"/>
                <w:color w:val="auto"/>
                <w:w w:val="99"/>
                <w:vertAlign w:val="superscript"/>
              </w:rPr>
              <w:t>(1)</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(0.97)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23"/>
        </w:trPr>
        <w:tc>
          <w:tcPr>
            <w:tcW w:w="316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color w:val="auto"/>
                <w:w w:val="95"/>
              </w:rPr>
              <w:t>Net (decrease)/increase in net assets resulting</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560"/>
              <w:spacing w:after="0"/>
              <w:rPr>
                <w:sz w:val="20"/>
                <w:szCs w:val="20"/>
                <w:color w:val="auto"/>
              </w:rPr>
            </w:pPr>
            <w:r>
              <w:rPr>
                <w:rFonts w:ascii="Arial" w:cs="Arial" w:eastAsia="Arial" w:hAnsi="Arial"/>
                <w:sz w:val="14"/>
                <w:szCs w:val="14"/>
                <w:color w:val="auto"/>
              </w:rPr>
              <w:t>from operations</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0.54</w:t>
            </w: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0.92</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decrease in net assets resulting from</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Distribution of ordinary income</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(0.63)</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(0.78)</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(0.62)</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(0.65)</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Return of capital</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(0.43)</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23"/>
        </w:trPr>
        <w:tc>
          <w:tcPr>
            <w:tcW w:w="316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color w:val="auto"/>
              </w:rPr>
              <w:t>Net decrease in net assets resulting from</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560"/>
              <w:spacing w:after="0"/>
              <w:rPr>
                <w:sz w:val="20"/>
                <w:szCs w:val="20"/>
                <w:color w:val="auto"/>
              </w:rPr>
            </w:pPr>
            <w:r>
              <w:rPr>
                <w:rFonts w:ascii="Arial" w:cs="Arial" w:eastAsia="Arial" w:hAnsi="Arial"/>
                <w:sz w:val="14"/>
                <w:szCs w:val="14"/>
                <w:color w:val="auto"/>
              </w:rPr>
              <w:t>stockholder distributions</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(0.94)</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Net increase/(decrease) in net assets resulting from</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share transactions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Offering of common stock</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0.14</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Issuance of common stock under dividend</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reinvestment plan</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23"/>
        </w:trPr>
        <w:tc>
          <w:tcPr>
            <w:tcW w:w="316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color w:val="auto"/>
                <w:w w:val="92"/>
              </w:rPr>
              <w:t>Net increase (decrease) in net assets relating to</w:t>
            </w: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capital share transactions</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4"/>
                <w:szCs w:val="14"/>
                <w:color w:val="auto"/>
              </w:rPr>
              <w:t>Net asset value, end of period</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5.82</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6.94</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7.51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7.85</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Total net asset value return</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Per share market value at beginning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Per share market value at end of period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rPr>
              <w:t>Total market return</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Shares outstanding at end of period</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37,100,005</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36,775,127</w:t>
            </w: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33,332,123</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26,470,408</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22,992,211</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assets at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216,100,470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255,316,701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250,369,693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207,875,659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180,525,942</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21"/>
                <w:szCs w:val="21"/>
                <w:color w:val="auto"/>
                <w:vertAlign w:val="superscript"/>
              </w:rPr>
              <w:t>(4)</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par debt outstanding</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224,498,433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196,622,077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150,828,586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80,758,743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53,974,098</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Asset coverage ratio</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0"/>
        </w:trPr>
        <w:tc>
          <w:tcPr>
            <w:tcW w:w="31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Ratio of net investment income to average net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assets</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line="189" w:lineRule="exact"/>
              <w:rPr>
                <w:sz w:val="20"/>
                <w:szCs w:val="20"/>
                <w:color w:val="auto"/>
              </w:rPr>
            </w:pPr>
            <w:r>
              <w:rPr>
                <w:rFonts w:ascii="Arial" w:cs="Arial" w:eastAsia="Arial" w:hAnsi="Arial"/>
                <w:sz w:val="13"/>
                <w:szCs w:val="13"/>
                <w:color w:val="auto"/>
              </w:rPr>
              <w:t>Ratio of total expenses to average net assets</w:t>
            </w:r>
            <w:r>
              <w:rPr>
                <w:rFonts w:ascii="Arial" w:cs="Arial" w:eastAsia="Arial" w:hAnsi="Arial"/>
                <w:sz w:val="21"/>
                <w:szCs w:val="21"/>
                <w:color w:val="auto"/>
                <w:vertAlign w:val="superscript"/>
              </w:rPr>
              <w:t>(5)</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rPr>
              <w:t>Ratio of interest expense to average net assets</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13"/>
        </w:trPr>
        <w:tc>
          <w:tcPr>
            <w:tcW w:w="3160" w:type="dxa"/>
            <w:vAlign w:val="bottom"/>
          </w:tcPr>
          <w:p>
            <w:pPr>
              <w:ind w:left="20"/>
              <w:spacing w:after="0"/>
              <w:rPr>
                <w:sz w:val="20"/>
                <w:szCs w:val="20"/>
                <w:color w:val="auto"/>
              </w:rPr>
            </w:pPr>
            <w:r>
              <w:rPr>
                <w:rFonts w:ascii="Arial" w:cs="Arial" w:eastAsia="Arial" w:hAnsi="Arial"/>
                <w:sz w:val="14"/>
                <w:szCs w:val="14"/>
                <w:color w:val="auto"/>
                <w:w w:val="90"/>
              </w:rPr>
              <w:t>Ratio of non-interest expenses to average net assets</w:t>
            </w:r>
            <w:r>
              <w:rPr>
                <w:rFonts w:ascii="Arial" w:cs="Arial" w:eastAsia="Arial" w:hAnsi="Arial"/>
                <w:sz w:val="23"/>
                <w:szCs w:val="23"/>
                <w:color w:val="auto"/>
                <w:w w:val="90"/>
                <w:vertAlign w:val="superscript"/>
              </w:rPr>
              <w:t>(5)</w:t>
            </w: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-3345815</wp:posOffset>
            </wp:positionV>
            <wp:extent cx="5299710" cy="1974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99710"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-2771140</wp:posOffset>
            </wp:positionV>
            <wp:extent cx="5299710" cy="1974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99710"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-1810385</wp:posOffset>
            </wp:positionV>
            <wp:extent cx="529971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99710"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92710</wp:posOffset>
            </wp:positionV>
            <wp:extent cx="6172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5" w:lineRule="exact"/>
        <w:rPr>
          <w:sz w:val="20"/>
          <w:szCs w:val="20"/>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weighted average number of common shares outstanding for the period.</w:t>
      </w:r>
    </w:p>
    <w:p>
      <w:pPr>
        <w:spacing w:after="0" w:line="117" w:lineRule="exact"/>
        <w:rPr>
          <w:rFonts w:ascii="Arial" w:cs="Arial" w:eastAsia="Arial" w:hAnsi="Arial"/>
          <w:sz w:val="18"/>
          <w:szCs w:val="18"/>
          <w:color w:val="auto"/>
        </w:rPr>
      </w:pPr>
    </w:p>
    <w:p>
      <w:pPr>
        <w:ind w:left="300" w:right="719" w:hanging="27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net asset value return (not annualized) equals the change in the net asset value per share over the beginning of period net asset value per share plus dividends, divided by the beginning net asset value per share.</w:t>
      </w:r>
    </w:p>
    <w:p>
      <w:pPr>
        <w:spacing w:after="0" w:line="62"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market return equals the change in the ending market price over the beginning of period price per share plus dividends, divided by the beginning price.</w:t>
      </w:r>
    </w:p>
    <w:p>
      <w:pPr>
        <w:spacing w:after="0" w:line="62"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70" w:lineRule="exact"/>
        <w:rPr>
          <w:sz w:val="20"/>
          <w:szCs w:val="20"/>
          <w:color w:val="auto"/>
        </w:rPr>
      </w:pPr>
    </w:p>
    <w:p>
      <w:pPr>
        <w:ind w:left="40" w:right="1379"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80"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73"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As of December 31, 2015, Katonah Debt Advisors and Trimaran Advisors, as well as affiliated management companies Katonah 2007-1 Management, L.L.C., Katonah X Management, L.L.C. and Trimaran Advisors Management, L.L.C. (collectively the “Asset Manager Affiliates”), had approximately $2.7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 investment interest in the CLO Funds they manage; however, KCAP holds investments in a portion of the securities issued by the CLO Funds managed by the Asset Manager Affiliates.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three principal areas of investment:</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our Asset Manager Affiliates, but</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 ORGANIZATION – (continued)</w:t>
      </w:r>
    </w:p>
    <w:p>
      <w:pPr>
        <w:spacing w:after="0" w:line="1" w:lineRule="exact"/>
        <w:rPr>
          <w:sz w:val="20"/>
          <w:szCs w:val="20"/>
          <w:color w:val="auto"/>
        </w:rPr>
      </w:pPr>
    </w:p>
    <w:p>
      <w:pPr>
        <w:jc w:val="both"/>
        <w:ind w:left="40" w:right="839"/>
        <w:spacing w:after="0" w:line="277" w:lineRule="auto"/>
        <w:rPr>
          <w:sz w:val="20"/>
          <w:szCs w:val="20"/>
          <w:color w:val="auto"/>
        </w:rPr>
      </w:pPr>
      <w:r>
        <w:rPr>
          <w:rFonts w:ascii="Arial" w:cs="Arial" w:eastAsia="Arial" w:hAnsi="Arial"/>
          <w:sz w:val="18"/>
          <w:szCs w:val="18"/>
          <w:color w:val="auto"/>
        </w:rPr>
        <w:t>from time-to-time the Company makes investments in CLO Fund Securities managed by other asset managers. The CLO Funds typically invest in broadly syndicated loans, high-yield bonds and other credit instruments.</w:t>
      </w:r>
    </w:p>
    <w:p>
      <w:pPr>
        <w:spacing w:after="0" w:line="62" w:lineRule="exact"/>
        <w:rPr>
          <w:sz w:val="20"/>
          <w:szCs w:val="20"/>
          <w:color w:val="auto"/>
        </w:rPr>
      </w:pPr>
    </w:p>
    <w:p>
      <w:pPr>
        <w:jc w:val="both"/>
        <w:ind w:left="40" w:right="81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larger, publicly-traded companies, high-yield bonds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accounting principles generally accepted in the United States of America (“GAAP”).</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Certain prior-year amounts have been reclassified to conform to the current year presentation.</w:t>
      </w:r>
    </w:p>
    <w:p>
      <w:pPr>
        <w:spacing w:after="0" w:line="85"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64"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79" w:lineRule="exact"/>
        <w:rPr>
          <w:sz w:val="20"/>
          <w:szCs w:val="20"/>
          <w:color w:val="auto"/>
        </w:rPr>
      </w:pPr>
    </w:p>
    <w:p>
      <w:pPr>
        <w:ind w:left="40" w:right="619" w:firstLine="270"/>
        <w:spacing w:after="0" w:line="254"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84"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In addition, in accordance with Rules 3-09, Rule 4-08(g) and 1-02 of Regulation S-X promulgated by the SEC, additional financial information with respect to two of the CLO Funds in which the Company has an investment, Katonah 2007-I CLO Ltd. (“Katonah 2007-I CLO”) and Katonah X CLO Ltd. (“Katonah X CLO”) are required to be included in the Company’s SEC filings. The additional financial information</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regarding the Asset Manager Affiliates and Katonah 2007-I CLO (pursuant to Rule 3-09) immediately follows these consolidated financial statements, Summarized financial information regarding Katonah X CLO (pursuant to Rule 4-08(g)) is set forth in Note 5.</w:t>
      </w:r>
    </w:p>
    <w:p>
      <w:pPr>
        <w:spacing w:after="0" w:line="16"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This additional financial information regarding the Asset Manager Affiliates, Katonah 2007-1 CLO and Katonah X CLO does not directly impact the financial position or results of operations of the Company.</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85"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It is the Company’s primary investment objective to generate current income and capital appreciation by lending directly to privately-held middle market companies. During the year ended December 31, 2015, the Company provided approximately $131.0 million to portfolio companies to support their growth objectives. None of this support was contractually obligated. See also Note</w:t>
      </w:r>
    </w:p>
    <w:p>
      <w:pPr>
        <w:ind w:left="40" w:right="679"/>
        <w:spacing w:after="0" w:line="290" w:lineRule="auto"/>
        <w:rPr>
          <w:sz w:val="20"/>
          <w:szCs w:val="20"/>
          <w:color w:val="auto"/>
        </w:rPr>
      </w:pPr>
      <w:r>
        <w:rPr>
          <w:rFonts w:ascii="Arial" w:cs="Arial" w:eastAsia="Arial" w:hAnsi="Arial"/>
          <w:sz w:val="16"/>
          <w:szCs w:val="16"/>
          <w:color w:val="auto"/>
        </w:rPr>
        <w:t>8 — Commitments and Contingencies. As of December 31, 2015, the Company holds loans it has made to 95 investee companies with aggregate principal amounts of approximately $268.5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year ended December 31, 2015, the Company did not make any such introductions or lead any syndicates.</w:t>
      </w:r>
    </w:p>
    <w:p>
      <w:pPr>
        <w:spacing w:after="0" w:line="56"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In August 2014, the Financial Accounting Standards Board (“FASB”) issued Accounting Standards Update (“ASU”) 2014-15,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84"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In February 2015, the FASB issued Accounting Standards Update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We do not expect the adoption of ASU 2015-2 to have a material impact to the Company’s financial statements.</w:t>
      </w:r>
    </w:p>
    <w:p>
      <w:pPr>
        <w:spacing w:after="0" w:line="84"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final guidance will be effective for fiscal years beginning after December 15, 2015, and interim periods within those fiscal years.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Early adoption is permitted. The Company intends to adopt the new guidance beginning the first quarter of 2016.</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Investment transactions are recorded on the applicable trade date. Realized gains or losses are determined using the specific identification method.</w:t>
      </w:r>
    </w:p>
    <w:p>
      <w:pPr>
        <w:spacing w:after="0" w:line="62"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w:t>
      </w:r>
      <w:r>
        <w:rPr>
          <w:rFonts w:ascii="Arial" w:cs="Arial" w:eastAsia="Arial" w:hAnsi="Arial"/>
          <w:sz w:val="16"/>
          <w:szCs w:val="16"/>
          <w:i w:val="1"/>
          <w:iCs w:val="1"/>
          <w:color w:val="auto"/>
        </w:rPr>
        <w:t xml:space="preserve"> </w:t>
      </w:r>
      <w:r>
        <w:rPr>
          <w:rFonts w:ascii="Arial" w:cs="Arial" w:eastAsia="Arial" w:hAnsi="Arial"/>
          <w:sz w:val="16"/>
          <w:szCs w:val="16"/>
          <w:color w:val="auto"/>
        </w:rPr>
        <w:t>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65"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80" w:lineRule="exact"/>
        <w:rPr>
          <w:sz w:val="20"/>
          <w:szCs w:val="20"/>
          <w:color w:val="auto"/>
        </w:rPr>
      </w:pPr>
    </w:p>
    <w:p>
      <w:pPr>
        <w:ind w:left="40" w:right="1099" w:firstLine="270"/>
        <w:spacing w:after="0" w:line="342" w:lineRule="auto"/>
        <w:rPr>
          <w:sz w:val="20"/>
          <w:szCs w:val="20"/>
          <w:color w:val="auto"/>
        </w:rPr>
      </w:pPr>
      <w:r>
        <w:rPr>
          <w:rFonts w:ascii="Arial" w:cs="Arial" w:eastAsia="Arial" w:hAnsi="Arial"/>
          <w:sz w:val="16"/>
          <w:szCs w:val="16"/>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6"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Company utilizes an independent valuation firm to provide an annual third-party review of the Company’s CLO fair value model relative to its functionality, model inputs and calculations as a reasonable method to determine CLO fair values, in the absence of Level I or Level II trading activity or observable market inputs. The independent valuation firm’s 2015 annual review concluded that the Company’s CLO model appropriately factors in all the necessary inputs required to build a CLO equity cash flow model for fair value purposes and that the inputs were being employed correctly.</w:t>
      </w:r>
    </w:p>
    <w:p>
      <w:pPr>
        <w:spacing w:after="0" w:line="64"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may consider other methods of valuation than those set forth below to determine the fair value of Level</w:t>
      </w:r>
    </w:p>
    <w:p>
      <w:pPr>
        <w:spacing w:after="0" w:line="46" w:lineRule="exact"/>
        <w:rPr>
          <w:sz w:val="20"/>
          <w:szCs w:val="20"/>
          <w:color w:val="auto"/>
        </w:rPr>
      </w:pPr>
    </w:p>
    <w:p>
      <w:pPr>
        <w:ind w:left="40" w:right="719" w:firstLine="8"/>
        <w:spacing w:after="0" w:line="254"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w:t>
      </w: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jc w:val="both"/>
        <w:ind w:left="40" w:right="699"/>
        <w:spacing w:after="0" w:line="264" w:lineRule="auto"/>
        <w:rPr>
          <w:sz w:val="20"/>
          <w:szCs w:val="20"/>
          <w:color w:val="auto"/>
        </w:rPr>
      </w:pPr>
      <w:r>
        <w:rPr>
          <w:rFonts w:ascii="Arial" w:cs="Arial" w:eastAsia="Arial" w:hAnsi="Arial"/>
          <w:sz w:val="18"/>
          <w:szCs w:val="18"/>
          <w:color w:val="auto"/>
        </w:rPr>
        <w:t>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3"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4"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from normal 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71"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276" w:lineRule="exact"/>
        <w:rPr>
          <w:sz w:val="20"/>
          <w:szCs w:val="20"/>
          <w:color w:val="auto"/>
        </w:rPr>
      </w:pPr>
    </w:p>
    <w:p>
      <w:pPr>
        <w:ind w:left="40" w:right="799" w:firstLine="270"/>
        <w:spacing w:after="0" w:line="257"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779"/>
        <w:spacing w:after="0" w:line="259" w:lineRule="auto"/>
        <w:rPr>
          <w:sz w:val="20"/>
          <w:szCs w:val="20"/>
          <w:color w:val="auto"/>
        </w:rPr>
      </w:pPr>
      <w:r>
        <w:rPr>
          <w:rFonts w:ascii="Arial" w:cs="Arial" w:eastAsia="Arial" w:hAnsi="Arial"/>
          <w:sz w:val="18"/>
          <w:szCs w:val="18"/>
          <w:color w:val="auto"/>
        </w:rPr>
        <w:t>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7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are carried at 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8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The Company typically makes a minority investment in the most junior class of securities of CLO Funds</w:t>
      </w:r>
      <w:r>
        <w:rPr>
          <w:rFonts w:ascii="Arial" w:cs="Arial" w:eastAsia="Arial" w:hAnsi="Arial"/>
          <w:sz w:val="18"/>
          <w:szCs w:val="18"/>
          <w:i w:val="1"/>
          <w:iCs w:val="1"/>
          <w:color w:val="auto"/>
        </w:rPr>
        <w:t xml:space="preserve"> </w:t>
      </w:r>
      <w:r>
        <w:rPr>
          <w:rFonts w:ascii="Arial" w:cs="Arial" w:eastAsia="Arial" w:hAnsi="Arial"/>
          <w:sz w:val="18"/>
          <w:szCs w:val="18"/>
          <w:color w:val="auto"/>
        </w:rPr>
        <w:t>raised and managed by 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79"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4"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39"/>
        <w:spacing w:after="0" w:line="272" w:lineRule="auto"/>
        <w:rPr>
          <w:sz w:val="20"/>
          <w:szCs w:val="20"/>
          <w:color w:val="auto"/>
        </w:rPr>
      </w:pPr>
      <w:r>
        <w:rPr>
          <w:rFonts w:ascii="Arial" w:cs="Arial" w:eastAsia="Arial" w:hAnsi="Arial"/>
          <w:sz w:val="17"/>
          <w:szCs w:val="17"/>
          <w:color w:val="auto"/>
        </w:rPr>
        <w:t>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jc w:val="both"/>
        <w:ind w:left="40" w:right="779" w:firstLine="270"/>
        <w:spacing w:after="0" w:line="277" w:lineRule="auto"/>
        <w:rPr>
          <w:sz w:val="20"/>
          <w:szCs w:val="20"/>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Company defines cash as demand deposits. The Company places its cash with financial institutions and, at 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held in checking accounts may exceed the Federal Deposit Insurance Corporation insured limit.</w:t>
      </w:r>
    </w:p>
    <w:p>
      <w:pPr>
        <w:spacing w:after="0" w:line="62" w:lineRule="exact"/>
        <w:rPr>
          <w:sz w:val="20"/>
          <w:szCs w:val="20"/>
          <w:color w:val="auto"/>
        </w:rPr>
      </w:pPr>
    </w:p>
    <w:p>
      <w:pPr>
        <w:ind w:left="40" w:right="1039" w:firstLine="270"/>
        <w:spacing w:after="0" w:line="342" w:lineRule="auto"/>
        <w:rPr>
          <w:sz w:val="20"/>
          <w:szCs w:val="20"/>
          <w:color w:val="auto"/>
        </w:rPr>
      </w:pPr>
      <w:r>
        <w:rPr>
          <w:rFonts w:ascii="Arial" w:cs="Arial" w:eastAsia="Arial" w:hAnsi="Arial"/>
          <w:sz w:val="16"/>
          <w:szCs w:val="16"/>
          <w:b w:val="1"/>
          <w:bCs w:val="1"/>
          <w:i w:val="1"/>
          <w:iCs w:val="1"/>
          <w:color w:val="auto"/>
        </w:rPr>
        <w:t xml:space="preserve">Restricted Cash. </w:t>
      </w:r>
      <w:r>
        <w:rPr>
          <w:rFonts w:ascii="Arial" w:cs="Arial" w:eastAsia="Arial" w:hAnsi="Arial"/>
          <w:sz w:val="16"/>
          <w:szCs w:val="16"/>
          <w:color w:val="auto"/>
        </w:rPr>
        <w:t>Restricted cash and cash equivalents (e.g., money market funds) consists of cash held for reinvestment,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quarterly interest and principal distribution (if any) to holders of notes issued by KCAP Senior Funding I, LLC.</w:t>
      </w:r>
    </w:p>
    <w:p>
      <w:pPr>
        <w:spacing w:after="0" w:line="16"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b w:val="1"/>
          <w:bCs w:val="1"/>
          <w:i w:val="1"/>
          <w:iCs w:val="1"/>
          <w:color w:val="auto"/>
        </w:rPr>
        <w:t xml:space="preserve">Time Deposits and Money Market Accounts. </w:t>
      </w:r>
      <w:r>
        <w:rPr>
          <w:rFonts w:ascii="Arial" w:cs="Arial" w:eastAsia="Arial" w:hAnsi="Arial"/>
          <w:sz w:val="18"/>
          <w:szCs w:val="18"/>
          <w:color w:val="auto"/>
        </w:rPr>
        <w:t>Time deposits primarily represent investments of cash held in demand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Money market accounts primarily represent short term interest-bearing deposit accounts. Also includes restricted cash held under employee benefit plans.</w:t>
      </w:r>
    </w:p>
    <w:p>
      <w:pPr>
        <w:spacing w:after="0" w:line="73"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including the amortization of premium and accretion of discount, is recorded on the accrual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to the extent that 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December 31, 2015, one issuer representing less than 1% of the Company’s total investments at fair value was on a non-accrual status.</w:t>
      </w:r>
    </w:p>
    <w:p>
      <w:pPr>
        <w:spacing w:after="0" w:line="8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b w:val="1"/>
          <w:bCs w:val="1"/>
          <w:i w:val="1"/>
          <w:iCs w:val="1"/>
          <w:color w:val="auto"/>
        </w:rPr>
        <w:t xml:space="preserve">Distributions from Asset Manager Affiliates. </w:t>
      </w:r>
      <w:r>
        <w:rPr>
          <w:rFonts w:ascii="Arial" w:cs="Arial" w:eastAsia="Arial" w:hAnsi="Arial"/>
          <w:sz w:val="17"/>
          <w:szCs w:val="17"/>
          <w:color w:val="auto"/>
        </w:rPr>
        <w:t>The Company records distributions from our Asset Manager Affiliates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declaration date, which 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71"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b w:val="1"/>
          <w:bCs w:val="1"/>
          <w:i w:val="1"/>
          <w:iCs w:val="1"/>
          <w:color w:val="auto"/>
        </w:rPr>
        <w:t xml:space="preserve">Investment Income on CLO Fund Securities. </w:t>
      </w:r>
      <w:r>
        <w:rPr>
          <w:rFonts w:ascii="Arial" w:cs="Arial" w:eastAsia="Arial" w:hAnsi="Arial"/>
          <w:sz w:val="18"/>
          <w:szCs w:val="18"/>
          <w:color w:val="auto"/>
        </w:rPr>
        <w:t>The Company generates investment income from its investments in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junior class of securities of 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59"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62" w:lineRule="exact"/>
        <w:rPr>
          <w:sz w:val="20"/>
          <w:szCs w:val="20"/>
          <w:color w:val="auto"/>
        </w:rPr>
      </w:pPr>
    </w:p>
    <w:p>
      <w:pPr>
        <w:ind w:left="40" w:right="839" w:firstLine="270"/>
        <w:spacing w:after="0" w:line="257" w:lineRule="auto"/>
        <w:rPr>
          <w:sz w:val="20"/>
          <w:szCs w:val="20"/>
          <w:color w:val="auto"/>
        </w:rPr>
      </w:pPr>
      <w:r>
        <w:rPr>
          <w:rFonts w:ascii="Arial" w:cs="Arial" w:eastAsia="Arial" w:hAnsi="Arial"/>
          <w:sz w:val="18"/>
          <w:szCs w:val="18"/>
          <w:b w:val="1"/>
          <w:bCs w:val="1"/>
          <w:i w:val="1"/>
          <w:iCs w:val="1"/>
          <w:color w:val="auto"/>
        </w:rPr>
        <w:t xml:space="preserve">Capital Structuring Service Fees. </w:t>
      </w:r>
      <w:r>
        <w:rPr>
          <w:rFonts w:ascii="Arial" w:cs="Arial" w:eastAsia="Arial" w:hAnsi="Arial"/>
          <w:sz w:val="18"/>
          <w:szCs w:val="18"/>
          <w:color w:val="auto"/>
        </w:rPr>
        <w:t>The Company may earn ancillary structuring and other fees related to the origination,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disposition or 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80" w:lineRule="exact"/>
        <w:rPr>
          <w:sz w:val="20"/>
          <w:szCs w:val="20"/>
          <w:color w:val="auto"/>
        </w:rPr>
      </w:pPr>
    </w:p>
    <w:p>
      <w:pPr>
        <w:ind w:left="40" w:right="939" w:firstLine="270"/>
        <w:spacing w:after="0" w:line="264" w:lineRule="auto"/>
        <w:rPr>
          <w:sz w:val="20"/>
          <w:szCs w:val="20"/>
          <w:color w:val="auto"/>
        </w:rPr>
      </w:pPr>
      <w:r>
        <w:rPr>
          <w:rFonts w:ascii="Arial" w:cs="Arial" w:eastAsia="Arial" w:hAnsi="Arial"/>
          <w:sz w:val="18"/>
          <w:szCs w:val="18"/>
          <w:b w:val="1"/>
          <w:bCs w:val="1"/>
          <w:i w:val="1"/>
          <w:iCs w:val="1"/>
          <w:color w:val="auto"/>
        </w:rPr>
        <w:t xml:space="preserve">Debt Issuance Costs. </w:t>
      </w:r>
      <w:r>
        <w:rPr>
          <w:rFonts w:ascii="Arial" w:cs="Arial" w:eastAsia="Arial" w:hAnsi="Arial"/>
          <w:sz w:val="18"/>
          <w:szCs w:val="18"/>
          <w:color w:val="auto"/>
        </w:rPr>
        <w:t>Debt issuance costs represent fees and other direct costs incurred in connection with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borrowings. These amounts are capitalized and amortized using the effective interest method over the contractual term of the borrowing.</w:t>
      </w:r>
    </w:p>
    <w:p>
      <w:pPr>
        <w:spacing w:after="0" w:line="73"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b w:val="1"/>
          <w:bCs w:val="1"/>
          <w:i w:val="1"/>
          <w:iCs w:val="1"/>
          <w:color w:val="auto"/>
        </w:rPr>
        <w:t xml:space="preserve">Extinguishment of debt. </w:t>
      </w:r>
      <w:r>
        <w:rPr>
          <w:rFonts w:ascii="Arial" w:cs="Arial" w:eastAsia="Arial" w:hAnsi="Arial"/>
          <w:sz w:val="17"/>
          <w:szCs w:val="17"/>
          <w:color w:val="auto"/>
        </w:rPr>
        <w:t>The Company must derecognize a liability if and only if it has been extinguished through delivery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delivery of other 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The Company is internally managed and expenses costs, as incurred, with regard to the running of its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8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b w:val="1"/>
          <w:bCs w:val="1"/>
          <w:i w:val="1"/>
          <w:iCs w:val="1"/>
          <w:color w:val="auto"/>
        </w:rPr>
        <w:t xml:space="preserve">Shareholder Distributions. </w:t>
      </w:r>
      <w:r>
        <w:rPr>
          <w:rFonts w:ascii="Arial" w:cs="Arial" w:eastAsia="Arial" w:hAnsi="Arial"/>
          <w:sz w:val="18"/>
          <w:szCs w:val="18"/>
          <w:color w:val="auto"/>
        </w:rPr>
        <w:t>Distributions to common stockholders are recorded on the ex-dividend date.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if any, is determined by the Board of Directors each quarter.</w:t>
      </w:r>
    </w:p>
    <w:p>
      <w:pPr>
        <w:spacing w:after="0" w:line="62"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3. EARNINGS (LOSSES) PER SHARE</w:t>
      </w:r>
    </w:p>
    <w:p>
      <w:pPr>
        <w:spacing w:after="0" w:line="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79"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w w:val="97"/>
              </w:rPr>
              <w:t>Net (decrease)/increase in net assets resulting from operations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(18,634,558)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15,033,594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17,222,972</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increase/(decrease) in net assets allocated to unvested share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(101,076)</w:t>
            </w:r>
          </w:p>
        </w:tc>
        <w:tc>
          <w:tcPr>
            <w:tcW w:w="0" w:type="dxa"/>
            <w:vAlign w:val="bottom"/>
          </w:tcPr>
          <w:p>
            <w:pPr>
              <w:spacing w:after="0"/>
              <w:rPr>
                <w:sz w:val="1"/>
                <w:szCs w:val="1"/>
                <w:color w:val="auto"/>
              </w:rPr>
            </w:pPr>
          </w:p>
        </w:tc>
      </w:tr>
      <w:tr>
        <w:trPr>
          <w:trHeight w:val="195"/>
        </w:trPr>
        <w:tc>
          <w:tcPr>
            <w:tcW w:w="49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(decrease)/increase in net assets available to common</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(18,301,689)</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14,832,355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17,121,896</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Weighted average number of common shares outstanding for basic</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computation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36,964,444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34,248,346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32,280,160</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Effect of dilutive securities – stock options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14,845</w:t>
            </w: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number of common and common stock</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equivalent shares outstanding for diluted shares computation</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36,964,444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34,259,977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32,295,005</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increase in net assets per basic common shares: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increase in net assets per diluted shares: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-1594485</wp:posOffset>
            </wp:positionV>
            <wp:extent cx="5213985" cy="3175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80"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There were 50,000 options to purchase shares of common stock outstanding for the year ended December 31, 2015. For the year ended December 31, 2015, the company purchased 36,348 shares of common stock in connection with the vesting of employee’s restricted stock, such shares are treated as treasury shares and reduce the weighted average shares outstanding in the computation of earnings per share. For the year ended December 31, 2015, options to purchase 4,089 shares of common stock were included in the computation of diluted earnings per share. For the years ended December 31, 2014 and 2013, options to purchase 11,631 and 14,845 shares of common stock, respectively, were included in the computation of diluted earnings per share.</w:t>
      </w:r>
    </w:p>
    <w:p>
      <w:pPr>
        <w:spacing w:after="0" w:line="57"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years ended December 31, 2015 and 2014, the effects of the Convertible Notes are anti-dilutive.</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1" w:name="page112"/>
    <w:bookmarkEnd w:id="11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3. EARNINGS (LOSSES) PER SHARE – (continued)</w:t>
      </w:r>
    </w:p>
    <w:p>
      <w:pPr>
        <w:spacing w:after="0" w:line="1" w:lineRule="exact"/>
        <w:rPr>
          <w:sz w:val="20"/>
          <w:szCs w:val="20"/>
          <w:color w:val="auto"/>
        </w:rPr>
      </w:pPr>
    </w:p>
    <w:p>
      <w:pPr>
        <w:ind w:left="60" w:right="639" w:firstLine="270"/>
        <w:spacing w:after="0" w:line="297" w:lineRule="auto"/>
        <w:rPr>
          <w:sz w:val="20"/>
          <w:szCs w:val="20"/>
          <w:color w:val="auto"/>
        </w:rPr>
      </w:pPr>
      <w:r>
        <w:rPr>
          <w:rFonts w:ascii="Arial" w:cs="Arial" w:eastAsia="Arial" w:hAnsi="Arial"/>
          <w:sz w:val="16"/>
          <w:szCs w:val="16"/>
          <w:color w:val="auto"/>
        </w:rPr>
        <w:t>The if-converted method of computing the dilutive effects on Convertible Notes assumes a conversion even if the contracted conversion price exceeds the market value of the shares. As of December 31, 2015 the current conversion rate of the Convertible Notes is approximately 135.5441 shares of our common stock per $1,000 principal amount of the Convertible Notes, equivalent to a conversion price of approximately $7.38 per share of the Company’s common stock. Upon conversion, the Company may issue the full amount of common stock and retire the full amount of debt outstanding or, at its option, settle the conversion in cash.</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Company’s portfolio by security type at December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796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96"/>
        </w:trPr>
        <w:tc>
          <w:tcPr>
            <w:tcW w:w="2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Security Type</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560" w:type="dxa"/>
            <w:vAlign w:val="bottom"/>
            <w:tcBorders>
              <w:bottom w:val="single" w:sz="8" w:color="auto"/>
            </w:tcBorders>
            <w:gridSpan w:val="2"/>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50"/>
        </w:trPr>
        <w:tc>
          <w:tcPr>
            <w:tcW w:w="230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Money Market Accounts</w:t>
            </w:r>
            <w:r>
              <w:rPr>
                <w:rFonts w:ascii="Arial" w:cs="Arial" w:eastAsia="Arial" w:hAnsi="Arial"/>
                <w:sz w:val="28"/>
                <w:szCs w:val="28"/>
                <w:color w:val="auto"/>
                <w:vertAlign w:val="superscript"/>
              </w:rPr>
              <w:t>(3)</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2,129,381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2,129,381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1,602,741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1,602,741</w:t>
            </w:r>
          </w:p>
        </w:tc>
        <w:tc>
          <w:tcPr>
            <w:tcW w:w="1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203,819,074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194,123,223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220,965,922</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218,329,860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Junior Secured Loan</w:t>
            </w:r>
          </w:p>
        </w:tc>
        <w:tc>
          <w:tcPr>
            <w:tcW w:w="1080" w:type="dxa"/>
            <w:vAlign w:val="bottom"/>
          </w:tcPr>
          <w:p>
            <w:pPr>
              <w:jc w:val="right"/>
              <w:spacing w:after="0"/>
              <w:rPr>
                <w:sz w:val="20"/>
                <w:szCs w:val="20"/>
                <w:color w:val="auto"/>
              </w:rPr>
            </w:pPr>
            <w:r>
              <w:rPr>
                <w:rFonts w:ascii="Arial" w:cs="Arial" w:eastAsia="Arial" w:hAnsi="Arial"/>
                <w:sz w:val="18"/>
                <w:szCs w:val="18"/>
                <w:color w:val="auto"/>
              </w:rPr>
              <w:t>40,221,557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37,591,900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38,664,199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38,569,006</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33,066,984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33,066,984</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First Lien Bond</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2,216,700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2,962,507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2,580,000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Subordinated Bond</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4,466,793</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4,615,569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4,295,544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4,240,301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Senior Unsecured Bond</w:t>
            </w:r>
          </w:p>
        </w:tc>
        <w:tc>
          <w:tcPr>
            <w:tcW w:w="1080" w:type="dxa"/>
            <w:vAlign w:val="bottom"/>
          </w:tcPr>
          <w:p>
            <w:pPr>
              <w:jc w:val="right"/>
              <w:spacing w:after="0"/>
              <w:rPr>
                <w:sz w:val="20"/>
                <w:szCs w:val="20"/>
                <w:color w:val="auto"/>
              </w:rPr>
            </w:pPr>
            <w:r>
              <w:rPr>
                <w:rFonts w:ascii="Arial" w:cs="Arial" w:eastAsia="Arial" w:hAnsi="Arial"/>
                <w:sz w:val="18"/>
                <w:szCs w:val="18"/>
                <w:color w:val="auto"/>
              </w:rPr>
              <w:t>11,879,187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10,551,724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11,208,178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11,386,217</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1,510,560</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1,503,755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1,515,584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1,552,500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83,214,947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55,872,382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90,889,190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77,514,902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10,467,787</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8,828,812</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Preferred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10,411,673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11,036,373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10,206,016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10,418,302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57"/>
        </w:trPr>
        <w:tc>
          <w:tcPr>
            <w:tcW w:w="238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(2)</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60,292,677</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450,712,189</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409,570,495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484,498,354</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479,706,494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December 31, 2015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96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December 31, 2014</w:t>
            </w:r>
            <w:r>
              <w:rPr>
                <w:rFonts w:ascii="Arial" w:cs="Arial" w:eastAsia="Arial" w:hAnsi="Arial"/>
                <w:sz w:val="23"/>
                <w:szCs w:val="23"/>
                <w:b w:val="1"/>
                <w:bCs w:val="1"/>
                <w:color w:val="auto"/>
                <w:vertAlign w:val="superscript"/>
              </w:rPr>
              <w:t>(2)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r>
      <w:tr>
        <w:trPr>
          <w:trHeight w:val="196"/>
        </w:trPr>
        <w:tc>
          <w:tcPr>
            <w:tcW w:w="2380" w:type="dxa"/>
            <w:vAlign w:val="bottom"/>
            <w:gridSpan w:val="4"/>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Amortized Cost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10"/>
        </w:trPr>
        <w:tc>
          <w:tcPr>
            <w:tcW w:w="23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6,910,349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6,383,724</w:t>
            </w:r>
          </w:p>
        </w:tc>
        <w:tc>
          <w:tcPr>
            <w:tcW w:w="8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10,059,487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9,533,092</w:t>
            </w:r>
          </w:p>
        </w:tc>
        <w:tc>
          <w:tcPr>
            <w:tcW w:w="10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5"/>
        </w:trPr>
        <w:tc>
          <w:tcPr>
            <w:tcW w:w="238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Asset Management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56,591,230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57,381,000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60,292,677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72,326,000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Related Party Loan</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9,898,494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9,440,866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8,362,956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8,312,548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38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5"/>
              </w:rPr>
              <w:t>Banking, Finance, Insurance &amp;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6,270,984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6,008,587</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7,660,721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7,639,365</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3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Beverage, Food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Tobacco</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17,334,746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16,882,750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17,974,974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17,883,421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9,519,342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7,846,767</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9,486,407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10,351,329</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1"/>
              </w:rPr>
              <w:t>Chemicals, Plastics and Rubber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3,359,916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6,348,226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6,210,253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83,214,947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55,872,382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90,889,190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77,514,902</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1,976,345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1,907,614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13,983,607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12,753,455</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13,876,482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13,301,207</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02"/>
        </w:trPr>
        <w:tc>
          <w:tcPr>
            <w:tcW w:w="23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Consumer goods: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Non-durable</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20,124,355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19,646,576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13,535,975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13,314,952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02"/>
        </w:trPr>
        <w:tc>
          <w:tcPr>
            <w:tcW w:w="238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Containers, Packaging and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ind w:left="180"/>
              <w:spacing w:after="0"/>
              <w:rPr>
                <w:sz w:val="20"/>
                <w:szCs w:val="20"/>
                <w:color w:val="auto"/>
              </w:rPr>
            </w:pPr>
            <w:r>
              <w:rPr>
                <w:rFonts w:ascii="Arial" w:cs="Arial" w:eastAsia="Arial" w:hAnsi="Arial"/>
                <w:sz w:val="18"/>
                <w:szCs w:val="18"/>
                <w:color w:val="auto"/>
              </w:rPr>
              <w:t>Glass</w:t>
            </w: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2,992,443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2,946,734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14,281,821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10,204,318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13,866,208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13,289,753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Energy: Electricity</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3,465,576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3,465,000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13,735,492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13,179,657</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12,942,593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12,911,017</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Forest Products &amp; Paper</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5,888,294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5,883,080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5,917,051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5,942,523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02"/>
        </w:trPr>
        <w:tc>
          <w:tcPr>
            <w:tcW w:w="23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Healthcare &amp;</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Pharmaceuticals</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58,649,512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55,417,827</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66,186,412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65,720,782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11,727,898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11,662,995</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14,457,495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14,419,110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3,392,481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2,962,315</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02"/>
        </w:trPr>
        <w:tc>
          <w:tcPr>
            <w:tcW w:w="238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9"/>
              </w:rPr>
              <w:t>Media: Advertising, Printing &amp;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ind w:left="18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11,167,950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10,340,449</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11,318,815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11,396,027</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02"/>
        </w:trPr>
        <w:tc>
          <w:tcPr>
            <w:tcW w:w="23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7,428,110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7,406,792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14,477,078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14,409,401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Metals &amp; Mining</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228,563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4,416,709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3,594,599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4,234,086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3,773,847</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18,206,668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21,022,801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16,550,255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16,066,421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6,512,029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6,356,054</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6,798,372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6,752,521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13,776,871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12,425,489</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22,030,434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21,865,864</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r>
      <w:tr>
        <w:trPr>
          <w:trHeight w:val="205"/>
        </w:trPr>
        <w:tc>
          <w:tcPr>
            <w:tcW w:w="238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Time Deposit and Money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236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Market Accounts</w:t>
            </w:r>
            <w:r>
              <w:rPr>
                <w:rFonts w:ascii="Arial" w:cs="Arial" w:eastAsia="Arial" w:hAnsi="Arial"/>
                <w:sz w:val="30"/>
                <w:szCs w:val="30"/>
                <w:color w:val="auto"/>
                <w:vertAlign w:val="superscript"/>
              </w:rPr>
              <w:t>(3)</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2,129,381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1,602,741</w:t>
            </w:r>
          </w:p>
        </w:tc>
        <w:tc>
          <w:tcPr>
            <w:tcW w:w="1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Transportation: Cargo</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18,232,953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18,865,603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20,156,700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20,455,941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Transportation: Consumer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2,472,795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2,324,381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5,673,082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4,806,441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5,859,532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5,803,428</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450,712,189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409,570,495</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484,498,354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479,706,494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15093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5093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-222250</wp:posOffset>
            </wp:positionV>
            <wp:extent cx="946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-196850</wp:posOffset>
            </wp:positionV>
            <wp:extent cx="946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-222250</wp:posOffset>
            </wp:positionV>
            <wp:extent cx="9461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-196850</wp:posOffset>
            </wp:positionV>
            <wp:extent cx="946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-222250</wp:posOffset>
            </wp:positionV>
            <wp:extent cx="1803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-196850</wp:posOffset>
            </wp:positionV>
            <wp:extent cx="18034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-222250</wp:posOffset>
            </wp:positionV>
            <wp:extent cx="946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-196850</wp:posOffset>
            </wp:positionV>
            <wp:extent cx="9461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-222250</wp:posOffset>
            </wp:positionV>
            <wp:extent cx="1028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-196850</wp:posOffset>
            </wp:positionV>
            <wp:extent cx="102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-222250</wp:posOffset>
            </wp:positionV>
            <wp:extent cx="1289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-196850</wp:posOffset>
            </wp:positionV>
            <wp:extent cx="1289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79" w:lineRule="exact"/>
        <w:rPr>
          <w:sz w:val="20"/>
          <w:szCs w:val="20"/>
          <w:color w:val="auto"/>
        </w:rPr>
      </w:pPr>
    </w:p>
    <w:p>
      <w:pPr>
        <w:ind w:left="60" w:right="719" w:firstLine="270"/>
        <w:spacing w:after="0" w:line="279" w:lineRule="auto"/>
        <w:rPr>
          <w:sz w:val="20"/>
          <w:szCs w:val="20"/>
          <w:color w:val="auto"/>
        </w:rPr>
      </w:pPr>
      <w:r>
        <w:rPr>
          <w:rFonts w:ascii="Arial" w:cs="Arial" w:eastAsia="Arial" w:hAnsi="Arial"/>
          <w:sz w:val="17"/>
          <w:szCs w:val="17"/>
          <w:color w:val="auto"/>
        </w:rPr>
        <w:t>At December 31, 2015 and December 31, 2014, the total amount of non-qualifying assets was approximately 18% and 21%, respectively. The majority of non-qualifying assets were foreign investments which were approximately 13% and 16% of the Company’s total assets, respectively (including the Company’s investments in CLO Funds, which are typically domiciled outside the U.S. and represented approximately 13% and 16% of its total assets on such dates, respectively).</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96"/>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of FMV</w:t>
            </w:r>
          </w:p>
        </w:tc>
      </w:tr>
      <w:tr>
        <w:trPr>
          <w:trHeight w:val="210"/>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56,591,230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57,381,000</w:t>
            </w:r>
          </w:p>
        </w:tc>
        <w:tc>
          <w:tcPr>
            <w:tcW w:w="1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14%</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Trimaran Advisors,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23,000,000</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Katonah 2007-I CLO Ltd.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24,312,424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20,295,677</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8,585,578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12,975,447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Crowley Holdings Preferred, LLC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10,411,673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11,036,373</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Grupo HIMA San Pablo, Inc.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9,817,315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9,917,500</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Catamaran CLO 2015-1 Ltd.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11,869,751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8,789,651</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10,624,515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8,177,538</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Weiman Products, LLC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6,582,457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6,619,805</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Nielsen &amp; Bainbrige,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6,510,157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0"/>
        </w:trPr>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$ 168,598,548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$ 164,703,148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r>
      <w:tr>
        <w:trPr>
          <w:trHeight w:val="21"/>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96"/>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of FMV</w:t>
            </w:r>
          </w:p>
        </w:tc>
      </w:tr>
      <w:tr>
        <w:trPr>
          <w:trHeight w:val="210"/>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60,292,677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72,326,000</w:t>
            </w:r>
          </w:p>
        </w:tc>
        <w:tc>
          <w:tcPr>
            <w:tcW w:w="1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15%</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Katonah 2007-I CLO Ltd.</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23,471,779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25,191,782</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Trimaran Advisors, L.L.C.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23,000,000</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Tank Partners Holdings,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11,378,111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10,539,567</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Crowley Holdings Preferred, LLC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10,206,016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10,418,302</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Restorix Health, Inc.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10,066,984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10,066,984</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Grupo HIMA San Pablo, Inc.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9,805,883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10,052,500</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Catamaran CLO 2014-1 Ltd.</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10,473,628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8,867,176</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Catamaran CLO 2014-2 Ltd.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9,862,799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8,761,500</w:t>
            </w: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DBI Holding LLC</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7,776,255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8,373,483</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r>
      <w:tr>
        <w:trPr>
          <w:trHeight w:val="20"/>
        </w:trPr>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$ 176,334,132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$ 187,597,294</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r>
      <w:tr>
        <w:trPr>
          <w:trHeight w:val="21"/>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-2108835</wp:posOffset>
            </wp:positionV>
            <wp:extent cx="4751070" cy="1803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47510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699" w:firstLine="270"/>
        <w:spacing w:after="0" w:line="264"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19% and 17% of the total fair value of the Company’s investments at December 31, 2015 and December 31, 2014, respectively.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539"/>
        <w:spacing w:after="0" w:line="272" w:lineRule="auto"/>
        <w:rPr>
          <w:sz w:val="20"/>
          <w:szCs w:val="20"/>
          <w:color w:val="auto"/>
        </w:rPr>
      </w:pPr>
      <w:r>
        <w:rPr>
          <w:rFonts w:ascii="Arial" w:cs="Arial" w:eastAsia="Arial" w:hAnsi="Arial"/>
          <w:sz w:val="17"/>
          <w:szCs w:val="17"/>
          <w:color w:val="auto"/>
        </w:rPr>
        <w:t>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70"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In June 2013, the Company purchased $9.0 million of the par value of the Subordinated Notes of Catamaran 2013-1 CLO (“Catamaran 2013-1”) managed by Trimaran Advisors.</w:t>
      </w:r>
    </w:p>
    <w:p>
      <w:pPr>
        <w:spacing w:after="0" w:line="62"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73"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In May 2015, the Company purchased $11.9 million of the par value of the Subordinated Notes of Catamaran 2015-1 CLO (“Catamaran 2015-1”) managed by Trimaran Advisors.</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Additionally, three managed funds made incentive fee distributions to the Asset Manager Affiliates during the year ended December 31, 2015. With the exception of Katonah III, Ltd., all third-party managed CLO Funds are making distributions to the Company.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“Significant Accounting Policies — Investments”).</w:t>
      </w:r>
    </w:p>
    <w:p>
      <w:pPr>
        <w:spacing w:after="0" w:line="80"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320" w:right="71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320" w:right="519" w:firstLine="270"/>
        <w:spacing w:after="0" w:line="277" w:lineRule="auto"/>
        <w:rPr>
          <w:sz w:val="20"/>
          <w:szCs w:val="20"/>
          <w:color w:val="auto"/>
        </w:rPr>
      </w:pPr>
      <w:r>
        <w:rPr>
          <w:rFonts w:ascii="Arial" w:cs="Arial" w:eastAsia="Arial" w:hAnsi="Arial"/>
          <w:sz w:val="18"/>
          <w:szCs w:val="18"/>
          <w:color w:val="auto"/>
        </w:rPr>
        <w:t>Level II — Pricing inputs are other than quoted prices in active markets, which are either directly or indirectly observable as of the reporting date. Such inputs may be quoted prices for similar assets or</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60" w:right="719"/>
        <w:spacing w:after="0" w:line="302" w:lineRule="auto"/>
        <w:rPr>
          <w:sz w:val="20"/>
          <w:szCs w:val="20"/>
          <w:color w:val="auto"/>
        </w:rPr>
      </w:pPr>
      <w:r>
        <w:rPr>
          <w:rFonts w:ascii="Arial" w:cs="Arial" w:eastAsia="Arial" w:hAnsi="Arial"/>
          <w:sz w:val="16"/>
          <w:szCs w:val="16"/>
          <w:color w:val="auto"/>
        </w:rPr>
        <w:t>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46" w:lineRule="exact"/>
        <w:rPr>
          <w:sz w:val="20"/>
          <w:szCs w:val="20"/>
          <w:color w:val="auto"/>
        </w:rPr>
      </w:pPr>
    </w:p>
    <w:p>
      <w:pPr>
        <w:ind w:left="460" w:right="61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180" w:right="639" w:firstLine="270"/>
        <w:spacing w:after="0" w:line="287"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65" w:lineRule="exact"/>
        <w:rPr>
          <w:sz w:val="20"/>
          <w:szCs w:val="20"/>
          <w:color w:val="auto"/>
        </w:rPr>
      </w:pPr>
    </w:p>
    <w:p>
      <w:pPr>
        <w:ind w:left="180" w:right="719" w:firstLine="270"/>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December 31, 2015 and December 31,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653"/>
              <w:spacing w:after="0"/>
              <w:rPr>
                <w:sz w:val="20"/>
                <w:szCs w:val="20"/>
                <w:color w:val="auto"/>
              </w:rPr>
            </w:pPr>
            <w:r>
              <w:rPr>
                <w:rFonts w:ascii="Arial" w:cs="Arial" w:eastAsia="Arial" w:hAnsi="Arial"/>
                <w:sz w:val="14"/>
                <w:szCs w:val="14"/>
                <w:b w:val="1"/>
                <w:bCs w:val="1"/>
                <w:color w:val="auto"/>
                <w:w w:val="92"/>
              </w:rPr>
              <w:t>As of December 31, 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I</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2,129,381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2,129,381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101,238,779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183,400,465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284,639,244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55,872,382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55,872,382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57,381,000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57,381,000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440" w:type="dxa"/>
            <w:vAlign w:val="bottom"/>
            <w:tcBorders>
              <w:lef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103,813,645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305,756,850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409,570,495</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right="653"/>
              <w:spacing w:after="0"/>
              <w:rPr>
                <w:sz w:val="20"/>
                <w:szCs w:val="20"/>
                <w:color w:val="auto"/>
              </w:rPr>
            </w:pPr>
            <w:r>
              <w:rPr>
                <w:rFonts w:ascii="Arial" w:cs="Arial" w:eastAsia="Arial" w:hAnsi="Arial"/>
                <w:sz w:val="14"/>
                <w:szCs w:val="14"/>
                <w:b w:val="1"/>
                <w:bCs w:val="1"/>
                <w:color w:val="auto"/>
                <w:w w:val="92"/>
              </w:rPr>
              <w:t>As of December 31, 2014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I</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1,602,741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1,602,741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149,124,827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171,018,343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320,143,170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77,514,902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77,514,902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72,326,000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72,326,000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440" w:type="dxa"/>
            <w:vAlign w:val="bottom"/>
            <w:tcBorders>
              <w:lef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150,727,568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328,978,926</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479,706,494</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F-40</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-1911985</wp:posOffset>
            </wp:positionV>
            <wp:extent cx="5213985"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-1851660</wp:posOffset>
            </wp:positionV>
            <wp:extent cx="52139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6" w:name="page117"/>
    <w:bookmarkEnd w:id="116"/>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180" w:right="619" w:firstLine="270"/>
        <w:spacing w:after="0" w:line="279"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63" w:lineRule="exact"/>
        <w:rPr>
          <w:sz w:val="20"/>
          <w:szCs w:val="20"/>
          <w:color w:val="auto"/>
        </w:rPr>
      </w:pPr>
    </w:p>
    <w:p>
      <w:pPr>
        <w:ind w:left="180" w:right="699" w:firstLine="270"/>
        <w:spacing w:after="0" w:line="273"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70" w:lineRule="exact"/>
        <w:rPr>
          <w:sz w:val="20"/>
          <w:szCs w:val="20"/>
          <w:color w:val="auto"/>
        </w:rPr>
      </w:pPr>
    </w:p>
    <w:p>
      <w:pPr>
        <w:ind w:left="180" w:right="579" w:firstLine="270"/>
        <w:spacing w:after="0" w:line="291" w:lineRule="auto"/>
        <w:rPr>
          <w:sz w:val="20"/>
          <w:szCs w:val="20"/>
          <w:color w:val="auto"/>
        </w:rPr>
      </w:pPr>
      <w:r>
        <w:rPr>
          <w:rFonts w:ascii="Arial" w:cs="Arial" w:eastAsia="Arial" w:hAnsi="Arial"/>
          <w:sz w:val="16"/>
          <w:szCs w:val="16"/>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59" w:lineRule="exact"/>
        <w:rPr>
          <w:sz w:val="20"/>
          <w:szCs w:val="20"/>
          <w:color w:val="auto"/>
        </w:rPr>
      </w:pPr>
    </w:p>
    <w:p>
      <w:pPr>
        <w:ind w:left="180" w:right="579" w:firstLine="270"/>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16510</wp:posOffset>
            </wp:positionV>
            <wp:extent cx="52400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Year Ended December 31, 2015</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8"/>
              </w:rPr>
              <w:t>Debt Securities</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CLO Fund</w:t>
            </w:r>
          </w:p>
        </w:tc>
        <w:tc>
          <w:tcPr>
            <w:tcW w:w="9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Equity</w:t>
            </w:r>
          </w:p>
        </w:tc>
        <w:tc>
          <w:tcPr>
            <w:tcW w:w="11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Asset Manager</w:t>
            </w: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Balance, December 31, 2014</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9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Securities</w:t>
            </w: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Affiliate</w:t>
            </w:r>
          </w:p>
        </w:tc>
        <w:tc>
          <w:tcPr>
            <w:tcW w:w="1100" w:type="dxa"/>
            <w:vAlign w:val="bottom"/>
            <w:tcBorders>
              <w:bottom w:val="single" w:sz="8" w:color="auto"/>
            </w:tcBorders>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171,018,343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$ 77,514,902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$ 8,119,681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$ 72,326,000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$328,978,926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7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(30,472,595)</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(30,472,595)</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780" w:type="dxa"/>
            <w:vAlign w:val="bottom"/>
          </w:tcPr>
          <w:p>
            <w:pPr>
              <w:ind w:left="20"/>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34,013,134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34,013,134</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accretion of discount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300,255</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(9,507,048)</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(9,206,793)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990,000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11,952,000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12,942,000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Sales/Paydowns/Return of Capital</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(3,872,700)</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(317,340)</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(3,701,446)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(7,891,486)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780" w:type="dxa"/>
            <w:vAlign w:val="bottom"/>
          </w:tcPr>
          <w:p>
            <w:pPr>
              <w:ind w:left="20"/>
              <w:spacing w:after="0" w:line="201" w:lineRule="exact"/>
              <w:rPr>
                <w:sz w:val="20"/>
                <w:szCs w:val="20"/>
                <w:color w:val="auto"/>
              </w:rPr>
            </w:pPr>
            <w:r>
              <w:rPr>
                <w:rFonts w:ascii="Arial" w:cs="Arial" w:eastAsia="Arial" w:hAnsi="Arial"/>
                <w:sz w:val="18"/>
                <w:szCs w:val="18"/>
                <w:color w:val="auto"/>
                <w:w w:val="95"/>
              </w:rPr>
              <w:t>Total realized gain/(loss) included in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99,145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(6,246,883)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3,015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(6,144,723)</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Total unrealized gain (loss) included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7,452,183</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(13,967,889)</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1,297,647</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(11,243,554)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(16,461,613)</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Balance, December 31, 2015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183,400,465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$ 55,872,382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9,103,003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$ 57,381,000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305,756,850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Changes in unrealized gains (losses)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 related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investments still held at reporting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(7,109,531)</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(20,760,499)</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1,297,647</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(11,243,554)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(23,254,223)</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F-41</w:t>
            </w: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-1397000</wp:posOffset>
            </wp:positionV>
            <wp:extent cx="5257165" cy="1803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5716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57165"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5716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7" w:name="page118"/>
    <w:bookmarkEnd w:id="11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438"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6172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63" w:lineRule="exact"/>
        <w:rPr>
          <w:sz w:val="20"/>
          <w:szCs w:val="20"/>
          <w:color w:val="auto"/>
        </w:rPr>
      </w:pPr>
    </w:p>
    <w:p>
      <w:pPr>
        <w:ind w:left="300" w:right="579" w:hanging="272"/>
        <w:spacing w:after="0" w:line="277"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$30,472,595 relating to debt securities for which pricing inputs, other than their quoted prices in active markets were observable as of December 31, 2015.</w:t>
      </w:r>
    </w:p>
    <w:p>
      <w:pPr>
        <w:spacing w:after="0" w:line="62"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into Level III represent a transfer of $34,013,134 relating to debt securities for which pricing inputs, other than their quoted prices in active markets were unobservable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9971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Year Ended December 31, 2014</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Debt Securities</w:t>
            </w:r>
          </w:p>
        </w:tc>
        <w:tc>
          <w:tcPr>
            <w:tcW w:w="100" w:type="dxa"/>
            <w:vAlign w:val="bottom"/>
          </w:tcPr>
          <w:p>
            <w:pPr>
              <w:spacing w:after="0"/>
              <w:rPr>
                <w:sz w:val="10"/>
                <w:szCs w:val="10"/>
                <w:color w:val="auto"/>
              </w:rPr>
            </w:pPr>
          </w:p>
        </w:tc>
        <w:tc>
          <w:tcPr>
            <w:tcW w:w="10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CLO</w:t>
            </w:r>
          </w:p>
        </w:tc>
        <w:tc>
          <w:tcPr>
            <w:tcW w:w="100" w:type="dxa"/>
            <w:vAlign w:val="bottom"/>
          </w:tcPr>
          <w:p>
            <w:pPr>
              <w:spacing w:after="0"/>
              <w:rPr>
                <w:sz w:val="10"/>
                <w:szCs w:val="10"/>
                <w:color w:val="auto"/>
              </w:rPr>
            </w:pPr>
          </w:p>
        </w:tc>
        <w:tc>
          <w:tcPr>
            <w:tcW w:w="9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Equity</w:t>
            </w:r>
          </w:p>
        </w:tc>
        <w:tc>
          <w:tcPr>
            <w:tcW w:w="108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Asset Manager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80" w:type="dxa"/>
            <w:vAlign w:val="bottom"/>
            <w:gridSpan w:val="3"/>
            <w:vMerge w:val="restart"/>
          </w:tcPr>
          <w:p>
            <w:pPr>
              <w:ind w:left="20"/>
              <w:spacing w:after="0"/>
              <w:rPr>
                <w:sz w:val="20"/>
                <w:szCs w:val="20"/>
                <w:color w:val="auto"/>
              </w:rPr>
            </w:pPr>
            <w:r>
              <w:rPr>
                <w:rFonts w:ascii="Arial" w:cs="Arial" w:eastAsia="Arial" w:hAnsi="Arial"/>
                <w:sz w:val="18"/>
                <w:szCs w:val="18"/>
                <w:color w:val="auto"/>
              </w:rPr>
              <w:t>Balance, December 31, 2013</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7"/>
              </w:rPr>
              <w:t>Fund Securities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Affiliate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198,097,374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79,452,220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11,006,399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76,148,000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364,703,993</w:t>
            </w:r>
          </w:p>
        </w:tc>
        <w:tc>
          <w:tcPr>
            <w:tcW w:w="0" w:type="dxa"/>
            <w:vAlign w:val="bottom"/>
          </w:tcPr>
          <w:p>
            <w:pPr>
              <w:spacing w:after="0"/>
              <w:rPr>
                <w:sz w:val="1"/>
                <w:szCs w:val="1"/>
                <w:color w:val="auto"/>
              </w:rPr>
            </w:pPr>
          </w:p>
        </w:tc>
      </w:tr>
      <w:tr>
        <w:trPr>
          <w:trHeight w:val="257"/>
        </w:trPr>
        <w:tc>
          <w:tcPr>
            <w:tcW w:w="27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(38,990,152)</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(38,990,152)</w:t>
            </w:r>
          </w:p>
        </w:tc>
        <w:tc>
          <w:tcPr>
            <w:tcW w:w="0" w:type="dxa"/>
            <w:vAlign w:val="bottom"/>
          </w:tcPr>
          <w:p>
            <w:pPr>
              <w:spacing w:after="0"/>
              <w:rPr>
                <w:sz w:val="1"/>
                <w:szCs w:val="1"/>
                <w:color w:val="auto"/>
              </w:rPr>
            </w:pPr>
          </w:p>
        </w:tc>
      </w:tr>
      <w:tr>
        <w:trPr>
          <w:trHeight w:val="257"/>
        </w:trPr>
        <w:tc>
          <w:tcPr>
            <w:tcW w:w="27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1,982,110</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1,982,110</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accretion of discount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198,600</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(11,102,015)</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(10,903,415)</w:t>
            </w:r>
          </w:p>
        </w:tc>
        <w:tc>
          <w:tcPr>
            <w:tcW w:w="0" w:type="dxa"/>
            <w:vAlign w:val="bottom"/>
          </w:tcPr>
          <w:p>
            <w:pPr>
              <w:spacing w:after="0"/>
              <w:rPr>
                <w:sz w:val="1"/>
                <w:szCs w:val="1"/>
                <w:color w:val="auto"/>
              </w:rPr>
            </w:pP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132,079,152</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22,421,847</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2,216,847</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545,979</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157,263,825</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Sales/Paydowns/Return of Capital</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shd w:val="clear" w:color="auto" w:fill="CCEEFF"/>
              </w:rPr>
              <w:t>(121,242,093)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shd w:val="clear" w:color="auto" w:fill="CCEEFF"/>
              </w:rPr>
              <w:t>(10,132,500)</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shd w:val="clear" w:color="auto" w:fill="CCEEFF"/>
              </w:rPr>
              <w:t>(5,007,311)</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shd w:val="clear" w:color="auto" w:fill="CCEEFF"/>
              </w:rPr>
              <w:t>(6,432,086)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shd w:val="clear" w:color="auto" w:fill="CCEEFF"/>
              </w:rPr>
              <w:t>(142,813,990)</w:t>
            </w:r>
          </w:p>
        </w:tc>
        <w:tc>
          <w:tcPr>
            <w:tcW w:w="0" w:type="dxa"/>
            <w:vAlign w:val="bottom"/>
          </w:tcPr>
          <w:p>
            <w:pPr>
              <w:spacing w:after="0"/>
              <w:rPr>
                <w:sz w:val="1"/>
                <w:szCs w:val="1"/>
                <w:color w:val="auto"/>
              </w:rPr>
            </w:pPr>
          </w:p>
        </w:tc>
      </w:tr>
      <w:tr>
        <w:trPr>
          <w:trHeight w:val="202"/>
        </w:trPr>
        <w:tc>
          <w:tcPr>
            <w:tcW w:w="27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Total realized gain included in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(9,069,550)</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5,575,498</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(7,136,407)</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(10,630,459)</w:t>
            </w:r>
          </w:p>
        </w:tc>
        <w:tc>
          <w:tcPr>
            <w:tcW w:w="0" w:type="dxa"/>
            <w:vAlign w:val="bottom"/>
          </w:tcPr>
          <w:p>
            <w:pPr>
              <w:spacing w:after="0"/>
              <w:rPr>
                <w:sz w:val="1"/>
                <w:szCs w:val="1"/>
                <w:color w:val="auto"/>
              </w:rPr>
            </w:pPr>
          </w:p>
        </w:tc>
      </w:tr>
      <w:tr>
        <w:trPr>
          <w:trHeight w:val="202"/>
        </w:trPr>
        <w:tc>
          <w:tcPr>
            <w:tcW w:w="27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Total unrealized gain (loss) included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earnings</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7,962,902</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(8,700,148)</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7,040,153</w:t>
            </w: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2,064,107</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8,367,014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Balance, December 31, 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171,018,343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77,514,902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8,119,681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72,326,000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328,978,926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7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Changes in unrealized gains (losses)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included in earnings related to</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investments still held at reporting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(1,448,794)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(4,908,278)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2,064,107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(3,868,659)</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-942975</wp:posOffset>
            </wp:positionV>
            <wp:extent cx="5360035" cy="1803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36003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17583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7583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-213995</wp:posOffset>
            </wp:positionV>
            <wp:extent cx="1028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-187960</wp:posOffset>
            </wp:positionV>
            <wp:extent cx="1028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-213995</wp:posOffset>
            </wp:positionV>
            <wp:extent cx="1028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-187960</wp:posOffset>
            </wp:positionV>
            <wp:extent cx="1028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-213995</wp:posOffset>
            </wp:positionV>
            <wp:extent cx="1028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-187960</wp:posOffset>
            </wp:positionV>
            <wp:extent cx="1028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-213995</wp:posOffset>
            </wp:positionV>
            <wp:extent cx="1028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4516755</wp:posOffset>
            </wp:positionH>
            <wp:positionV relativeFrom="paragraph">
              <wp:posOffset>-187960</wp:posOffset>
            </wp:positionV>
            <wp:extent cx="1028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-213995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-187960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7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$38,990,152 relating to debt securities for which pricing inputs, other than their quoted prices in active markets were observable as of December 31, 2014.</w:t>
      </w:r>
    </w:p>
    <w:p>
      <w:pPr>
        <w:spacing w:after="0" w:line="62"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into Level III represent a transfer of $1,982,110 relating to debt securities for which pricing inputs, other than their quoted prices in active markets were unobservable as of December 31, 2014.</w:t>
      </w:r>
    </w:p>
    <w:p>
      <w:pPr>
        <w:spacing w:after="0" w:line="62" w:lineRule="exact"/>
        <w:rPr>
          <w:sz w:val="20"/>
          <w:szCs w:val="20"/>
          <w:color w:val="auto"/>
        </w:rPr>
      </w:pPr>
    </w:p>
    <w:p>
      <w:pPr>
        <w:ind w:left="60" w:right="539" w:firstLine="270"/>
        <w:spacing w:after="0" w:line="302" w:lineRule="auto"/>
        <w:rPr>
          <w:sz w:val="20"/>
          <w:szCs w:val="20"/>
          <w:color w:val="auto"/>
        </w:rPr>
      </w:pPr>
      <w:r>
        <w:rPr>
          <w:rFonts w:ascii="Arial" w:cs="Arial" w:eastAsia="Arial" w:hAnsi="Arial"/>
          <w:sz w:val="16"/>
          <w:szCs w:val="16"/>
          <w:color w:val="auto"/>
        </w:rPr>
        <w:t>As of December 31, 2015,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$103,813,645 as of December 31, 2015.</w:t>
      </w: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8" w:name="page119"/>
    <w:bookmarkEnd w:id="11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2015,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110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520" w:type="dxa"/>
            <w:vAlign w:val="bottom"/>
            <w:tcBorders>
              <w:top w:val="single" w:sz="8" w:color="auto"/>
              <w:bottom w:val="single" w:sz="8" w:color="auto"/>
            </w:tcBorders>
          </w:tcPr>
          <w:p>
            <w:pPr>
              <w:spacing w:after="0"/>
              <w:rPr>
                <w:sz w:val="5"/>
                <w:szCs w:val="5"/>
                <w:color w:val="auto"/>
              </w:rPr>
            </w:pPr>
          </w:p>
        </w:tc>
        <w:tc>
          <w:tcPr>
            <w:tcW w:w="1820" w:type="dxa"/>
            <w:vAlign w:val="bottom"/>
            <w:tcBorders>
              <w:top w:val="single" w:sz="8" w:color="auto"/>
              <w:bottom w:val="single" w:sz="8" w:color="auto"/>
            </w:tcBorders>
          </w:tcPr>
          <w:p>
            <w:pPr>
              <w:spacing w:after="0"/>
              <w:rPr>
                <w:sz w:val="5"/>
                <w:szCs w:val="5"/>
                <w:color w:val="auto"/>
              </w:rPr>
            </w:pPr>
          </w:p>
        </w:tc>
        <w:tc>
          <w:tcPr>
            <w:tcW w:w="180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2060" w:type="dxa"/>
            <w:vAlign w:val="bottom"/>
            <w:tcBorders>
              <w:right w:val="single" w:sz="8" w:color="auto"/>
            </w:tcBorders>
            <w:gridSpan w:val="2"/>
            <w:vMerge w:val="restart"/>
            <w:shd w:val="clear" w:color="auto" w:fill="E7E7E8"/>
          </w:tcPr>
          <w:p>
            <w:pPr>
              <w:ind w:left="880"/>
              <w:spacing w:after="0"/>
              <w:rPr>
                <w:sz w:val="20"/>
                <w:szCs w:val="20"/>
                <w:color w:val="auto"/>
              </w:rPr>
            </w:pPr>
            <w:r>
              <w:rPr>
                <w:rFonts w:ascii="Arial" w:cs="Arial" w:eastAsia="Arial" w:hAnsi="Arial"/>
                <w:sz w:val="14"/>
                <w:szCs w:val="14"/>
                <w:b w:val="1"/>
                <w:bCs w:val="1"/>
                <w:color w:val="auto"/>
              </w:rPr>
              <w:t>Type</w:t>
            </w:r>
          </w:p>
        </w:tc>
        <w:tc>
          <w:tcPr>
            <w:tcW w:w="980" w:type="dxa"/>
            <w:vAlign w:val="bottom"/>
            <w:tcBorders>
              <w:right w:val="single" w:sz="8" w:color="auto"/>
            </w:tcBorders>
            <w:gridSpan w:val="2"/>
            <w:vMerge w:val="restart"/>
            <w:shd w:val="clear" w:color="auto" w:fill="E7E7E8"/>
          </w:tcPr>
          <w:p>
            <w:pPr>
              <w:ind w:left="160"/>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5"/>
              </w:rPr>
              <w:t>Primary Valuation</w:t>
            </w:r>
          </w:p>
        </w:tc>
        <w:tc>
          <w:tcPr>
            <w:tcW w:w="182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80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6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98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52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4"/>
              </w:rPr>
              <w:t>Methodology</w:t>
            </w:r>
          </w:p>
        </w:tc>
        <w:tc>
          <w:tcPr>
            <w:tcW w:w="182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80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89"/>
              </w:rPr>
              <w:t>2,216,700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Enterprise Value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Average EBITDA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 Securities</w:t>
            </w:r>
          </w:p>
        </w:tc>
        <w:tc>
          <w:tcPr>
            <w:tcW w:w="2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060" w:type="dxa"/>
            <w:vAlign w:val="bottom"/>
            <w:tcBorders>
              <w:right w:val="single" w:sz="8" w:color="auto"/>
            </w:tcBorders>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0" w:type="dxa"/>
            <w:vAlign w:val="bottom"/>
            <w:tcBorders>
              <w:right w:val="single" w:sz="8" w:color="auto"/>
            </w:tcBorders>
            <w:shd w:val="clear" w:color="auto" w:fill="000000"/>
          </w:tcPr>
          <w:p>
            <w:pPr>
              <w:spacing w:after="0"/>
              <w:rPr>
                <w:sz w:val="12"/>
                <w:szCs w:val="12"/>
                <w:color w:val="auto"/>
              </w:rPr>
            </w:pPr>
          </w:p>
        </w:tc>
        <w:tc>
          <w:tcPr>
            <w:tcW w:w="2060" w:type="dxa"/>
            <w:vAlign w:val="bottom"/>
            <w:tcBorders>
              <w:right w:val="single" w:sz="8" w:color="auto"/>
            </w:tcBorders>
            <w:gridSpan w:val="2"/>
            <w:vMerge w:val="continue"/>
          </w:tcPr>
          <w:p>
            <w:pPr>
              <w:spacing w:after="0"/>
              <w:rPr>
                <w:sz w:val="12"/>
                <w:szCs w:val="12"/>
                <w:color w:val="auto"/>
              </w:rPr>
            </w:pPr>
          </w:p>
        </w:tc>
        <w:tc>
          <w:tcPr>
            <w:tcW w:w="9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89"/>
              </w:rPr>
              <w:t>$181,182,774</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Income Approach</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Implied Discount Rate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4.9% – 27.1% (10.46)%</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991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Options Value</w:t>
            </w:r>
          </w:p>
        </w:tc>
        <w:tc>
          <w:tcPr>
            <w:tcW w:w="18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$ 9,100,003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Enterprise Value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Average EBITDA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4.8x/6.9% –</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Multiple/WAAC</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12.9x/13.4%</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(6.8x/12.0)%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Options Value</w:t>
            </w:r>
          </w:p>
        </w:tc>
        <w:tc>
          <w:tcPr>
            <w:tcW w:w="18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11.3% – 15.0% (14.9)%</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0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CLO Fund</w:t>
            </w: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2.0% – 2.5% (2.1)%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06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40" w:type="dxa"/>
            <w:vAlign w:val="bottom"/>
            <w:tcBorders>
              <w:right w:val="single" w:sz="8" w:color="auto"/>
            </w:tcBorders>
            <w:shd w:val="clear" w:color="auto" w:fill="000000"/>
          </w:tcPr>
          <w:p>
            <w:pPr>
              <w:spacing w:after="0"/>
              <w:rPr>
                <w:sz w:val="4"/>
                <w:szCs w:val="4"/>
                <w:color w:val="auto"/>
              </w:rPr>
            </w:pPr>
          </w:p>
        </w:tc>
        <w:tc>
          <w:tcPr>
            <w:tcW w:w="2060" w:type="dxa"/>
            <w:vAlign w:val="bottom"/>
            <w:tcBorders>
              <w:right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Loss Severity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25.0% – 25.9% (25.7)%</w:t>
            </w:r>
          </w:p>
        </w:tc>
        <w:tc>
          <w:tcPr>
            <w:tcW w:w="0" w:type="dxa"/>
            <w:vAlign w:val="bottom"/>
          </w:tcPr>
          <w:p>
            <w:pPr>
              <w:spacing w:after="0"/>
              <w:rPr>
                <w:sz w:val="1"/>
                <w:szCs w:val="1"/>
                <w:color w:val="auto"/>
              </w:rPr>
            </w:pP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Securities</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$ 55,872,382</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Discounted Cash</w:t>
            </w:r>
          </w:p>
        </w:tc>
        <w:tc>
          <w:tcPr>
            <w:tcW w:w="182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rPr>
              <w:t>Flow</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74.1% – 75% (74.3)%</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Prepayment Rate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7.9% – 32.0% (25.3)%</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gridSpan w:val="2"/>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Asset Manager</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$ 57,381,000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Discounted Cash</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2.4% – 15.0% (8.6)%</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Affiliate</w:t>
            </w:r>
          </w:p>
        </w:tc>
        <w:tc>
          <w:tcPr>
            <w:tcW w:w="2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Flow</w:t>
            </w: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gridSpan w:val="2"/>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Total Level III</w:t>
            </w: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$305,756,850</w:t>
            </w:r>
          </w:p>
        </w:tc>
        <w:tc>
          <w:tcPr>
            <w:tcW w:w="15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Investments</w:t>
            </w:r>
          </w:p>
        </w:tc>
        <w:tc>
          <w:tcPr>
            <w:tcW w:w="2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59" w:hanging="272"/>
        <w:spacing w:after="0" w:line="27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62"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2014,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580" w:type="dxa"/>
            <w:vAlign w:val="bottom"/>
            <w:tcBorders>
              <w:top w:val="single" w:sz="8" w:color="auto"/>
              <w:bottom w:val="single" w:sz="8" w:color="auto"/>
            </w:tcBorders>
          </w:tcPr>
          <w:p>
            <w:pPr>
              <w:spacing w:after="0"/>
              <w:rPr>
                <w:sz w:val="5"/>
                <w:szCs w:val="5"/>
                <w:color w:val="auto"/>
              </w:rPr>
            </w:pPr>
          </w:p>
        </w:tc>
        <w:tc>
          <w:tcPr>
            <w:tcW w:w="1580" w:type="dxa"/>
            <w:vAlign w:val="bottom"/>
            <w:tcBorders>
              <w:top w:val="single" w:sz="8" w:color="auto"/>
              <w:bottom w:val="single" w:sz="8" w:color="auto"/>
            </w:tcBorders>
          </w:tcPr>
          <w:p>
            <w:pPr>
              <w:spacing w:after="0"/>
              <w:rPr>
                <w:sz w:val="5"/>
                <w:szCs w:val="5"/>
                <w:color w:val="auto"/>
              </w:rPr>
            </w:pPr>
          </w:p>
        </w:tc>
        <w:tc>
          <w:tcPr>
            <w:tcW w:w="188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2140" w:type="dxa"/>
            <w:vAlign w:val="bottom"/>
            <w:tcBorders>
              <w:right w:val="single" w:sz="8" w:color="auto"/>
            </w:tcBorders>
            <w:gridSpan w:val="2"/>
            <w:vMerge w:val="restart"/>
            <w:shd w:val="clear" w:color="auto" w:fill="E7E7E8"/>
          </w:tcPr>
          <w:p>
            <w:pPr>
              <w:ind w:left="920"/>
              <w:spacing w:after="0"/>
              <w:rPr>
                <w:sz w:val="20"/>
                <w:szCs w:val="20"/>
                <w:color w:val="auto"/>
              </w:rPr>
            </w:pPr>
            <w:r>
              <w:rPr>
                <w:rFonts w:ascii="Arial" w:cs="Arial" w:eastAsia="Arial" w:hAnsi="Arial"/>
                <w:sz w:val="14"/>
                <w:szCs w:val="14"/>
                <w:b w:val="1"/>
                <w:bCs w:val="1"/>
                <w:color w:val="auto"/>
              </w:rPr>
              <w:t>Type</w:t>
            </w:r>
          </w:p>
        </w:tc>
        <w:tc>
          <w:tcPr>
            <w:tcW w:w="1000" w:type="dxa"/>
            <w:vAlign w:val="bottom"/>
            <w:tcBorders>
              <w:right w:val="single" w:sz="8" w:color="auto"/>
            </w:tcBorders>
            <w:gridSpan w:val="2"/>
            <w:vMerge w:val="restart"/>
            <w:shd w:val="clear" w:color="auto" w:fill="E7E7E8"/>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7"/>
              </w:rPr>
              <w:t>Primary Valuation</w:t>
            </w:r>
          </w:p>
        </w:tc>
        <w:tc>
          <w:tcPr>
            <w:tcW w:w="158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88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14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00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58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1"/>
              </w:rPr>
              <w:t>Methodology</w:t>
            </w:r>
          </w:p>
        </w:tc>
        <w:tc>
          <w:tcPr>
            <w:tcW w:w="158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88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2,580,000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7.9x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 Securities</w:t>
            </w:r>
          </w:p>
        </w:tc>
        <w:tc>
          <w:tcPr>
            <w:tcW w:w="2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Multiple/WAAC</w:t>
            </w: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140" w:type="dxa"/>
            <w:vAlign w:val="bottom"/>
            <w:tcBorders>
              <w:right w:val="single" w:sz="8" w:color="auto"/>
            </w:tcBorders>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0" w:type="dxa"/>
            <w:vAlign w:val="bottom"/>
            <w:tcBorders>
              <w:right w:val="single" w:sz="8" w:color="auto"/>
            </w:tcBorders>
            <w:shd w:val="clear" w:color="auto" w:fill="000000"/>
          </w:tcPr>
          <w:p>
            <w:pPr>
              <w:spacing w:after="0"/>
              <w:rPr>
                <w:sz w:val="12"/>
                <w:szCs w:val="12"/>
                <w:color w:val="auto"/>
              </w:rPr>
            </w:pPr>
          </w:p>
        </w:tc>
        <w:tc>
          <w:tcPr>
            <w:tcW w:w="2140" w:type="dxa"/>
            <w:vAlign w:val="bottom"/>
            <w:tcBorders>
              <w:right w:val="single" w:sz="8" w:color="auto"/>
            </w:tcBorders>
            <w:gridSpan w:val="2"/>
            <w:vMerge w:val="continue"/>
          </w:tcPr>
          <w:p>
            <w:pPr>
              <w:spacing w:after="0"/>
              <w:rPr>
                <w:sz w:val="12"/>
                <w:szCs w:val="12"/>
                <w:color w:val="auto"/>
              </w:rPr>
            </w:pPr>
          </w:p>
        </w:tc>
        <w:tc>
          <w:tcPr>
            <w:tcW w:w="1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1"/>
              </w:rPr>
              <w:t>$168,437,343</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Income Approach</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Implied Discount Rate</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2.8% – 18.3% (9.0)%</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5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$ 8,116,681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4.3x/10.4% – 12.6x/15.8%</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14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Multiple/WAAC</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(8.1x/13.2)%</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5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11% – 12% (11.5)%</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1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CLO Fund</w:t>
            </w: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2.0% – 2.5% (2.3)%</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214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40" w:type="dxa"/>
            <w:vAlign w:val="bottom"/>
            <w:tcBorders>
              <w:right w:val="single" w:sz="8" w:color="auto"/>
            </w:tcBorders>
            <w:shd w:val="clear" w:color="auto" w:fill="000000"/>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Loss Severity</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25.0% – 25.9% (25.5)%</w:t>
            </w:r>
          </w:p>
        </w:tc>
        <w:tc>
          <w:tcPr>
            <w:tcW w:w="0" w:type="dxa"/>
            <w:vAlign w:val="bottom"/>
          </w:tcPr>
          <w:p>
            <w:pPr>
              <w:spacing w:after="0"/>
              <w:rPr>
                <w:sz w:val="1"/>
                <w:szCs w:val="1"/>
                <w:color w:val="auto"/>
              </w:rPr>
            </w:pP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14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Securities</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2"/>
              </w:rPr>
              <w:t>$ 68,753,402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8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74.1% – 75% (74.6)%</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Prepayment Rate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0% – 37.8% (31.1)%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5"/>
              </w:rPr>
              <w:t>8,761,500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Market Approach</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Third Party Quote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88.5 (88.5)</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2"/>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21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Asset Manager</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2"/>
              </w:rPr>
              <w:t>$ 72,326,000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1.76 – 8.75 (6.65)</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21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Affiliate</w:t>
            </w:r>
          </w:p>
        </w:tc>
        <w:tc>
          <w:tcPr>
            <w:tcW w:w="2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gridSpan w:val="2"/>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1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w w:val="96"/>
              </w:rPr>
              <w:t>Total Level III Investments</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9"/>
              </w:rPr>
              <w:t>$328,978,926</w:t>
            </w:r>
          </w:p>
        </w:tc>
        <w:tc>
          <w:tcPr>
            <w:tcW w:w="15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5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3"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7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3"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ASSET MANAGER AFFILIATES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Wholly-Owned Asset Managers</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December 31, 2015, the Asset Manager Affiliates had approximately $2.7 billion of par value of assets under management, and the Company’s 100% equity interest in the Asset Manager Affiliates had a fair value of approximately $57 million.</w:t>
      </w:r>
    </w:p>
    <w:p>
      <w:pPr>
        <w:spacing w:after="0" w:line="80"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60" w:right="639"/>
        <w:spacing w:after="0" w:line="308" w:lineRule="auto"/>
        <w:rPr>
          <w:sz w:val="20"/>
          <w:szCs w:val="20"/>
          <w:color w:val="auto"/>
        </w:rPr>
      </w:pPr>
      <w:r>
        <w:rPr>
          <w:rFonts w:ascii="Arial" w:cs="Arial" w:eastAsia="Arial" w:hAnsi="Arial"/>
          <w:sz w:val="17"/>
          <w:szCs w:val="17"/>
          <w:color w:val="auto"/>
        </w:rPr>
        <w:t>CLO Funds managed by the Asset Manager Affiliates are paying both their senior and subordinated management fees on a current basis. Additionally, three managed funds made incentive fee distributions during the year ended December 31, 2015.</w:t>
      </w:r>
    </w:p>
    <w:p>
      <w:pPr>
        <w:spacing w:after="0" w:line="38" w:lineRule="exact"/>
        <w:rPr>
          <w:sz w:val="20"/>
          <w:szCs w:val="20"/>
          <w:color w:val="auto"/>
        </w:rPr>
      </w:pPr>
    </w:p>
    <w:p>
      <w:pPr>
        <w:ind w:left="60" w:right="619" w:firstLine="270"/>
        <w:spacing w:after="0" w:line="271" w:lineRule="auto"/>
        <w:rPr>
          <w:sz w:val="20"/>
          <w:szCs w:val="20"/>
          <w:color w:val="auto"/>
        </w:rPr>
      </w:pPr>
      <w:r>
        <w:rPr>
          <w:rFonts w:ascii="Arial" w:cs="Arial" w:eastAsia="Arial" w:hAnsi="Arial"/>
          <w:sz w:val="17"/>
          <w:szCs w:val="17"/>
          <w:color w:val="auto"/>
        </w:rPr>
        <w:t>For the years ended December 31, 2015, 2014, and 2013, the Asset Manager Affiliates declared cash distributions of $9.1 million, $11.9 million, and $12.8 million to the Company, respectively. Any distributions from the Asset Manager Affiliates out of the estimated tax-basis earnings and profits are recorded as “Dividends from Asset Manager Affiliates” on the Company’s statement of operations. The Company recognized $5.3 million, $5.5 million, and $5.7 million of Dividends from Asset Manager Affiliates in the Statement of Operations in 2015, 2014, and 2013, respectively.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7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79"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73" w:lineRule="exact"/>
        <w:rPr>
          <w:sz w:val="20"/>
          <w:szCs w:val="20"/>
          <w:color w:val="auto"/>
        </w:rPr>
      </w:pPr>
    </w:p>
    <w:p>
      <w:pPr>
        <w:ind w:left="60" w:right="539" w:firstLine="270"/>
        <w:spacing w:after="0" w:line="287" w:lineRule="auto"/>
        <w:rPr>
          <w:sz w:val="20"/>
          <w:szCs w:val="20"/>
          <w:color w:val="auto"/>
        </w:rPr>
      </w:pPr>
      <w:r>
        <w:rPr>
          <w:rFonts w:ascii="Arial" w:cs="Arial" w:eastAsia="Arial" w:hAnsi="Arial"/>
          <w:sz w:val="16"/>
          <w:szCs w:val="16"/>
          <w:color w:val="auto"/>
        </w:rPr>
        <w:t>Effective January 1, 2010, the Asset Manager Affiliates adopted guidance encompassed in Accounting Standards Codification Topic 810, “Consolidation.” The adoption of this new guidance had an impact on the disclosures relating to the Asset Manager Affiliates in the Company’s SEC Filings which had previously not been required, as its provisions require the Asset Manager Affiliates to consolidate certain of their managed CLO Funds that were not previously consolidated. As a result of the consolidation of these CLO Funds into the Asset Manager Affiliates, the financial results of the Asset Manager Affiliates indicate that they qualify as a “significant subsidiary” of the Company requiring additional disclosures. In addition, in accordance with Rules 3-09, Rule 4-08(g) and 1-02 of Regulation S-X, additional financial information with respect to two of the CLO Funds in which the Company has an investment, Katonah 2007-I CLO and Katonah X CLO are required to be included in the Company’s SEC filings. The additional financial information regarding the Asset Manager Affiliates and Katonah 2007-I CLO (pursuant to Rule 3-09) immediately follow these financial statements. The additional financial information regarding Katonah X CLO (pursuant to Rule 4-08(g)) is set forth below. This additional financial information regarding the Asset Manager Affiliates, Katonah 2007-1 CLO and Katonah X CLO does not directly impact the financial position, results of operations, or cash flows of the Company.</w:t>
      </w:r>
    </w:p>
    <w:p>
      <w:pPr>
        <w:spacing w:after="0" w:line="1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Summarized 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968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294,519,583</w:t>
            </w: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13,826,334</w:t>
            </w: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Receivable for investments sold</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4,178,443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4,816,030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309,087,239</w:t>
            </w:r>
          </w:p>
        </w:tc>
      </w:tr>
      <w:tr>
        <w:trPr>
          <w:trHeight w:val="257"/>
        </w:trPr>
        <w:tc>
          <w:tcPr>
            <w:tcW w:w="55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CLO Debt at fair value</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301,099,336</w:t>
            </w: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4,816,030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302,052,535</w:t>
            </w:r>
          </w:p>
        </w:tc>
      </w:tr>
      <w:tr>
        <w:trPr>
          <w:trHeight w:val="216"/>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7,034,704</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56" w:lineRule="exact"/>
        <w:rPr>
          <w:sz w:val="20"/>
          <w:szCs w:val="20"/>
          <w:color w:val="auto"/>
        </w:rPr>
      </w:pPr>
    </w:p>
    <w:p>
      <w:pPr>
        <w:ind w:left="300" w:right="131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subordinated securities of approximately $3.0 million and $14.6 million, as of December 31, 2015 and 2014, respectively.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2" w:name="page123"/>
    <w:bookmarkEnd w:id="12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438"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2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Summarized Statements of Operations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885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48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December 31, 2014</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7,619,817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12,441,502</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Total income</w:t>
            </w:r>
          </w:p>
        </w:tc>
        <w:tc>
          <w:tcPr>
            <w:tcW w:w="18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7,823,471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13,170,483</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10,194,889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8,945,449</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16,241,895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13,136,542</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1,383,719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(10,998,445)</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(7,034,705)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(10,964,505)</w:t>
            </w:r>
          </w:p>
        </w:tc>
      </w:tr>
    </w:tbl>
    <w:p>
      <w:pPr>
        <w:spacing w:after="0" w:line="79" w:lineRule="exact"/>
        <w:rPr>
          <w:sz w:val="20"/>
          <w:szCs w:val="20"/>
          <w:color w:val="auto"/>
        </w:rPr>
      </w:pPr>
    </w:p>
    <w:p>
      <w:pPr>
        <w:ind w:left="60" w:right="1039" w:firstLine="270"/>
        <w:spacing w:after="0" w:line="308" w:lineRule="auto"/>
        <w:rPr>
          <w:sz w:val="20"/>
          <w:szCs w:val="20"/>
          <w:color w:val="auto"/>
        </w:rPr>
      </w:pPr>
      <w:r>
        <w:rPr>
          <w:rFonts w:ascii="Arial" w:cs="Arial" w:eastAsia="Arial" w:hAnsi="Arial"/>
          <w:sz w:val="17"/>
          <w:szCs w:val="17"/>
          <w:color w:val="auto"/>
        </w:rPr>
        <w:t>Please refer to the Company’s Annual Report on Form 10-K for the fiscal year ended December 31, 2014 which includes audited financial statements as of and for the fiscal year ended December 31, 2013 for the Katonah X CLO.</w:t>
      </w:r>
    </w:p>
    <w:p>
      <w:pPr>
        <w:spacing w:after="0" w:line="38" w:lineRule="exact"/>
        <w:rPr>
          <w:sz w:val="20"/>
          <w:szCs w:val="20"/>
          <w:color w:val="auto"/>
        </w:rPr>
      </w:pPr>
    </w:p>
    <w:p>
      <w:pPr>
        <w:ind w:left="60" w:right="599" w:firstLine="270"/>
        <w:spacing w:after="0" w:line="270" w:lineRule="auto"/>
        <w:rPr>
          <w:sz w:val="20"/>
          <w:szCs w:val="20"/>
          <w:color w:val="auto"/>
        </w:rPr>
      </w:pPr>
      <w:r>
        <w:rPr>
          <w:rFonts w:ascii="Arial" w:cs="Arial" w:eastAsia="Arial" w:hAnsi="Arial"/>
          <w:sz w:val="17"/>
          <w:szCs w:val="17"/>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74" w:lineRule="exact"/>
        <w:rPr>
          <w:sz w:val="20"/>
          <w:szCs w:val="20"/>
          <w:color w:val="auto"/>
        </w:rPr>
      </w:pPr>
    </w:p>
    <w:p>
      <w:pPr>
        <w:ind w:left="60" w:right="679" w:firstLine="270"/>
        <w:spacing w:after="0" w:line="272" w:lineRule="auto"/>
        <w:rPr>
          <w:sz w:val="20"/>
          <w:szCs w:val="20"/>
          <w:color w:val="auto"/>
        </w:rPr>
      </w:pPr>
      <w:r>
        <w:rPr>
          <w:rFonts w:ascii="Arial" w:cs="Arial" w:eastAsia="Arial" w:hAnsi="Arial"/>
          <w:sz w:val="17"/>
          <w:szCs w:val="17"/>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$2.1 million per year over such period.</w:t>
      </w:r>
    </w:p>
    <w:p>
      <w:pPr>
        <w:spacing w:after="0" w:line="70"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of approximately $1.5 million per year over such period.</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3" w:name="page124"/>
    <w:bookmarkEnd w:id="12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left="60" w:right="539" w:firstLine="270"/>
        <w:spacing w:after="0" w:line="253"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both December 31, 2015 and 2014, the par value of the outstanding loan was $23 million. For the years ended December 31, 2015 and 2014, the Company recognized interest income of approximately $1.7 million and $2 million related to the Trimaran Credit Facility, respectively.</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480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due March 15, 2016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19,299,000</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38,647,000</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7.375% Notes due 2019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r>
      <w:tr>
        <w:trPr>
          <w:trHeight w:val="202"/>
        </w:trPr>
        <w:tc>
          <w:tcPr>
            <w:tcW w:w="4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Notes Issued by KCAP Senior Funding I, LLC (net of discount: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 – $2,907,595; and 2014 – $3,512,407)</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144,442,405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143,837,593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48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205,141,405</w:t>
            </w:r>
          </w:p>
        </w:tc>
        <w:tc>
          <w:tcPr>
            <w:tcW w:w="80" w:type="dxa"/>
            <w:vAlign w:val="bottom"/>
          </w:tcPr>
          <w:p>
            <w:pPr>
              <w:spacing w:after="0"/>
              <w:rPr>
                <w:sz w:val="18"/>
                <w:szCs w:val="18"/>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223,884,593</w:t>
            </w:r>
          </w:p>
        </w:tc>
      </w:tr>
      <w:tr>
        <w:trPr>
          <w:trHeight w:val="21"/>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719" w:firstLine="270"/>
        <w:spacing w:after="0" w:line="308" w:lineRule="auto"/>
        <w:rPr>
          <w:sz w:val="20"/>
          <w:szCs w:val="20"/>
          <w:color w:val="auto"/>
        </w:rPr>
      </w:pPr>
      <w:r>
        <w:rPr>
          <w:rFonts w:ascii="Arial" w:cs="Arial" w:eastAsia="Arial" w:hAnsi="Arial"/>
          <w:sz w:val="17"/>
          <w:szCs w:val="17"/>
          <w:color w:val="auto"/>
        </w:rPr>
        <w:t>The weighted average stated interest rate and weighted average maturity on all our debt outstanding as of December 31, 2015 were 4.08% and 6.8 years, respectively, and as of December 31, 2014 were 4.43% and 7.23 years, respectively.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81" w:lineRule="exact"/>
        <w:rPr>
          <w:sz w:val="20"/>
          <w:szCs w:val="20"/>
          <w:color w:val="auto"/>
        </w:rPr>
      </w:pPr>
    </w:p>
    <w:p>
      <w:pPr>
        <w:ind w:left="60" w:right="559" w:firstLine="270"/>
        <w:spacing w:after="0" w:line="279" w:lineRule="auto"/>
        <w:rPr>
          <w:sz w:val="20"/>
          <w:szCs w:val="20"/>
          <w:color w:val="auto"/>
        </w:rPr>
      </w:pPr>
      <w:r>
        <w:rPr>
          <w:rFonts w:ascii="Arial" w:cs="Arial" w:eastAsia="Arial" w:hAnsi="Arial"/>
          <w:sz w:val="17"/>
          <w:szCs w:val="17"/>
          <w:color w:val="auto"/>
        </w:rPr>
        <w:t>The Convertible Notes are convertible into shares of Company’s common stock. As of December 31, 2015 the conversion rate was 135.5441 shares of common stock per $1,000 principal amount of Convertible Notes, which is equivalent to a conversion price of approximately $7.38 per share of common stock. Upon conversion, the Company would issue the full amount of common stock or settle the conversion in cash, at its option, and retire the full amount of debt outstanding</w:t>
      </w:r>
    </w:p>
    <w:p>
      <w:pPr>
        <w:spacing w:after="0" w:line="63" w:lineRule="exact"/>
        <w:rPr>
          <w:sz w:val="20"/>
          <w:szCs w:val="20"/>
          <w:color w:val="auto"/>
        </w:rPr>
      </w:pPr>
    </w:p>
    <w:p>
      <w:pPr>
        <w:ind w:left="60" w:right="859" w:firstLine="270"/>
        <w:spacing w:after="0" w:line="279" w:lineRule="auto"/>
        <w:rPr>
          <w:sz w:val="20"/>
          <w:szCs w:val="20"/>
          <w:color w:val="auto"/>
        </w:rPr>
      </w:pPr>
      <w:r>
        <w:rPr>
          <w:rFonts w:ascii="Arial" w:cs="Arial" w:eastAsia="Arial" w:hAnsi="Arial"/>
          <w:sz w:val="17"/>
          <w:szCs w:val="17"/>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63"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40" w:right="679"/>
        <w:spacing w:after="0" w:line="264" w:lineRule="auto"/>
        <w:rPr>
          <w:sz w:val="20"/>
          <w:szCs w:val="20"/>
          <w:color w:val="auto"/>
        </w:rPr>
      </w:pPr>
      <w:r>
        <w:rPr>
          <w:rFonts w:ascii="Arial" w:cs="Arial" w:eastAsia="Arial" w:hAnsi="Arial"/>
          <w:sz w:val="18"/>
          <w:szCs w:val="18"/>
          <w:color w:val="auto"/>
        </w:rPr>
        <w:t>Exchange Act of 1934 and the rules and regulations promulgated thereunder) of more than 5.0% of the shares of the Company’s common stock outstanding at such time. The 5.0% limitation will no longer apply following the effective date of any fundamental change (as defined in the indenture governing the Convertible Notes).</w:t>
      </w:r>
    </w:p>
    <w:p>
      <w:pPr>
        <w:spacing w:after="0" w:line="7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85"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In connection with the issuance of the Convertible Notes, the Company incurred approximately $2.4 million of debt offering costs which are being amortized over the term of the Convertible Notes on an effective yield method, of which approximately $21,000 remains to be amortized, and is included in other assets in the consolidated balance sheets. 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During 2015 the Company repurchased approximately $19.3 million of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For the year ended December 31, 2015, 2014 and 2013 total realized losses on extinguishment of debt was approximately $445,000, $748,000 and $537,000, respectively. The indenture governing the Convertible Notes contains certain restrictive covenants, including compliance with certain provisions of the 1940 Act and conditions governing the undertaking of new debt. As of December 31, 2015, there is approximately $19.3 million par value of Convertible Notes outstanding with a maturity date of March 15, 2016.</w:t>
      </w:r>
    </w:p>
    <w:p>
      <w:pPr>
        <w:spacing w:after="0" w:line="64"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For the years ended the years ended December 31, 2015, 2014, and 2013, interest expense related to the Convertible Notes was $3.1 million, $4.1 million and $4.6 million, respectively.</w:t>
      </w:r>
    </w:p>
    <w:p>
      <w:pPr>
        <w:spacing w:after="0" w:line="62"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December 31, 2015, the Company was in compliance with all of its debt covenants.</w:t>
      </w:r>
    </w:p>
    <w:p>
      <w:pPr>
        <w:spacing w:after="0" w:line="73" w:lineRule="exact"/>
        <w:rPr>
          <w:sz w:val="20"/>
          <w:szCs w:val="20"/>
          <w:color w:val="auto"/>
        </w:rPr>
      </w:pPr>
    </w:p>
    <w:p>
      <w:pPr>
        <w:jc w:val="both"/>
        <w:ind w:left="40" w:right="639" w:firstLine="270"/>
        <w:spacing w:after="0" w:line="302" w:lineRule="auto"/>
        <w:rPr>
          <w:sz w:val="20"/>
          <w:szCs w:val="20"/>
          <w:color w:val="auto"/>
        </w:rPr>
      </w:pPr>
      <w:r>
        <w:rPr>
          <w:rFonts w:ascii="Arial" w:cs="Arial" w:eastAsia="Arial" w:hAnsi="Arial"/>
          <w:sz w:val="16"/>
          <w:szCs w:val="16"/>
          <w:i w:val="1"/>
          <w:iCs w:val="1"/>
          <w:color w:val="auto"/>
        </w:rPr>
        <w:t xml:space="preserve">Fair Value of Convertible Notes. </w:t>
      </w:r>
      <w:r>
        <w:rPr>
          <w:rFonts w:ascii="Arial" w:cs="Arial" w:eastAsia="Arial" w:hAnsi="Arial"/>
          <w:sz w:val="16"/>
          <w:szCs w:val="16"/>
          <w:color w:val="auto"/>
        </w:rPr>
        <w:t>The Company carries the Convertible Notes at cost. The Convertible Notes were issued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and there is no active trading of these notes. The estimated fair value of the Company’s outstanding Convertible Notes was approximately $19.5 million at December 31, 2015. The fair value was determined based on an indicative closing price as of December 31, 2015. The Convertible Notes are categorized as Level III following ASC 820: Fair Value.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jc w:val="both"/>
        <w:ind w:left="40" w:right="639" w:firstLine="270"/>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after the payment underwriting expenses, were approximately $39.9 million. Interest on the</w:t>
      </w:r>
    </w:p>
    <w:p>
      <w:pPr>
        <w:jc w:val="both"/>
        <w:ind w:left="40" w:right="779"/>
        <w:spacing w:after="0" w:line="295" w:lineRule="auto"/>
        <w:rPr>
          <w:sz w:val="20"/>
          <w:szCs w:val="20"/>
          <w:color w:val="auto"/>
        </w:rPr>
      </w:pPr>
      <w:r>
        <w:rPr>
          <w:rFonts w:ascii="Arial" w:cs="Arial" w:eastAsia="Arial" w:hAnsi="Arial"/>
          <w:sz w:val="16"/>
          <w:szCs w:val="16"/>
          <w:color w:val="auto"/>
        </w:rPr>
        <w:t>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jc w:val="both"/>
        <w:ind w:left="40" w:right="599"/>
        <w:spacing w:after="0" w:line="273" w:lineRule="auto"/>
        <w:rPr>
          <w:sz w:val="20"/>
          <w:szCs w:val="20"/>
          <w:color w:val="auto"/>
        </w:rPr>
      </w:pPr>
      <w:r>
        <w:rPr>
          <w:rFonts w:ascii="Arial" w:cs="Arial" w:eastAsia="Arial" w:hAnsi="Arial"/>
          <w:sz w:val="17"/>
          <w:szCs w:val="17"/>
          <w:color w:val="auto"/>
        </w:rPr>
        <w:t>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December 31, 2015, the Company was in compliance with all of its debt covenants.</w:t>
      </w:r>
    </w:p>
    <w:p>
      <w:pPr>
        <w:spacing w:after="0" w:line="7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For the years ended December 31, 2015 and 2014 interest expense related to the 7.375% Notes Due 2019 was $3.1 million for both periods.</w:t>
      </w:r>
    </w:p>
    <w:p>
      <w:pPr>
        <w:spacing w:after="0" w:line="62" w:lineRule="exact"/>
        <w:rPr>
          <w:sz w:val="20"/>
          <w:szCs w:val="20"/>
          <w:color w:val="auto"/>
        </w:rPr>
      </w:pPr>
    </w:p>
    <w:p>
      <w:pPr>
        <w:ind w:left="40" w:right="959" w:firstLine="270"/>
        <w:spacing w:after="0" w:line="286" w:lineRule="auto"/>
        <w:rPr>
          <w:sz w:val="20"/>
          <w:szCs w:val="20"/>
          <w:color w:val="auto"/>
        </w:rPr>
      </w:pPr>
      <w:r>
        <w:rPr>
          <w:rFonts w:ascii="Arial" w:cs="Arial" w:eastAsia="Arial" w:hAnsi="Arial"/>
          <w:sz w:val="17"/>
          <w:szCs w:val="17"/>
          <w:color w:val="auto"/>
        </w:rPr>
        <w:t>In connection with the issuance of the 7.375% Notes Due 2019, the Company incurred approximately $1.5 million of debt offering costs which are being amortized over the term of the facility on an effective yield method, of which approximately $890,000 remains to be amortized, and is recorded on the consolidated balance sheets in other assets.</w:t>
      </w:r>
    </w:p>
    <w:p>
      <w:pPr>
        <w:spacing w:after="0" w:line="5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i w:val="1"/>
          <w:iCs w:val="1"/>
          <w:color w:val="auto"/>
        </w:rPr>
        <w:t xml:space="preserve">Fair Value of 7.375% Notes Due 2019. </w:t>
      </w:r>
      <w:r>
        <w:rPr>
          <w:rFonts w:ascii="Arial" w:cs="Arial" w:eastAsia="Arial" w:hAnsi="Arial"/>
          <w:sz w:val="18"/>
          <w:szCs w:val="18"/>
          <w:color w:val="auto"/>
        </w:rPr>
        <w:t>The 7.375% Notes Due 2019 were issued in a public offering on October 10,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carried at cost. For the years ended December 31, 2015 and 2014 the fair value of the Company’s outstanding 7.375% Notes Due 2019 was approximately $41.1 million and $41.4 million, respectively. The fair value was determined based on the closing price on December 31, 2015 and 2014 for the 7.375% Notes Due 2019. The 7.375% Notes Due 2019 are categorized as Level I under the ASC 820: Fair Value.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117"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70"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 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jc w:val="both"/>
        <w:ind w:left="40" w:right="579" w:firstLine="270"/>
        <w:spacing w:after="0" w:line="312" w:lineRule="auto"/>
        <w:rPr>
          <w:sz w:val="20"/>
          <w:szCs w:val="20"/>
          <w:color w:val="auto"/>
        </w:rPr>
      </w:pPr>
      <w:r>
        <w:rPr>
          <w:rFonts w:ascii="Arial" w:cs="Arial" w:eastAsia="Arial" w:hAnsi="Arial"/>
          <w:sz w:val="16"/>
          <w:szCs w:val="16"/>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39"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64" w:lineRule="exact"/>
        <w:rPr>
          <w:sz w:val="20"/>
          <w:szCs w:val="20"/>
          <w:color w:val="auto"/>
        </w:rPr>
      </w:pPr>
    </w:p>
    <w:p>
      <w:pPr>
        <w:ind w:left="40" w:right="579" w:firstLine="270"/>
        <w:spacing w:after="0" w:line="267"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$679,000 and $896,000, respectively, which is included in other assets on the accompanying balance sheet.</w:t>
      </w:r>
    </w:p>
    <w:p>
      <w:pPr>
        <w:spacing w:after="0" w:line="85" w:lineRule="exact"/>
        <w:rPr>
          <w:sz w:val="20"/>
          <w:szCs w:val="20"/>
          <w:color w:val="auto"/>
        </w:rPr>
      </w:pPr>
    </w:p>
    <w:p>
      <w:pPr>
        <w:jc w:val="both"/>
        <w:ind w:left="40" w:right="939" w:firstLine="270"/>
        <w:spacing w:after="0" w:line="312" w:lineRule="auto"/>
        <w:rPr>
          <w:sz w:val="20"/>
          <w:szCs w:val="20"/>
          <w:color w:val="auto"/>
        </w:rPr>
      </w:pPr>
      <w:r>
        <w:rPr>
          <w:rFonts w:ascii="Arial" w:cs="Arial" w:eastAsia="Arial" w:hAnsi="Arial"/>
          <w:sz w:val="16"/>
          <w:szCs w:val="16"/>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39" w:lineRule="exact"/>
        <w:rPr>
          <w:sz w:val="20"/>
          <w:szCs w:val="20"/>
          <w:color w:val="auto"/>
        </w:rPr>
      </w:pPr>
    </w:p>
    <w:p>
      <w:pPr>
        <w:ind w:left="40" w:right="699" w:firstLine="270"/>
        <w:spacing w:after="0" w:line="271" w:lineRule="auto"/>
        <w:rPr>
          <w:sz w:val="20"/>
          <w:szCs w:val="20"/>
          <w:color w:val="auto"/>
        </w:rPr>
      </w:pPr>
      <w:r>
        <w:rPr>
          <w:rFonts w:ascii="Arial" w:cs="Arial" w:eastAsia="Arial" w:hAnsi="Arial"/>
          <w:sz w:val="17"/>
          <w:szCs w:val="17"/>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200" w:lineRule="exact"/>
        <w:rPr>
          <w:sz w:val="20"/>
          <w:szCs w:val="20"/>
          <w:color w:val="auto"/>
        </w:rPr>
      </w:pPr>
    </w:p>
    <w:p>
      <w:pPr>
        <w:spacing w:after="0" w:line="3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79"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73"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As of December 31, 2015, there were 74 investments in portfolio companies with a total fair value of approximately $184 million plus cash of $7.1 million, collateralizing the secured notes of the Issuer. At December 31, 2015, there were unamortized issuance costs of approximately $3.1 million included in other assets, and unamortized original issue discount, (“OID”) costs of approximately $2.9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57" w:lineRule="exact"/>
        <w:rPr>
          <w:sz w:val="20"/>
          <w:szCs w:val="20"/>
          <w:color w:val="auto"/>
        </w:rPr>
      </w:pPr>
    </w:p>
    <w:p>
      <w:pPr>
        <w:ind w:left="60" w:right="639" w:firstLine="270"/>
        <w:spacing w:after="0" w:line="297" w:lineRule="auto"/>
        <w:rPr>
          <w:sz w:val="20"/>
          <w:szCs w:val="20"/>
          <w:color w:val="auto"/>
        </w:rPr>
      </w:pPr>
      <w:r>
        <w:rPr>
          <w:rFonts w:ascii="Arial" w:cs="Arial" w:eastAsia="Arial" w:hAnsi="Arial"/>
          <w:sz w:val="16"/>
          <w:szCs w:val="16"/>
          <w:color w:val="auto"/>
        </w:rPr>
        <w:t>For the year ended December 31, 2015, interest expense, including the amortization of deferred debt issuance costs and the discount on the face amount of the notes was approximately $5 million consisting of stated interest expense of approximately $3.8 million, accreted discount of approximately $605,000, and deferred debt issuance costs of approximately $649,000. As of December 31, 2015 the stated interest charged under the securitization was based on current three month LIBOR at the reset date, which was 0.32%. The classes, stated interest rates, spread over LIBOR, and stated interest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47510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w w:val="92"/>
              </w:rPr>
              <w:t>Stated Interest</w:t>
            </w:r>
          </w:p>
        </w:tc>
        <w:tc>
          <w:tcPr>
            <w:tcW w:w="1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LIBOR Spread</w:t>
            </w:r>
          </w:p>
        </w:tc>
        <w:tc>
          <w:tcPr>
            <w:tcW w:w="1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Interest</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6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(basis points)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rPr>
              <w:t>Expense</w:t>
            </w:r>
            <w:r>
              <w:rPr>
                <w:rFonts w:ascii="Arial" w:cs="Arial" w:eastAsia="Arial" w:hAnsi="Arial"/>
                <w:sz w:val="20"/>
                <w:szCs w:val="20"/>
                <w:b w:val="1"/>
                <w:bCs w:val="1"/>
                <w:color w:val="auto"/>
                <w:vertAlign w:val="superscript"/>
              </w:rPr>
              <w:t>(1)</w:t>
            </w:r>
          </w:p>
        </w:tc>
      </w:tr>
      <w:tr>
        <w:trPr>
          <w:trHeight w:val="21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KCAP Senior Funding LLC Class A Notes</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1.82%</w:t>
            </w:r>
          </w:p>
        </w:tc>
        <w:tc>
          <w:tcPr>
            <w:tcW w:w="11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1,965,248</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B Notes</w:t>
            </w:r>
          </w:p>
        </w:tc>
        <w:tc>
          <w:tcPr>
            <w:tcW w:w="960" w:type="dxa"/>
            <w:vAlign w:val="bottom"/>
          </w:tcPr>
          <w:p>
            <w:pPr>
              <w:ind w:left="300"/>
              <w:spacing w:after="0"/>
              <w:rPr>
                <w:sz w:val="20"/>
                <w:szCs w:val="20"/>
                <w:color w:val="auto"/>
              </w:rPr>
            </w:pPr>
            <w:r>
              <w:rPr>
                <w:rFonts w:ascii="Arial" w:cs="Arial" w:eastAsia="Arial" w:hAnsi="Arial"/>
                <w:sz w:val="18"/>
                <w:szCs w:val="18"/>
                <w:color w:val="auto"/>
              </w:rPr>
              <w:t>3.57%</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449,461</w:t>
            </w: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KCAP Senior Funding LLC Class C Notes</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4.57%</w:t>
            </w:r>
          </w:p>
        </w:tc>
        <w:tc>
          <w:tcPr>
            <w:tcW w:w="11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639,401</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D Notes</w:t>
            </w:r>
          </w:p>
        </w:tc>
        <w:tc>
          <w:tcPr>
            <w:tcW w:w="960" w:type="dxa"/>
            <w:vAlign w:val="bottom"/>
          </w:tcPr>
          <w:p>
            <w:pPr>
              <w:ind w:left="300"/>
              <w:spacing w:after="0"/>
              <w:rPr>
                <w:sz w:val="20"/>
                <w:szCs w:val="20"/>
                <w:color w:val="auto"/>
              </w:rPr>
            </w:pPr>
            <w:r>
              <w:rPr>
                <w:rFonts w:ascii="Arial" w:cs="Arial" w:eastAsia="Arial" w:hAnsi="Arial"/>
                <w:sz w:val="18"/>
                <w:szCs w:val="18"/>
                <w:color w:val="auto"/>
              </w:rPr>
              <w:t>5.57%</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701,461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3,755,571</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40" w:right="759" w:hanging="312"/>
        <w:spacing w:after="0" w:line="470" w:lineRule="auto"/>
        <w:tabs>
          <w:tab w:leader="none" w:pos="299"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52139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A Notes</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B Notes</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C Notes</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D Notes</w:t>
            </w:r>
          </w:p>
        </w:tc>
      </w:tr>
      <w:tr>
        <w:trPr>
          <w:trHeight w:val="186"/>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Type</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Secured</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Senior Secured</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Senior Secured</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Deferrable</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Secured Deferrable</w:t>
            </w: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Floating Rate</w:t>
            </w:r>
          </w:p>
        </w:tc>
      </w:tr>
      <w:tr>
        <w:trPr>
          <w:trHeight w:val="203"/>
        </w:trPr>
        <w:tc>
          <w:tcPr>
            <w:tcW w:w="2420" w:type="dxa"/>
            <w:vAlign w:val="bottom"/>
            <w:gridSpan w:val="3"/>
          </w:tcPr>
          <w:p>
            <w:pPr>
              <w:ind w:left="20"/>
              <w:spacing w:after="0"/>
              <w:rPr>
                <w:sz w:val="20"/>
                <w:szCs w:val="20"/>
                <w:color w:val="auto"/>
              </w:rPr>
            </w:pPr>
            <w:r>
              <w:rPr>
                <w:rFonts w:ascii="Arial" w:cs="Arial" w:eastAsia="Arial" w:hAnsi="Arial"/>
                <w:sz w:val="16"/>
                <w:szCs w:val="16"/>
                <w:color w:val="auto"/>
              </w:rPr>
              <w:t>Amount Outstanding</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w w:val="91"/>
              </w:rPr>
              <w:t>$108,150,000</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$12,600,000</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$14,000,000</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$12,600,000</w:t>
            </w:r>
          </w:p>
        </w:tc>
      </w:tr>
      <w:tr>
        <w:trPr>
          <w:trHeight w:val="203"/>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Moody’s Rating (</w:t>
            </w:r>
            <w:r>
              <w:rPr>
                <w:rFonts w:ascii="Arial" w:cs="Arial" w:eastAsia="Arial" w:hAnsi="Arial"/>
                <w:sz w:val="16"/>
                <w:szCs w:val="16"/>
                <w:i w:val="1"/>
                <w:iCs w:val="1"/>
                <w:color w:val="auto"/>
              </w:rPr>
              <w:t>sf</w:t>
            </w: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“A2”</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“Baa2”</w:t>
            </w:r>
          </w:p>
        </w:tc>
      </w:tr>
      <w:tr>
        <w:trPr>
          <w:trHeight w:val="203"/>
        </w:trPr>
        <w:tc>
          <w:tcPr>
            <w:tcW w:w="2420" w:type="dxa"/>
            <w:vAlign w:val="bottom"/>
            <w:gridSpan w:val="3"/>
          </w:tcPr>
          <w:p>
            <w:pPr>
              <w:ind w:left="20"/>
              <w:spacing w:after="0"/>
              <w:rPr>
                <w:sz w:val="20"/>
                <w:szCs w:val="20"/>
                <w:color w:val="auto"/>
              </w:rPr>
            </w:pPr>
            <w:r>
              <w:rPr>
                <w:rFonts w:ascii="Arial" w:cs="Arial" w:eastAsia="Arial" w:hAnsi="Arial"/>
                <w:sz w:val="16"/>
                <w:szCs w:val="16"/>
                <w:color w:val="auto"/>
              </w:rPr>
              <w:t>Standard &amp; Poor’s Rating (</w:t>
            </w:r>
            <w:r>
              <w:rPr>
                <w:rFonts w:ascii="Arial" w:cs="Arial" w:eastAsia="Arial" w:hAnsi="Arial"/>
                <w:sz w:val="16"/>
                <w:szCs w:val="16"/>
                <w:i w:val="1"/>
                <w:iCs w:val="1"/>
                <w:color w:val="auto"/>
              </w:rPr>
              <w:t>sf</w:t>
            </w: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“AAA”</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“AA”</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“A”</w:t>
            </w:r>
          </w:p>
        </w:tc>
        <w:tc>
          <w:tcPr>
            <w:tcW w:w="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“BBB”</w:t>
            </w:r>
          </w:p>
        </w:tc>
      </w:tr>
      <w:tr>
        <w:trPr>
          <w:trHeight w:val="203"/>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+ 1.50%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+ 3.25%</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+ 4.25%</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+ 5.25%</w:t>
            </w:r>
          </w:p>
        </w:tc>
      </w:tr>
      <w:tr>
        <w:trPr>
          <w:trHeight w:val="203"/>
        </w:trPr>
        <w:tc>
          <w:tcPr>
            <w:tcW w:w="2420" w:type="dxa"/>
            <w:vAlign w:val="bottom"/>
            <w:gridSpan w:val="3"/>
          </w:tcPr>
          <w:p>
            <w:pPr>
              <w:ind w:left="20"/>
              <w:spacing w:after="0"/>
              <w:rPr>
                <w:sz w:val="20"/>
                <w:szCs w:val="20"/>
                <w:color w:val="auto"/>
              </w:rPr>
            </w:pPr>
            <w:r>
              <w:rPr>
                <w:rFonts w:ascii="Arial" w:cs="Arial" w:eastAsia="Arial" w:hAnsi="Arial"/>
                <w:sz w:val="16"/>
                <w:szCs w:val="16"/>
                <w:color w:val="auto"/>
              </w:rPr>
              <w:t>Stated Maturity</w:t>
            </w: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July, 2024</w:t>
            </w:r>
          </w:p>
        </w:tc>
        <w:tc>
          <w:tcPr>
            <w:tcW w:w="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0"/>
              </w:rPr>
              <w:t>July, 2024</w:t>
            </w:r>
          </w:p>
        </w:tc>
      </w:tr>
      <w:tr>
        <w:trPr>
          <w:trHeight w:val="193"/>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Junior Classes</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 C, D</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 D</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D and</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and Subordinated</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and Subordinated</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Subordinated</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Subordinated</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256" w:lineRule="exact"/>
        <w:rPr>
          <w:sz w:val="20"/>
          <w:szCs w:val="20"/>
          <w:color w:val="auto"/>
        </w:rPr>
      </w:pPr>
    </w:p>
    <w:p>
      <w:pPr>
        <w:jc w:val="right"/>
        <w:ind w:left="4500" w:right="5199" w:hanging="4472"/>
        <w:spacing w:after="0" w:line="1064" w:lineRule="auto"/>
        <w:tabs>
          <w:tab w:leader="none" w:pos="29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Three month LIBOR, which was 0.32% as of the last reset date. 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-309880</wp:posOffset>
            </wp:positionV>
            <wp:extent cx="6114415" cy="596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outstanding principal amounts, carrying values and fair values of the Class A, B, C and D Notes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510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620" w:type="dxa"/>
            <w:vAlign w:val="bottom"/>
            <w:tcBorders>
              <w:bottom w:val="single" w:sz="8" w:color="auto"/>
            </w:tcBorders>
            <w:gridSpan w:val="5"/>
          </w:tcPr>
          <w:p>
            <w:pPr>
              <w:jc w:val="center"/>
              <w:ind w:left="937"/>
              <w:spacing w:after="0"/>
              <w:rPr>
                <w:sz w:val="20"/>
                <w:szCs w:val="20"/>
                <w:color w:val="auto"/>
              </w:rPr>
            </w:pPr>
            <w:r>
              <w:rPr>
                <w:rFonts w:ascii="Arial" w:cs="Arial" w:eastAsia="Arial" w:hAnsi="Arial"/>
                <w:sz w:val="14"/>
                <w:szCs w:val="14"/>
                <w:b w:val="1"/>
                <w:bCs w:val="1"/>
                <w:color w:val="auto"/>
                <w:w w:val="92"/>
              </w:rPr>
              <w:t>As of December 31, 2015</w:t>
            </w: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KCAP Senior Funding I, LLC Class A Notes</w:t>
            </w: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$ 108,150,000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$ 106,015,921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106,257,375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KCAP Senior Funding I, LLC Class B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12,351,369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12,316,500</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KCAP Senior Funding I, LLC Class C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13,723,744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13,510,000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KCAP Senior Funding I, LLC Class D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12,600,000</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12,351,371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11,718,000</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$ 147,350,000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9"/>
              </w:rPr>
              <w:t>$ 144,442,405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143,801,875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i w:val="1"/>
          <w:iCs w:val="1"/>
          <w:color w:val="auto"/>
        </w:rPr>
        <w:t xml:space="preserve">Fair Value of KCAP Senior Funding I. </w:t>
      </w:r>
      <w:r>
        <w:rPr>
          <w:rFonts w:ascii="Arial" w:cs="Arial" w:eastAsia="Arial" w:hAnsi="Arial"/>
          <w:sz w:val="18"/>
          <w:szCs w:val="18"/>
          <w:color w:val="auto"/>
        </w:rPr>
        <w:t>The Company carries the KCAP Senior Funding I Notes at cost, net of unamortized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of approximately $2.9 million. The fair value of the KCAP Senior Funding I Notes was approximately $143.8 million at December 31, 2015. The fair values were determined based on third party indicative values. The KCAP Senior Funding I, L.L.C. Notes are categorized as Level III under ASC 820: Fair Value.</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DISTRIBUTABLE TAXABLE INCOME</w:t>
      </w:r>
    </w:p>
    <w:p>
      <w:pPr>
        <w:spacing w:after="0" w:line="121" w:lineRule="exact"/>
        <w:rPr>
          <w:sz w:val="20"/>
          <w:szCs w:val="20"/>
          <w:color w:val="auto"/>
        </w:rPr>
      </w:pPr>
    </w:p>
    <w:p>
      <w:pPr>
        <w:ind w:left="60" w:right="539" w:firstLine="270"/>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2015).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58"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2015 and 2014, the Company reclassified for book purposes amounts arising from permanent book/tax differences related to the tax treatment of return of capital distributions and non-deductible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7250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(2,850,376)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1"/>
              </w:rPr>
              <w:t>(7,987,965)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2,744,870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7,987,965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Accumulated net realized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105,506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earnings and net asset value are not affected by the reclassifications.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180" w:right="559" w:firstLine="270"/>
        <w:spacing w:after="0" w:line="277" w:lineRule="auto"/>
        <w:rPr>
          <w:sz w:val="20"/>
          <w:szCs w:val="20"/>
          <w:color w:val="auto"/>
        </w:rPr>
      </w:pPr>
      <w:r>
        <w:rPr>
          <w:rFonts w:ascii="Arial" w:cs="Arial" w:eastAsia="Arial" w:hAnsi="Arial"/>
          <w:sz w:val="18"/>
          <w:szCs w:val="18"/>
          <w:color w:val="auto"/>
        </w:rPr>
        <w:t>The following reconciles net increase in net assets resulting from operations to taxable income for the year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(18,634,558)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15,033,594</w:t>
            </w: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appreciation/(depreciation) from</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36,169,870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(6,045,517)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11,132,492</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Book/tax differences on CLO equity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(991,297)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6,155,685</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570,900</w:t>
            </w:r>
          </w:p>
        </w:tc>
      </w:tr>
      <w:tr>
        <w:trPr>
          <w:trHeight w:val="20"/>
        </w:trPr>
        <w:tc>
          <w:tcPr>
            <w:tcW w:w="5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Taxable income before deductions for distributions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23,334,213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26,847,154</w:t>
            </w:r>
          </w:p>
        </w:tc>
      </w:tr>
      <w:tr>
        <w:trPr>
          <w:trHeight w:val="21"/>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Taxable income before deductions for distributions per weighted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basic shares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-454025</wp:posOffset>
            </wp:positionV>
            <wp:extent cx="4751070" cy="1803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180" w:right="519" w:firstLine="270"/>
        <w:spacing w:after="0" w:line="287"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years ended the years ended December 31, 2015, 2014, and 2013, the Asset Manager Affiliates declared cash distributions of approximately $9.1 million $11.9 million, and $12.8 million to the Company, respectively. The Company recognized approximately $5.3 million, $5.5 million, and $5.7 million, respectively, of dividends from Asset Manager Affiliates in the Statement of Operations for the years ended the years ended December 31, 2015, 2014, and 2013. The difference of approximately $3.8 million, $6.4 million, and $7.1 million, respectively, between cash distributions received and the tax-basis earnings and profits of the distributing affiliate, are recorded as an adjustment to the cost basis in the Asset Manager Affiliate (i.e. tax-basis return of capital), for the years ended the years ended December 31, 2015, 2014, and 2013, respectively.</w:t>
      </w:r>
    </w:p>
    <w:p>
      <w:pPr>
        <w:spacing w:after="0" w:line="65" w:lineRule="exact"/>
        <w:rPr>
          <w:sz w:val="20"/>
          <w:szCs w:val="20"/>
          <w:color w:val="auto"/>
        </w:rPr>
      </w:pPr>
    </w:p>
    <w:p>
      <w:pPr>
        <w:ind w:left="180" w:right="639" w:firstLine="270"/>
        <w:spacing w:after="0" w:line="297"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wp:posOffset>
            </wp:positionV>
            <wp:extent cx="47250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80" w:type="dxa"/>
            <w:vAlign w:val="bottom"/>
            <w:tcBorders>
              <w:bottom w:val="single" w:sz="8" w:color="auto"/>
            </w:tcBorders>
            <w:gridSpan w:val="9"/>
          </w:tcPr>
          <w:p>
            <w:pPr>
              <w:ind w:left="900"/>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Distributions paid from:</w:t>
            </w: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$22,985,978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$26,807,154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22,479,384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7,972,633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12,681,755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22,985,978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34,779,787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35,161,139</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F-53</w:t>
            </w: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2014, the components of accumulated earnings on a tax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Distributable ordinary income</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348,235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(83,133,721)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(76,591,751)</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(1,609,485)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(1,575,184)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(61,838,068)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(29,295,943)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739" w:firstLine="270"/>
        <w:spacing w:after="0" w:line="264" w:lineRule="auto"/>
        <w:rPr>
          <w:sz w:val="20"/>
          <w:szCs w:val="20"/>
          <w:color w:val="auto"/>
        </w:rPr>
      </w:pPr>
      <w:r>
        <w:rPr>
          <w:rFonts w:ascii="Arial" w:cs="Arial" w:eastAsia="Arial" w:hAnsi="Arial"/>
          <w:sz w:val="18"/>
          <w:szCs w:val="18"/>
          <w:color w:val="auto"/>
        </w:rPr>
        <w:t>At December 31, 2015, the Company had a net capital loss carryforward of $83.0 million to offset net capital gains, to the extent provided by federal tax law. A capital loss carryforward of $105,508 expired in 2015. Of the net capital loss carryforward, $51.1 million is not subject to expiration under the RIC Modernization Act of 2010.</w:t>
      </w:r>
    </w:p>
    <w:p>
      <w:pPr>
        <w:spacing w:after="0" w:line="73"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On December 16, 2015, the Company’s Board of Directors declared a distribution to shareholders of $0.15 per share for a total of approximately $5.3 million. The record date was January 6, 2016 and the distribution was paid on January 28, 2016.</w:t>
      </w:r>
    </w:p>
    <w:p>
      <w:pPr>
        <w:spacing w:after="0" w:line="16" w:lineRule="exact"/>
        <w:rPr>
          <w:sz w:val="20"/>
          <w:szCs w:val="20"/>
          <w:color w:val="auto"/>
        </w:rPr>
      </w:pPr>
    </w:p>
    <w:p>
      <w:pPr>
        <w:ind w:left="60" w:right="599" w:firstLine="270"/>
        <w:spacing w:after="0" w:line="268" w:lineRule="auto"/>
        <w:rPr>
          <w:sz w:val="20"/>
          <w:szCs w:val="20"/>
          <w:color w:val="auto"/>
        </w:rPr>
      </w:pPr>
      <w:r>
        <w:rPr>
          <w:rFonts w:ascii="Arial" w:cs="Arial" w:eastAsia="Arial" w:hAnsi="Arial"/>
          <w:sz w:val="17"/>
          <w:szCs w:val="17"/>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2015 and December 31, 2014, the Trimaran Credit Facility was fully drawn and there was no remaining unfunded commitment thereunder. As of December 31, 2015, the Company had $360,000 of commitments and no commitments as of December 31, 2014.</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9. STOCKHOLDERS’ EQUITY</w:t>
      </w:r>
    </w:p>
    <w:p>
      <w:pPr>
        <w:spacing w:after="0" w:line="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During the years ended December 31, 2015 and December 31, 2014, the Company issued 175,922 and 91,217 shares, respectively, of common stock under its dividend reinvestment plan. For the year ended December 31, 2015, the Company issued 196,166 shares of restricted stock, 10,862 shares were forfeited, and 104,550 shares were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December 31, 2015 was 37,100,005, and the total number of shares issued and outstanding as of December 31, 2014 was 36,775,127.</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EQUITY INCENTIVE PLAN</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On June 20, 2014, the Company’s Board of Directors approved the amended and restated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INCENTIVE PLAN – (continued)</w:t>
      </w:r>
    </w:p>
    <w:p>
      <w:pPr>
        <w:spacing w:after="0" w:line="1"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2014 through December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 Term</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8"/>
              </w:rPr>
              <w:t>Intrinsic Value</w:t>
            </w:r>
            <w:r>
              <w:rPr>
                <w:rFonts w:ascii="Arial" w:cs="Arial" w:eastAsia="Arial" w:hAnsi="Arial"/>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January 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3.4</w:t>
            </w:r>
          </w:p>
        </w:tc>
        <w:tc>
          <w:tcPr>
            <w:tcW w:w="3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8"/>
                <w:szCs w:val="18"/>
                <w:color w:val="auto"/>
              </w:rPr>
              <w:t>Total vested at December 31, 2015</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7.72</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Represents the difference between the market value of shares of the Company and the exercise price of the options.</w:t>
      </w:r>
    </w:p>
    <w:p>
      <w:pPr>
        <w:spacing w:after="0" w:line="129"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years ended December 31, 2015, 2014 and 2013 the Company did not recognize any non-cash compensation expense related to stock options. At December 31, 2015, the Company had no remaining compensation costs related to unvested stock option awards.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62" w:lineRule="exact"/>
        <w:rPr>
          <w:sz w:val="20"/>
          <w:szCs w:val="20"/>
          <w:color w:val="auto"/>
        </w:rPr>
      </w:pPr>
    </w:p>
    <w:p>
      <w:pPr>
        <w:ind w:left="560" w:hanging="222"/>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17" w:lineRule="exact"/>
        <w:rPr>
          <w:rFonts w:ascii="Arial" w:cs="Arial" w:eastAsia="Arial" w:hAnsi="Arial"/>
          <w:sz w:val="18"/>
          <w:szCs w:val="18"/>
          <w:color w:val="auto"/>
        </w:rPr>
      </w:pPr>
    </w:p>
    <w:p>
      <w:pPr>
        <w:ind w:left="600" w:hanging="262"/>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17" w:lineRule="exact"/>
        <w:rPr>
          <w:sz w:val="20"/>
          <w:szCs w:val="20"/>
          <w:color w:val="auto"/>
        </w:rPr>
      </w:pPr>
    </w:p>
    <w:p>
      <w:pPr>
        <w:jc w:val="both"/>
        <w:ind w:left="60" w:right="679" w:firstLine="270"/>
        <w:spacing w:after="0" w:line="286" w:lineRule="auto"/>
        <w:rPr>
          <w:sz w:val="20"/>
          <w:szCs w:val="20"/>
          <w:color w:val="auto"/>
        </w:rPr>
      </w:pPr>
      <w:r>
        <w:rPr>
          <w:rFonts w:ascii="Arial" w:cs="Arial" w:eastAsia="Arial" w:hAnsi="Arial"/>
          <w:sz w:val="17"/>
          <w:szCs w:val="17"/>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117"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117" w:lineRule="exact"/>
        <w:rPr>
          <w:sz w:val="20"/>
          <w:szCs w:val="20"/>
          <w:color w:val="auto"/>
        </w:rPr>
      </w:pPr>
    </w:p>
    <w:p>
      <w:pPr>
        <w:ind w:left="60" w:right="939" w:firstLine="270"/>
        <w:spacing w:after="0" w:line="264"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 ended December 31, 2015, the Company repurchased 36,348 shares of common stock at an aggregate cost of</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INCENTIVE PLAN – (continued)</w:t>
      </w:r>
    </w:p>
    <w:p>
      <w:pPr>
        <w:spacing w:after="0" w:line="1"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approximately $220,000 in connection with the vesting of employee’s restricted stock, which is reflected as Treasury Stock at cost on the Consolidated Balance Sheet. These shares are not available to be reissued under the Company’s Equity Incentive Plan.</w:t>
      </w:r>
    </w:p>
    <w:p>
      <w:pPr>
        <w:spacing w:after="0" w:line="16"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73" w:lineRule="exact"/>
        <w:rPr>
          <w:sz w:val="20"/>
          <w:szCs w:val="20"/>
          <w:color w:val="auto"/>
        </w:rPr>
      </w:pPr>
    </w:p>
    <w:p>
      <w:pPr>
        <w:ind w:left="60" w:right="599" w:firstLine="270"/>
        <w:spacing w:after="0" w:line="302" w:lineRule="auto"/>
        <w:rPr>
          <w:sz w:val="20"/>
          <w:szCs w:val="20"/>
          <w:color w:val="auto"/>
        </w:rPr>
      </w:pPr>
      <w:r>
        <w:rPr>
          <w:rFonts w:ascii="Arial" w:cs="Arial" w:eastAsia="Arial" w:hAnsi="Arial"/>
          <w:sz w:val="16"/>
          <w:szCs w:val="16"/>
          <w:color w:val="auto"/>
        </w:rPr>
        <w:t>During the year ended December 31, 2015, the Company issued 196,166 shares of restricted stock, 104,550 shares of restricted stock vested and 10,862 shares of restricted stock were forfeited. As of December 31, 2015, after giving effect to these restricted stock awards, there were 700,539 shares of restricted stock outstanding. Information with respect to restricted stock granted, exercised and forfeited under the Plan for the period January 1, 2014 through December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47421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Non-Vested</w:t>
            </w:r>
          </w:p>
        </w:tc>
      </w:tr>
      <w:tr>
        <w:trPr>
          <w:trHeight w:val="149"/>
        </w:trPr>
        <w:tc>
          <w:tcPr>
            <w:tcW w:w="66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r>
      <w:tr>
        <w:trPr>
          <w:trHeight w:val="171"/>
        </w:trPr>
        <w:tc>
          <w:tcPr>
            <w:tcW w:w="66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272,998</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360,289</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(8,502)</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619,785</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196,166</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(104,550)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(10,862)</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700,539</w:t>
            </w: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2015, non-cash compensation expense related to restricted stock was approximately $1.6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of this amount approximately $676,000 was expensed at the Company and approximately $897,000 was a reimbursable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allocated to the Asset Manager Affiliates. For the year ended December 31, 2014, non-cash compensation expense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restricted stock was approximately $1.1 million; of this amount approximately $534,000 was expensed at the Company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$589,000 was a reimbursable expense allocated to the Asset Manager Affiliates. For the year ended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2013, non-cash compensation expense related to restricted stock was approximately $526,000; of this amount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$273,000 was expensed by the Company and approximately $253,000 was a reimbursable expense allocated to the Asset Manager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Affiliates.</w:t>
      </w:r>
    </w:p>
    <w:p>
      <w:pPr>
        <w:spacing w:after="0" w:line="103" w:lineRule="exact"/>
        <w:rPr>
          <w:sz w:val="20"/>
          <w:szCs w:val="20"/>
          <w:color w:val="auto"/>
        </w:rPr>
      </w:pPr>
    </w:p>
    <w:p>
      <w:pPr>
        <w:ind w:left="60" w:right="579" w:firstLine="270"/>
        <w:spacing w:after="0" w:line="279" w:lineRule="auto"/>
        <w:rPr>
          <w:sz w:val="20"/>
          <w:szCs w:val="20"/>
          <w:color w:val="auto"/>
        </w:rPr>
      </w:pPr>
      <w:r>
        <w:rPr>
          <w:rFonts w:ascii="Arial" w:cs="Arial" w:eastAsia="Arial" w:hAnsi="Arial"/>
          <w:sz w:val="17"/>
          <w:szCs w:val="17"/>
          <w:color w:val="auto"/>
        </w:rPr>
        <w:t>Distributions are paid on all outstanding shares of restricted stock, whether or not vested. In general, shares of unvested restricted stock are forfeited upon the recipient’s termination of employment. At December 31, 2015 and 2014, the Company had approximately $3.6 million and $4.1 million of total unrecognized compensation cost related to non-vested restricted share awards, respectively. That cost is expected to be recognized over the remaining weighted average period of 2.3 years.</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11. OTHER EMPLOYEE COMPENSATION</w:t>
      </w:r>
    </w:p>
    <w:p>
      <w:pPr>
        <w:spacing w:after="0" w:line="1" w:lineRule="exact"/>
        <w:rPr>
          <w:sz w:val="20"/>
          <w:szCs w:val="20"/>
          <w:color w:val="auto"/>
        </w:rPr>
      </w:pPr>
    </w:p>
    <w:p>
      <w:pPr>
        <w:ind w:left="180" w:right="739" w:firstLine="270"/>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$25,000, $38,000 and $50,000 was expensed during the years ended December 31, 2015, 2014, and 2013, respectively, related to the 401K Plan.</w:t>
      </w:r>
    </w:p>
    <w:p>
      <w:pPr>
        <w:spacing w:after="0" w:line="85" w:lineRule="exact"/>
        <w:rPr>
          <w:sz w:val="20"/>
          <w:szCs w:val="20"/>
          <w:color w:val="auto"/>
        </w:rPr>
      </w:pPr>
    </w:p>
    <w:p>
      <w:pPr>
        <w:ind w:left="180" w:right="519" w:firstLine="270"/>
        <w:spacing w:after="0" w:line="290"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$151,000, $244,000 and $180,000 was expensed during the years ended December 31, 2015, 2014, and 2013, respectively, related to the Profit-Sharing Plan.</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SELECTED QUARTERLY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8858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Q1 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Q2 2015</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Q3 2015</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Q4 2015</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$12,342,129</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3"/>
              </w:rPr>
              <w:t>$ 11,171,386</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1"/>
              </w:rPr>
              <w:t>$ 11,779,348</w:t>
            </w:r>
          </w:p>
        </w:tc>
        <w:tc>
          <w:tcPr>
            <w:tcW w:w="1140" w:type="dxa"/>
            <w:vAlign w:val="bottom"/>
            <w:gridSpan w:val="4"/>
            <w:shd w:val="clear" w:color="auto" w:fill="CCEEFF"/>
          </w:tcPr>
          <w:p>
            <w:pPr>
              <w:jc w:val="right"/>
              <w:ind w:right="13"/>
              <w:spacing w:after="0"/>
              <w:rPr>
                <w:sz w:val="20"/>
                <w:szCs w:val="20"/>
                <w:color w:val="auto"/>
              </w:rPr>
            </w:pPr>
            <w:r>
              <w:rPr>
                <w:rFonts w:ascii="Arial" w:cs="Arial" w:eastAsia="Arial" w:hAnsi="Arial"/>
                <w:sz w:val="18"/>
                <w:szCs w:val="18"/>
                <w:color w:val="auto"/>
                <w:w w:val="97"/>
              </w:rPr>
              <w:t>$ 10,234,108</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6,506,948</w:t>
            </w:r>
          </w:p>
        </w:tc>
        <w:tc>
          <w:tcPr>
            <w:tcW w:w="2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5,832,252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6,541,080</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w w:val="94"/>
              </w:rPr>
              <w:t>5,302,509</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7,672,290</w:t>
            </w: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1,232,705</w:t>
            </w: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$(16,050,865)</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$(11,488,691)</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00" w:type="dxa"/>
            <w:vAlign w:val="bottom"/>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operations per share – basic</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share – diluted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1260" w:type="dxa"/>
            <w:vAlign w:val="bottom"/>
          </w:tcPr>
          <w:p>
            <w:pPr>
              <w:spacing w:after="0"/>
              <w:rPr>
                <w:sz w:val="18"/>
                <w:szCs w:val="18"/>
                <w:color w:val="auto"/>
              </w:rPr>
            </w:pPr>
          </w:p>
        </w:tc>
      </w:tr>
      <w:tr>
        <w:trPr>
          <w:trHeight w:val="365"/>
        </w:trPr>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Q1 2014</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Q2 2014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Q3 2014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Q4 2014</w:t>
            </w:r>
          </w:p>
        </w:tc>
        <w:tc>
          <w:tcPr>
            <w:tcW w:w="12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9,995,363</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9,773,830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$10,835,248</w:t>
            </w:r>
          </w:p>
        </w:tc>
        <w:tc>
          <w:tcPr>
            <w:tcW w:w="1140" w:type="dxa"/>
            <w:vAlign w:val="bottom"/>
            <w:gridSpan w:val="4"/>
            <w:shd w:val="clear" w:color="auto" w:fill="CCEEFF"/>
          </w:tcPr>
          <w:p>
            <w:pPr>
              <w:jc w:val="right"/>
              <w:ind w:right="33"/>
              <w:spacing w:after="0"/>
              <w:rPr>
                <w:sz w:val="20"/>
                <w:szCs w:val="20"/>
                <w:color w:val="auto"/>
              </w:rPr>
            </w:pPr>
            <w:r>
              <w:rPr>
                <w:rFonts w:ascii="Arial" w:cs="Arial" w:eastAsia="Arial" w:hAnsi="Arial"/>
                <w:sz w:val="18"/>
                <w:szCs w:val="18"/>
                <w:color w:val="auto"/>
                <w:w w:val="99"/>
              </w:rPr>
              <w:t>$10,601,034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4,467,306</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4,595,638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5,517,501</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w w:val="92"/>
              </w:rPr>
              <w:t>5,540,123</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increase (decrease) in net assets resulting from</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3,441,590</w:t>
            </w: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$12,252,662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8,236,473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(8,897,131)</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00" w:type="dxa"/>
            <w:vAlign w:val="bottom"/>
          </w:tcPr>
          <w:p>
            <w:pPr>
              <w:ind w:left="20"/>
              <w:spacing w:after="0" w:line="201" w:lineRule="exact"/>
              <w:rPr>
                <w:sz w:val="20"/>
                <w:szCs w:val="20"/>
                <w:color w:val="auto"/>
              </w:rPr>
            </w:pPr>
            <w:r>
              <w:rPr>
                <w:rFonts w:ascii="Arial" w:cs="Arial" w:eastAsia="Arial" w:hAnsi="Arial"/>
                <w:sz w:val="18"/>
                <w:szCs w:val="18"/>
                <w:color w:val="auto"/>
                <w:w w:val="94"/>
              </w:rPr>
              <w:t>Net increase in net assets resulting from operations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per share – basic and diluted</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Net increase in net assets resulting from operations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 – 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0.15</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0.15</w:t>
            </w:r>
          </w:p>
        </w:tc>
        <w:tc>
          <w:tcPr>
            <w:tcW w:w="126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-2211705</wp:posOffset>
            </wp:positionV>
            <wp:extent cx="52139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40" w:right="739" w:firstLine="270"/>
        <w:spacing w:after="0" w:line="297" w:lineRule="auto"/>
        <w:rPr>
          <w:sz w:val="20"/>
          <w:szCs w:val="20"/>
          <w:color w:val="auto"/>
        </w:rPr>
      </w:pPr>
      <w:r>
        <w:rPr>
          <w:rFonts w:ascii="Arial" w:cs="Arial" w:eastAsia="Arial" w:hAnsi="Arial"/>
          <w:sz w:val="16"/>
          <w:szCs w:val="16"/>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will record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50"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On March 7, 2016, Trimaran Advisors, LLC repaid $7.0 million of principal value of borrowings under the Trimaran Credit Facility.</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Company has evaluated events and transactions occurring subsequent to December 31, 2015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INDEX TO OTHER FINANCIAL STATEMENTS AND FINANCIAL STATEMENT SCHEDULES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gridSpan w:val="16"/>
          </w:tcPr>
          <w:p>
            <w:pPr>
              <w:ind w:left="40"/>
              <w:spacing w:after="0"/>
              <w:rPr>
                <w:sz w:val="20"/>
                <w:szCs w:val="20"/>
                <w:color w:val="auto"/>
              </w:rPr>
            </w:pPr>
            <w:r>
              <w:rPr>
                <w:rFonts w:ascii="Arial" w:cs="Arial" w:eastAsia="Arial" w:hAnsi="Arial"/>
                <w:sz w:val="18"/>
                <w:szCs w:val="18"/>
                <w:b w:val="1"/>
                <w:bCs w:val="1"/>
                <w:color w:val="auto"/>
              </w:rPr>
              <w:t>ASSET MANAGER AFFILIATES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Report of Independent Certified Public Accountants</w:t>
              </w:r>
            </w:hyperlink>
          </w:p>
        </w:tc>
        <w:tc>
          <w:tcPr>
            <w:tcW w:w="420" w:type="dxa"/>
            <w:vAlign w:val="bottom"/>
          </w:tcPr>
          <w:p>
            <w:pPr>
              <w:spacing w:after="0"/>
              <w:rPr>
                <w:sz w:val="24"/>
                <w:szCs w:val="24"/>
                <w:color w:val="auto"/>
              </w:rPr>
            </w:pPr>
          </w:p>
        </w:tc>
        <w:tc>
          <w:tcPr>
            <w:tcW w:w="400" w:type="dxa"/>
            <w:vAlign w:val="bottom"/>
            <w:gridSpan w:val="2"/>
          </w:tcPr>
          <w:p>
            <w:pPr>
              <w:jc w:val="center"/>
              <w:ind w:right="160"/>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S-2</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Combined Balance Sheets as of December 31, 2015 and December 31, 2014</w:t>
              </w:r>
            </w:hyperlink>
          </w:p>
        </w:tc>
        <w:tc>
          <w:tcPr>
            <w:tcW w:w="1880" w:type="dxa"/>
            <w:vAlign w:val="bottom"/>
            <w:gridSpan w:val="6"/>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40">
              <w:r>
                <w:rPr>
                  <w:rFonts w:ascii="Arial" w:cs="Arial" w:eastAsia="Arial" w:hAnsi="Arial"/>
                  <w:sz w:val="18"/>
                  <w:szCs w:val="18"/>
                  <w:color w:val="0000EE"/>
                  <w:w w:val="85"/>
                </w:rPr>
                <w:t>S-4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0" w:type="dxa"/>
            <w:vAlign w:val="bottom"/>
            <w:tcBorders>
              <w:bottom w:val="single" w:sz="8" w:color="0000EE"/>
            </w:tcBorders>
            <w:gridSpan w:val="15"/>
          </w:tcPr>
          <w:p>
            <w:pPr>
              <w:spacing w:after="0" w:line="17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Combined Statements of Operations for the years ended December 31, 2015, December 31, 2014</w:t>
              </w:r>
            </w:hyperlink>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80" w:type="dxa"/>
            <w:vAlign w:val="bottom"/>
            <w:gridSpan w:val="16"/>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and December 31, 2013</w:t>
              </w:r>
            </w:hyperlink>
          </w:p>
        </w:tc>
        <w:tc>
          <w:tcPr>
            <w:tcW w:w="420" w:type="dxa"/>
            <w:vAlign w:val="bottom"/>
          </w:tcPr>
          <w:p>
            <w:pPr>
              <w:spacing w:after="0"/>
              <w:rPr>
                <w:sz w:val="17"/>
                <w:szCs w:val="17"/>
                <w:color w:val="auto"/>
              </w:rPr>
            </w:pPr>
          </w:p>
        </w:tc>
        <w:tc>
          <w:tcPr>
            <w:tcW w:w="400" w:type="dxa"/>
            <w:vAlign w:val="bottom"/>
            <w:gridSpan w:val="2"/>
          </w:tcPr>
          <w:p>
            <w:pPr>
              <w:jc w:val="center"/>
              <w:ind w:right="160"/>
              <w:spacing w:after="0" w:line="196"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S-5</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Combined Statements of Changes in Member’s Equity for the years ended December 31, 2015,</w:t>
              </w:r>
            </w:hyperlink>
          </w:p>
        </w:tc>
        <w:tc>
          <w:tcPr>
            <w:tcW w:w="520" w:type="dxa"/>
            <w:vAlign w:val="bottom"/>
            <w:tcBorders>
              <w:bottom w:val="single" w:sz="8" w:color="CCEEFF"/>
            </w:tcBorders>
            <w:gridSpan w:val="2"/>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ind w:left="18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December 31, 2014, and December 31, 2013</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96" w:lineRule="exact"/>
              <w:rPr>
                <w:rFonts w:ascii="Arial" w:cs="Arial" w:eastAsia="Arial" w:hAnsi="Arial"/>
                <w:sz w:val="18"/>
                <w:szCs w:val="18"/>
                <w:color w:val="0000EE"/>
                <w:w w:val="85"/>
              </w:rPr>
            </w:pPr>
            <w:hyperlink w:anchor="page142">
              <w:r>
                <w:rPr>
                  <w:rFonts w:ascii="Arial" w:cs="Arial" w:eastAsia="Arial" w:hAnsi="Arial"/>
                  <w:sz w:val="18"/>
                  <w:szCs w:val="18"/>
                  <w:color w:val="0000EE"/>
                  <w:w w:val="85"/>
                </w:rPr>
                <w:t>S-6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w w:val="99"/>
              </w:rPr>
            </w:pPr>
            <w:hyperlink w:anchor="page143">
              <w:r>
                <w:rPr>
                  <w:rFonts w:ascii="Arial" w:cs="Arial" w:eastAsia="Arial" w:hAnsi="Arial"/>
                  <w:sz w:val="18"/>
                  <w:szCs w:val="18"/>
                  <w:color w:val="0000EE"/>
                  <w:w w:val="99"/>
                </w:rPr>
                <w:t>Combined Statements of Cash Flows for the years ended December 31, 2015, December 31,</w:t>
              </w:r>
            </w:hyperlink>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0000EE"/>
            </w:tcBorders>
            <w:gridSpan w:val="13"/>
          </w:tcPr>
          <w:p>
            <w:pPr>
              <w:ind w:left="18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2014, and December 31, 2013</w:t>
              </w:r>
            </w:hyperlink>
          </w:p>
        </w:tc>
        <w:tc>
          <w:tcPr>
            <w:tcW w:w="7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center"/>
              <w:ind w:right="160"/>
              <w:spacing w:after="0" w:line="19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S-7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Notes to Combined Financial Statements</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44">
              <w:r>
                <w:rPr>
                  <w:rFonts w:ascii="Arial" w:cs="Arial" w:eastAsia="Arial" w:hAnsi="Arial"/>
                  <w:sz w:val="18"/>
                  <w:szCs w:val="18"/>
                  <w:color w:val="0000EE"/>
                  <w:w w:val="85"/>
                </w:rPr>
                <w:t>S-8</w:t>
              </w:r>
            </w:hyperlink>
          </w:p>
        </w:tc>
      </w:tr>
      <w:tr>
        <w:trPr>
          <w:trHeight w:val="365"/>
        </w:trPr>
        <w:tc>
          <w:tcPr>
            <w:tcW w:w="20" w:type="dxa"/>
            <w:vAlign w:val="bottom"/>
            <w:tcBorders>
              <w:top w:val="single" w:sz="8" w:color="CCEEFF"/>
            </w:tcBorders>
          </w:tcPr>
          <w:p>
            <w:pPr>
              <w:spacing w:after="0"/>
              <w:rPr>
                <w:sz w:val="24"/>
                <w:szCs w:val="24"/>
                <w:color w:val="auto"/>
              </w:rPr>
            </w:pPr>
          </w:p>
        </w:tc>
        <w:tc>
          <w:tcPr>
            <w:tcW w:w="2940" w:type="dxa"/>
            <w:vAlign w:val="bottom"/>
            <w:tcBorders>
              <w:top w:val="single" w:sz="8" w:color="0000EE"/>
            </w:tcBorders>
            <w:gridSpan w:val="5"/>
          </w:tcPr>
          <w:p>
            <w:pPr>
              <w:ind w:left="40"/>
              <w:spacing w:after="0"/>
              <w:rPr>
                <w:sz w:val="20"/>
                <w:szCs w:val="20"/>
                <w:color w:val="auto"/>
              </w:rPr>
            </w:pPr>
            <w:r>
              <w:rPr>
                <w:rFonts w:ascii="Arial" w:cs="Arial" w:eastAsia="Arial" w:hAnsi="Arial"/>
                <w:sz w:val="18"/>
                <w:szCs w:val="18"/>
                <w:b w:val="1"/>
                <w:bCs w:val="1"/>
                <w:color w:val="auto"/>
              </w:rPr>
              <w:t>KATONAH 2007-I CLO LTD.</w:t>
            </w:r>
          </w:p>
        </w:tc>
        <w:tc>
          <w:tcPr>
            <w:tcW w:w="4440" w:type="dxa"/>
            <w:vAlign w:val="bottom"/>
            <w:tcBorders>
              <w:top w:val="single" w:sz="8" w:color="CCEEFF"/>
            </w:tcBorders>
            <w:gridSpan w:val="11"/>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Certified Public Accountants</w:t>
              </w:r>
            </w:hyperlink>
          </w:p>
        </w:tc>
        <w:tc>
          <w:tcPr>
            <w:tcW w:w="820" w:type="dxa"/>
            <w:vAlign w:val="bottom"/>
            <w:gridSpan w:val="3"/>
          </w:tcPr>
          <w:p>
            <w:pPr>
              <w:jc w:val="center"/>
              <w:ind w:left="150"/>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S-23</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Statement of Net Assets as of December 31, 2015 and December 31, 2014</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S-25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bottom w:val="single" w:sz="8" w:color="0000EE"/>
            </w:tcBorders>
            <w:gridSpan w:val="12"/>
          </w:tcPr>
          <w:p>
            <w:pPr>
              <w:spacing w:after="0" w:line="17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Statement of Operations for the years ended December 31, 2015, December 31, 2014 and</w:t>
              </w:r>
            </w:hyperlink>
          </w:p>
        </w:tc>
        <w:tc>
          <w:tcPr>
            <w:tcW w:w="940" w:type="dxa"/>
            <w:vAlign w:val="bottom"/>
            <w:gridSpan w:val="4"/>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80" w:type="dxa"/>
            <w:vAlign w:val="bottom"/>
            <w:gridSpan w:val="16"/>
          </w:tcPr>
          <w:p>
            <w:pPr>
              <w:ind w:left="18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December 31, 2013</w:t>
              </w:r>
            </w:hyperlink>
          </w:p>
        </w:tc>
        <w:tc>
          <w:tcPr>
            <w:tcW w:w="820" w:type="dxa"/>
            <w:vAlign w:val="bottom"/>
            <w:gridSpan w:val="3"/>
          </w:tcPr>
          <w:p>
            <w:pPr>
              <w:jc w:val="center"/>
              <w:ind w:left="150"/>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S-26</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163">
              <w:r>
                <w:rPr>
                  <w:rFonts w:ascii="Arial" w:cs="Arial" w:eastAsia="Arial" w:hAnsi="Arial"/>
                  <w:sz w:val="18"/>
                  <w:szCs w:val="18"/>
                  <w:color w:val="0000EE"/>
                  <w:w w:val="93"/>
                </w:rPr>
                <w:t>Statement of Changes in Net Assets for the years ended December 31, 2015, December 31, 2014,</w:t>
              </w:r>
            </w:hyperlink>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15"/>
            <w:shd w:val="clear" w:color="auto" w:fill="CCEEFF"/>
          </w:tcPr>
          <w:p>
            <w:pPr>
              <w:ind w:left="180"/>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and December 31, 2013</w:t>
              </w:r>
            </w:hyperlink>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3"/>
            <w:shd w:val="clear" w:color="auto" w:fill="CCEEFF"/>
          </w:tcPr>
          <w:p>
            <w:pPr>
              <w:jc w:val="center"/>
              <w:ind w:left="150"/>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S-27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Statement of Cash Flows for the year ended December 31, 2015 and December 31, 2014</w:t>
              </w:r>
            </w:hyperlink>
          </w:p>
        </w:tc>
        <w:tc>
          <w:tcPr>
            <w:tcW w:w="820" w:type="dxa"/>
            <w:vAlign w:val="bottom"/>
            <w:gridSpan w:val="3"/>
          </w:tcPr>
          <w:p>
            <w:pPr>
              <w:jc w:val="center"/>
              <w:ind w:left="150"/>
              <w:spacing w:after="0" w:line="17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S-28</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Schedule of Investment as of December 31, 2015 and December 31, 2014</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S-29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8"/>
          </w:tcPr>
          <w:p>
            <w:pPr>
              <w:spacing w:after="0" w:line="176" w:lineRule="exact"/>
              <w:rPr>
                <w:rFonts w:ascii="Arial" w:cs="Arial" w:eastAsia="Arial" w:hAnsi="Arial"/>
                <w:sz w:val="18"/>
                <w:szCs w:val="18"/>
                <w:color w:val="0000EE"/>
              </w:rPr>
            </w:pPr>
            <w:hyperlink w:anchor="page176">
              <w:r>
                <w:rPr>
                  <w:rFonts w:ascii="Arial" w:cs="Arial" w:eastAsia="Arial" w:hAnsi="Arial"/>
                  <w:sz w:val="18"/>
                  <w:szCs w:val="18"/>
                  <w:color w:val="0000EE"/>
                </w:rPr>
                <w:t>Notes to Combined Financial Statements</w:t>
              </w:r>
            </w:hyperlink>
          </w:p>
        </w:tc>
        <w:tc>
          <w:tcPr>
            <w:tcW w:w="208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jc w:val="center"/>
              <w:ind w:right="120"/>
              <w:spacing w:after="0" w:line="176" w:lineRule="exact"/>
              <w:rPr>
                <w:rFonts w:ascii="Arial" w:cs="Arial" w:eastAsia="Arial" w:hAnsi="Arial"/>
                <w:sz w:val="18"/>
                <w:szCs w:val="18"/>
                <w:color w:val="0000EE"/>
                <w:w w:val="73"/>
              </w:rPr>
            </w:pPr>
            <w:hyperlink w:anchor="page176">
              <w:r>
                <w:rPr>
                  <w:rFonts w:ascii="Arial" w:cs="Arial" w:eastAsia="Arial" w:hAnsi="Arial"/>
                  <w:sz w:val="18"/>
                  <w:szCs w:val="18"/>
                  <w:color w:val="0000EE"/>
                  <w:w w:val="73"/>
                </w:rPr>
                <w:t>S-40</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-2863850</wp:posOffset>
            </wp:positionV>
            <wp:extent cx="52139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121" w:lineRule="exact"/>
        <w:rPr>
          <w:sz w:val="20"/>
          <w:szCs w:val="20"/>
          <w:color w:val="auto"/>
        </w:rPr>
      </w:pPr>
    </w:p>
    <w:p>
      <w:pPr>
        <w:ind w:left="60" w:right="579" w:firstLine="270"/>
        <w:spacing w:after="0" w:line="276" w:lineRule="auto"/>
        <w:rPr>
          <w:sz w:val="20"/>
          <w:szCs w:val="20"/>
          <w:color w:val="auto"/>
        </w:rPr>
      </w:pPr>
      <w:r>
        <w:rPr>
          <w:rFonts w:ascii="Arial" w:cs="Arial" w:eastAsia="Arial" w:hAnsi="Arial"/>
          <w:sz w:val="17"/>
          <w:szCs w:val="17"/>
          <w:color w:val="auto"/>
        </w:rPr>
        <w:t>In accordance with certain SEC rules, KCAP Financial, Inc. (the “Company”) is providing additional information regarding the following portfolio companies: Katonah Debt Advisers, L.L.C., Trimaran Advisors, L.L.C. (collectively the Asset Manager Affiliates), and Katonah 2007-I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Manager Affiliates</w:t>
      </w:r>
    </w:p>
    <w:p>
      <w:pPr>
        <w:spacing w:after="0" w:line="103"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We have audited the accompanying combined financial statements of Asset Manager Affiliates (the “Company”), which comprise the combined balance sheets, as of December 31, 2015 and 2014, and the related combined statements of operations, changes in member’s equity, and cash flows for the years then ended, and the related notes to the combined financial statements.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combined financial position of Asset Manager Affiliates at December 31, 2015 and 2014, and the combined results of their operations and their cash flows for the years then ended, in conformity with U.S. generally accepted accounting principles.</w:t>
      </w:r>
    </w:p>
    <w:p>
      <w:pPr>
        <w:spacing w:after="0" w:line="7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KCAP Financial, Inc.</w:t>
      </w:r>
    </w:p>
    <w:p>
      <w:pPr>
        <w:spacing w:after="0" w:line="103"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We have audited the combined financial statements of Asset Manager Affiliates, which comprise the combined balance sheet as of December 31, 2013 (not included herein), and the related combined statements of operations, changes in member’s equity, and cash flows for the year then ended, and the related notes to the combined financial statements.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59"/>
        <w:spacing w:after="0" w:line="259"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 We conducted our audit in accordance with auditing standards generally accepted in the United States of America. Those standards require that we plan and perform the audit to obtain reasonable assurance about whether the combined financial statements are free from material misstatement.</w:t>
      </w:r>
    </w:p>
    <w:p>
      <w:pPr>
        <w:spacing w:after="0" w:line="79" w:lineRule="exact"/>
        <w:rPr>
          <w:sz w:val="20"/>
          <w:szCs w:val="20"/>
          <w:color w:val="auto"/>
        </w:rPr>
      </w:pPr>
    </w:p>
    <w:p>
      <w:pPr>
        <w:ind w:left="40" w:right="679"/>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entity’s preparation and fair presentation of the combined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71"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679"/>
        <w:spacing w:after="0" w:line="286" w:lineRule="auto"/>
        <w:rPr>
          <w:sz w:val="20"/>
          <w:szCs w:val="20"/>
          <w:color w:val="auto"/>
        </w:rPr>
      </w:pPr>
      <w:r>
        <w:rPr>
          <w:rFonts w:ascii="Arial" w:cs="Arial" w:eastAsia="Arial" w:hAnsi="Arial"/>
          <w:sz w:val="17"/>
          <w:szCs w:val="17"/>
          <w:color w:val="auto"/>
        </w:rPr>
        <w:t>In our opinion, the combined financial statements referred to above present fairly, in all material respects, the financial position of Asset Manager Affiliates as of December 31, 2013, and the results of their operations and their cash flows for the year then ended in accordance with accounting principles generally accepted in the United States of America.</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9" w:name="page140"/>
    <w:bookmarkEnd w:id="13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5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500" w:type="dxa"/>
            <w:vAlign w:val="bottom"/>
          </w:tcPr>
          <w:p>
            <w:pPr>
              <w:spacing w:after="0"/>
              <w:rPr>
                <w:sz w:val="14"/>
                <w:szCs w:val="14"/>
                <w:color w:val="auto"/>
              </w:rPr>
            </w:pPr>
          </w:p>
        </w:tc>
        <w:tc>
          <w:tcPr>
            <w:tcW w:w="11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$2,563,665,915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2,846,659,635</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6,778,774</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Restricted cash of CLO Funds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115,799,359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182,224,205</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receivable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6,551,857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6,655,821</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Receivable for open trades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7,549,991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18,451,278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31,000</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3,576,148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24,467,705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26,775,828</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1,178,931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1,440,250</w:t>
            </w:r>
          </w:p>
        </w:tc>
      </w:tr>
      <w:tr>
        <w:trPr>
          <w:trHeight w:val="20"/>
        </w:trPr>
        <w:tc>
          <w:tcPr>
            <w:tcW w:w="5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2,723,369,247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3,092,592,939</w:t>
            </w:r>
          </w:p>
        </w:tc>
      </w:tr>
      <w:tr>
        <w:trPr>
          <w:trHeight w:val="210"/>
        </w:trPr>
        <w:tc>
          <w:tcPr>
            <w:tcW w:w="55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 Funds’ liabilities at fair value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$2,649,104,285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2,990,211,629</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16,833,565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17,245,940</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open trades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67,887,112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20,200,844</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3,037,338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9,951,588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25,117,095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23,227,387</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649,970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2,762,629,365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3,060,837,388</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Member’s contributions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52,519,916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52,519,916</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(24,248,496)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(17,739,571)</w:t>
            </w:r>
          </w:p>
        </w:tc>
      </w:tr>
      <w:tr>
        <w:trPr>
          <w:trHeight w:val="20"/>
        </w:trPr>
        <w:tc>
          <w:tcPr>
            <w:tcW w:w="55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Total Asset Manager Affiliates 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28,271,420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34,780,345</w:t>
            </w:r>
          </w:p>
        </w:tc>
      </w:tr>
      <w:tr>
        <w:trPr>
          <w:trHeight w:val="202"/>
        </w:trPr>
        <w:tc>
          <w:tcPr>
            <w:tcW w:w="5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Appropriated accumulated deficit of Consolidated Variable Interest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(67,531,538)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(3,024,794)</w:t>
            </w:r>
          </w:p>
        </w:tc>
      </w:tr>
      <w:tr>
        <w:trPr>
          <w:trHeight w:val="20"/>
        </w:trPr>
        <w:tc>
          <w:tcPr>
            <w:tcW w:w="55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Total member’s equity</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(39,260,118)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31,755,551</w:t>
            </w:r>
          </w:p>
        </w:tc>
      </w:tr>
      <w:tr>
        <w:trPr>
          <w:trHeight w:val="20"/>
        </w:trPr>
        <w:tc>
          <w:tcPr>
            <w:tcW w:w="5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2,723,369,247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3,092,592,939</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-2434590</wp:posOffset>
            </wp:positionV>
            <wp:extent cx="5213985" cy="1714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13985" cy="146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130,210,674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120,740,895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125,889,874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Interest income – cash and time deposits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322,219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332,775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8,489,809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133,618,016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126,200,304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134,805,082</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of CLO Fund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143,917,372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136,240,383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107,760,918</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2,033,465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627,903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9,441,607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8,921,240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8,384,972</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460,969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513,023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13,064,261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17,779,416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10,009,084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5,281,646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8,632,640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6,014,316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 fees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948,898</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174,711,628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174,893,639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134,259,114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(15,229,831)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(27,188,644)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(13,899,200)</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Loss before tax</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(56,323,443)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(75,881,979)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(13,353,232)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4,153,598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(657,334)</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(61,965,668)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(80,035,577)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(12,695,898)</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attributable to noncontrolling interests in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Variable Interest Entities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(64,506,744)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(87,325,023)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(20,570,766)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income attributable to Asset Manager Affiliates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2,541,075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7,289,446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7,874,868</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-891540</wp:posOffset>
            </wp:positionV>
            <wp:extent cx="5213985" cy="154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-599440</wp:posOffset>
            </wp:positionV>
            <wp:extent cx="5213985" cy="146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1" w:name="page142"/>
    <w:bookmarkEnd w:id="14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Appropriated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Member’s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9"/>
              </w:rPr>
              <w:t>Total Member’s</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Deficit) of Variable</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Contributions</w:t>
            </w:r>
          </w:p>
        </w:tc>
        <w:tc>
          <w:tcPr>
            <w:tcW w:w="22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Earnings (Deficit)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Interest Entities</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January 1, 2013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$ 51,754,920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(8,244,102)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104,870,995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$148,381,813</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7,874,869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7,874,869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(12,759,784)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(12,759,784)</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229,196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229,196</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9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(20,570,766)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(20,570,766)</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51,984,116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(13,129,017)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84,300,229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123,155,328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7,289,446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7,289,446</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(11,900,000)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(11,900,000)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535,800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535,800</w:t>
            </w: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(87,325,023)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(87,325,023)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December 31, 2014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52,519,916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(17,739,571)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(3,024,794)</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31,755,551</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2,541,075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2,541,075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(64,506,744)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(64,506,744)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December 31,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$ 52,519,916</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(24,248,496)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(67,531,538)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(39,260,118)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146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6046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60465"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83"/>
        </w:trPr>
        <w:tc>
          <w:tcPr>
            <w:tcW w:w="2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5"/>
                <w:szCs w:val="15"/>
                <w:color w:val="auto"/>
              </w:rPr>
            </w:pPr>
          </w:p>
        </w:tc>
      </w:tr>
      <w:tr>
        <w:trPr>
          <w:trHeight w:val="119"/>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Asset Manager</w:t>
            </w:r>
          </w:p>
        </w:tc>
        <w:tc>
          <w:tcPr>
            <w:tcW w:w="80" w:type="dxa"/>
            <w:vAlign w:val="bottom"/>
          </w:tcPr>
          <w:p>
            <w:pPr>
              <w:spacing w:after="0"/>
              <w:rPr>
                <w:sz w:val="10"/>
                <w:szCs w:val="10"/>
                <w:color w:val="auto"/>
              </w:rPr>
            </w:pPr>
          </w:p>
        </w:tc>
        <w:tc>
          <w:tcPr>
            <w:tcW w:w="11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CLO</w:t>
            </w:r>
          </w:p>
        </w:tc>
        <w:tc>
          <w:tcPr>
            <w:tcW w:w="10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Asset Manager</w:t>
            </w:r>
          </w:p>
        </w:tc>
        <w:tc>
          <w:tcPr>
            <w:tcW w:w="80" w:type="dxa"/>
            <w:vAlign w:val="bottom"/>
          </w:tcPr>
          <w:p>
            <w:pPr>
              <w:spacing w:after="0"/>
              <w:rPr>
                <w:sz w:val="10"/>
                <w:szCs w:val="10"/>
                <w:color w:val="auto"/>
              </w:rPr>
            </w:pPr>
          </w:p>
        </w:tc>
        <w:tc>
          <w:tcPr>
            <w:tcW w:w="11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CLO</w:t>
            </w:r>
          </w:p>
        </w:tc>
        <w:tc>
          <w:tcPr>
            <w:tcW w:w="80" w:type="dxa"/>
            <w:vAlign w:val="bottom"/>
          </w:tcPr>
          <w:p>
            <w:pPr>
              <w:spacing w:after="0"/>
              <w:rPr>
                <w:sz w:val="10"/>
                <w:szCs w:val="10"/>
                <w:color w:val="auto"/>
              </w:rPr>
            </w:pPr>
          </w:p>
        </w:tc>
        <w:tc>
          <w:tcPr>
            <w:tcW w:w="106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9"/>
              </w:rPr>
              <w:t>Asset Manager</w:t>
            </w:r>
          </w:p>
        </w:tc>
        <w:tc>
          <w:tcPr>
            <w:tcW w:w="80" w:type="dxa"/>
            <w:vAlign w:val="bottom"/>
          </w:tcPr>
          <w:p>
            <w:pPr>
              <w:spacing w:after="0"/>
              <w:rPr>
                <w:sz w:val="10"/>
                <w:szCs w:val="10"/>
                <w:color w:val="auto"/>
              </w:rPr>
            </w:pPr>
          </w:p>
        </w:tc>
        <w:tc>
          <w:tcPr>
            <w:tcW w:w="10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CLO</w:t>
            </w:r>
          </w:p>
        </w:tc>
      </w:t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Affiliates Cash</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Restricted Cash</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Affiliates Cash</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Restricted Cash</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Affiliates Cash</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0"/>
              </w:rPr>
              <w:t>Restricted Cash</w:t>
            </w: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6"/>
                <w:szCs w:val="16"/>
                <w:color w:val="auto"/>
                <w:w w:val="97"/>
              </w:rPr>
              <w:t>Net income attributable to Asset Manager</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920" w:type="dxa"/>
            <w:vAlign w:val="bottom"/>
          </w:tcPr>
          <w:p>
            <w:pPr>
              <w:ind w:left="200"/>
              <w:spacing w:after="0"/>
              <w:rPr>
                <w:sz w:val="20"/>
                <w:szCs w:val="20"/>
                <w:color w:val="auto"/>
              </w:rPr>
            </w:pPr>
            <w:r>
              <w:rPr>
                <w:rFonts w:ascii="Arial" w:cs="Arial" w:eastAsia="Arial" w:hAnsi="Arial"/>
                <w:sz w:val="16"/>
                <w:szCs w:val="16"/>
                <w:color w:val="auto"/>
              </w:rPr>
              <w:t>Affiliates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2,541,075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7,289,446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7,874,870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Variable Interest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Entities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(64,506,744)</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(87,325,023)</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(20,570,767)</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Adjustments to reconcile net income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b w:val="1"/>
                <w:bCs w:val="1"/>
                <w:color w:val="auto"/>
                <w:w w:val="90"/>
              </w:rPr>
              <w:t>(loss) to net cash provided by (used in)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20" w:type="dxa"/>
            <w:vAlign w:val="bottom"/>
          </w:tcPr>
          <w:p>
            <w:pPr>
              <w:ind w:left="20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deferred tax assets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4,226,118</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(1,008,957)</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(1,458,743)</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Net realized and unrealized losses</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15,229,831</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27,188,644</w:t>
            </w:r>
          </w:p>
        </w:tc>
        <w:tc>
          <w:tcPr>
            <w:tcW w:w="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13,899,200</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2,308,123</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5,290,437</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3,542,037</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Changes in operating assets and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20" w:type="dxa"/>
            <w:vAlign w:val="bottom"/>
          </w:tcPr>
          <w:p>
            <w:pPr>
              <w:ind w:left="20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Decrease (increase) in accrued management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3,236,504</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(3,236,504)</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(3,536,430)</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3,536,430</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(672,200)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672,200</w:t>
            </w:r>
          </w:p>
        </w:tc>
      </w:tr>
      <w:tr>
        <w:trPr>
          <w:trHeight w:val="193"/>
        </w:trPr>
        <w:tc>
          <w:tcPr>
            <w:tcW w:w="2920" w:type="dxa"/>
            <w:vAlign w:val="bottom"/>
          </w:tcPr>
          <w:p>
            <w:pPr>
              <w:ind w:left="20"/>
              <w:spacing w:after="0"/>
              <w:rPr>
                <w:sz w:val="20"/>
                <w:szCs w:val="20"/>
                <w:color w:val="auto"/>
              </w:rPr>
            </w:pPr>
            <w:r>
              <w:rPr>
                <w:rFonts w:ascii="Arial" w:cs="Arial" w:eastAsia="Arial" w:hAnsi="Arial"/>
                <w:sz w:val="16"/>
                <w:szCs w:val="16"/>
                <w:color w:val="auto"/>
              </w:rPr>
              <w:t>Decrease (increase) in accrued interest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920" w:type="dxa"/>
            <w:vAlign w:val="bottom"/>
          </w:tcPr>
          <w:p>
            <w:pPr>
              <w:ind w:left="200"/>
              <w:spacing w:after="0"/>
              <w:rPr>
                <w:sz w:val="20"/>
                <w:szCs w:val="20"/>
                <w:color w:val="auto"/>
              </w:rPr>
            </w:pPr>
            <w:r>
              <w:rPr>
                <w:rFonts w:ascii="Arial" w:cs="Arial" w:eastAsia="Arial" w:hAnsi="Arial"/>
                <w:sz w:val="16"/>
                <w:szCs w:val="16"/>
                <w:color w:val="auto"/>
              </w:rPr>
              <w:t>receivable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103,960</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1,031,534</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2,533,891</w:t>
            </w: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other accounts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(89,675)</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Decrease (increase) in other assets</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(481,966)</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(640,339)</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79,435</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(345,696)</w:t>
            </w:r>
          </w:p>
        </w:tc>
        <w:tc>
          <w:tcPr>
            <w:tcW w:w="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360,812</w:t>
            </w:r>
          </w:p>
        </w:tc>
        <w:tc>
          <w:tcPr>
            <w:tcW w:w="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(249,079)</w:t>
            </w:r>
          </w:p>
        </w:tc>
      </w:tr>
      <w:tr>
        <w:trPr>
          <w:trHeight w:val="19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Increase (decrease) in accounts payable and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(5,867,797)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703,547</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2,517,777</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(85,438)</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4,207,236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43,500</w:t>
            </w:r>
          </w:p>
        </w:tc>
      </w:tr>
      <w:tr>
        <w:trPr>
          <w:trHeight w:val="193"/>
        </w:trPr>
        <w:tc>
          <w:tcPr>
            <w:tcW w:w="2920" w:type="dxa"/>
            <w:vAlign w:val="bottom"/>
          </w:tcPr>
          <w:p>
            <w:pPr>
              <w:ind w:left="20"/>
              <w:spacing w:after="0"/>
              <w:rPr>
                <w:sz w:val="20"/>
                <w:szCs w:val="20"/>
                <w:color w:val="auto"/>
              </w:rPr>
            </w:pPr>
            <w:r>
              <w:rPr>
                <w:rFonts w:ascii="Arial" w:cs="Arial" w:eastAsia="Arial" w:hAnsi="Arial"/>
                <w:sz w:val="16"/>
                <w:szCs w:val="16"/>
                <w:color w:val="auto"/>
              </w:rPr>
              <w:t>Increase (decrease) in accrued interest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920" w:type="dxa"/>
            <w:vAlign w:val="bottom"/>
          </w:tcPr>
          <w:p>
            <w:pPr>
              <w:ind w:left="200"/>
              <w:spacing w:after="0"/>
              <w:rPr>
                <w:sz w:val="20"/>
                <w:szCs w:val="20"/>
                <w:color w:val="auto"/>
              </w:rPr>
            </w:pPr>
            <w:r>
              <w:rPr>
                <w:rFonts w:ascii="Arial" w:cs="Arial" w:eastAsia="Arial" w:hAnsi="Arial"/>
                <w:sz w:val="16"/>
                <w:szCs w:val="16"/>
                <w:color w:val="auto"/>
              </w:rPr>
              <w:t>payable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(412,377)</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11,333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991,471</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166,916</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4,368,264</w:t>
            </w:r>
          </w:p>
        </w:tc>
      </w:tr>
      <w:tr>
        <w:trPr>
          <w:trHeight w:val="20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(1,033,244,765)</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(1,262,264,671)</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(1,256,323,341)</w:t>
            </w:r>
          </w:p>
        </w:tc>
      </w:tr>
      <w:tr>
        <w:trPr>
          <w:trHeight w:val="193"/>
        </w:trPr>
        <w:tc>
          <w:tcPr>
            <w:tcW w:w="2920" w:type="dxa"/>
            <w:vAlign w:val="bottom"/>
          </w:tcPr>
          <w:p>
            <w:pPr>
              <w:ind w:left="20"/>
              <w:spacing w:after="0"/>
              <w:rPr>
                <w:sz w:val="20"/>
                <w:szCs w:val="20"/>
                <w:color w:val="auto"/>
              </w:rPr>
            </w:pPr>
            <w:r>
              <w:rPr>
                <w:rFonts w:ascii="Arial" w:cs="Arial" w:eastAsia="Arial" w:hAnsi="Arial"/>
                <w:sz w:val="16"/>
                <w:szCs w:val="16"/>
                <w:color w:val="auto"/>
              </w:rPr>
              <w:t>Proceeds from sale and redemption of</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92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1,195,190,728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1,318,852,412</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1,571,177,633</w:t>
            </w:r>
          </w:p>
        </w:tc>
      </w:tr>
      <w:tr>
        <w:trPr>
          <w:trHeight w:val="20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receivable for open trades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10,901,287</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(12,482,566)</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(1,725,775)</w:t>
            </w:r>
          </w:p>
        </w:tc>
      </w:tr>
      <w:tr>
        <w:trPr>
          <w:trHeight w:val="193"/>
        </w:trPr>
        <w:tc>
          <w:tcPr>
            <w:tcW w:w="2920" w:type="dxa"/>
            <w:vAlign w:val="bottom"/>
          </w:tcPr>
          <w:p>
            <w:pPr>
              <w:ind w:left="20"/>
              <w:spacing w:after="0"/>
              <w:rPr>
                <w:sz w:val="20"/>
                <w:szCs w:val="20"/>
                <w:color w:val="auto"/>
              </w:rPr>
            </w:pPr>
            <w:r>
              <w:rPr>
                <w:rFonts w:ascii="Arial" w:cs="Arial" w:eastAsia="Arial" w:hAnsi="Arial"/>
                <w:sz w:val="16"/>
                <w:szCs w:val="16"/>
                <w:color w:val="auto"/>
              </w:rPr>
              <w:t>Increase (decrease) in payable for open</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920" w:type="dxa"/>
            <w:vAlign w:val="bottom"/>
          </w:tcPr>
          <w:p>
            <w:pPr>
              <w:ind w:left="200"/>
              <w:spacing w:after="0"/>
              <w:rPr>
                <w:sz w:val="20"/>
                <w:szCs w:val="20"/>
                <w:color w:val="auto"/>
              </w:rPr>
            </w:pPr>
            <w:r>
              <w:rPr>
                <w:rFonts w:ascii="Arial" w:cs="Arial" w:eastAsia="Arial" w:hAnsi="Arial"/>
                <w:sz w:val="16"/>
                <w:szCs w:val="16"/>
                <w:color w:val="auto"/>
              </w:rPr>
              <w:t>trades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47,686,268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(29,855,797)</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(174,353,152)</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Net cash provided by (used in) operating</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5,872,382</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167,774,892</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10,643,703</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(40,758,700)</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14,020,173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139,472,574</w:t>
            </w:r>
          </w:p>
        </w:tc>
      </w:tr>
      <w:tr>
        <w:trPr>
          <w:trHeight w:val="199"/>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(23,000,000)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Proceeds from sale of investment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23,000,000</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23,000,000</w:t>
            </w: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investing activities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(23,000,000)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contributions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535,800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229,196</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Member’s distributions</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(9,050,000)</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(11,900,000)</w:t>
            </w: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(12,750,000)</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offering proceeds</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460,383,490</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47,500,000</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918,652,705</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46,000,000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465,000,000</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(36,000,000)</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(694,583,228)</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(47,500,000)</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(974,483,723)</w:t>
            </w:r>
          </w:p>
        </w:tc>
        <w:tc>
          <w:tcPr>
            <w:tcW w:w="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(23,000,000)</w:t>
            </w:r>
          </w:p>
        </w:tc>
        <w:tc>
          <w:tcPr>
            <w:tcW w:w="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(858,880,917)</w:t>
            </w:r>
          </w:p>
        </w:tc>
      </w:tr>
      <w:tr>
        <w:trPr>
          <w:trHeight w:val="18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(9,050,000)</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(234,199,738)</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(11,364,200)</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(55,831,018)</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10,479,196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(393,880,917)</w:t>
            </w: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9"/>
        </w:trPr>
        <w:tc>
          <w:tcPr>
            <w:tcW w:w="2920" w:type="dxa"/>
            <w:vAlign w:val="bottom"/>
          </w:tcPr>
          <w:p>
            <w:pPr>
              <w:ind w:left="20"/>
              <w:spacing w:after="0"/>
              <w:rPr>
                <w:sz w:val="20"/>
                <w:szCs w:val="20"/>
                <w:color w:val="auto"/>
              </w:rPr>
            </w:pPr>
            <w:r>
              <w:rPr>
                <w:rFonts w:ascii="Arial" w:cs="Arial" w:eastAsia="Arial" w:hAnsi="Arial"/>
                <w:sz w:val="16"/>
                <w:szCs w:val="16"/>
                <w:color w:val="auto"/>
              </w:rPr>
              <w:t>CHANGE IN CASH</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(3,177,618)</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(66,424,846)</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(720,497)</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(96,589,718)</w:t>
            </w:r>
          </w:p>
        </w:tc>
        <w:tc>
          <w:tcPr>
            <w:tcW w:w="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1,499,369</w:t>
            </w:r>
          </w:p>
        </w:tc>
        <w:tc>
          <w:tcPr>
            <w:tcW w:w="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(254,408,343)</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YEAR</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6,778,774</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182,224,205</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7,499,271</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278,813,923</w:t>
            </w: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5,999,902</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533,222,266</w:t>
            </w: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6"/>
                <w:szCs w:val="16"/>
                <w:color w:val="auto"/>
              </w:rPr>
              <w:t>CASH, END OF YEAR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3,601,156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115,799,359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6,778,774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182,224,205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7,499,271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278,813,923</w:t>
            </w:r>
          </w:p>
        </w:tc>
      </w:tr>
      <w:tr>
        <w:trPr>
          <w:trHeight w:val="21"/>
        </w:trPr>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1,817,480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144,826,512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2,022,132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135,255,155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103,392,654</w:t>
            </w: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5,477,493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2,978,613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432,500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Non-cash transactions: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contributions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535,800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229,196</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-2529205</wp:posOffset>
            </wp:positionV>
            <wp:extent cx="627761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-1997710</wp:posOffset>
            </wp:positionV>
            <wp:extent cx="627761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627761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-814070</wp:posOffset>
            </wp:positionV>
            <wp:extent cx="6277610" cy="1714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Katonah Debt Advisors, L.L.C. (“Katonah Debt Advisors”), a registered investment adviser under the Investment Advisors Act of 1940 (“the IA Act of 1940”), is a wholly-owned portfolio company of KCAP Financial, Inc. (“KCAP Financial”,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purchased Trimaran Advisors, L.L.C. (“Trimaran Advisors”), a registered investment adviser and CLO manager similar to Katonah Debt Advisors,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2015, Katonah Debt Advisors and Trimaran Advisors, as well as affiliated management companies Katonah 2007-1 Management, L.L.C., Katonah X Management, L.L.C. and Trimaran Advisors Management, L.L.C. (collectively, the “Asset Manager Affiliates”) have approximately $2.7 billion of par value assets under management. Katonah Debt Advisors and Trimaran Advisors are each managed independently from KCAP Financial by a separate management team. The Asset Manager Affiliates provide investment management services to CLO Funds, making day-to-day investment decisions concerning the assets of the CLO Funds. The Asset Manager Affiliates do not have any investment interests in the CLO Funds they manage; however, KCAP Financial holds investments in a portion of the securities issued by the CLO Funds managed by the Asset Manager Affiliates.</w:t>
      </w:r>
    </w:p>
    <w:p>
      <w:pPr>
        <w:spacing w:after="0" w:line="67" w:lineRule="exact"/>
        <w:rPr>
          <w:sz w:val="20"/>
          <w:szCs w:val="20"/>
          <w:color w:val="auto"/>
        </w:rPr>
      </w:pPr>
    </w:p>
    <w:p>
      <w:pPr>
        <w:ind w:left="40" w:right="779" w:firstLine="270"/>
        <w:spacing w:after="0" w:line="286" w:lineRule="auto"/>
        <w:rPr>
          <w:sz w:val="20"/>
          <w:szCs w:val="20"/>
          <w:color w:val="auto"/>
        </w:rPr>
      </w:pPr>
      <w:r>
        <w:rPr>
          <w:rFonts w:ascii="Arial" w:cs="Arial" w:eastAsia="Arial" w:hAnsi="Arial"/>
          <w:sz w:val="16"/>
          <w:szCs w:val="16"/>
          <w:color w:val="auto"/>
        </w:rPr>
        <w:t>All of the CLO funds managed by the Asset Manager Affiliates are considered to be variable interest entities (“VIEs”) for which the Asset Manager Affiliates are the primary beneficiary and, as a result, are required to be consolidated into the financial statements of the Asset Manager Affiliates as discussed in Note 3 — CLO Funds. The CLO funds considered to be VIEs are as follows: KATONAH IX CLO LTD.; KATONAH X CLO LTD.; KATONAH 2007-I CLO LTD.; TRIMARAN CLO IV LTD.;</w:t>
      </w:r>
    </w:p>
    <w:p>
      <w:pPr>
        <w:spacing w:after="0" w:line="2" w:lineRule="exact"/>
        <w:rPr>
          <w:sz w:val="20"/>
          <w:szCs w:val="20"/>
          <w:color w:val="auto"/>
        </w:rPr>
      </w:pPr>
    </w:p>
    <w:p>
      <w:pPr>
        <w:ind w:left="40" w:right="639"/>
        <w:spacing w:after="0" w:line="290" w:lineRule="auto"/>
        <w:rPr>
          <w:sz w:val="20"/>
          <w:szCs w:val="20"/>
          <w:color w:val="auto"/>
        </w:rPr>
      </w:pPr>
      <w:r>
        <w:rPr>
          <w:rFonts w:ascii="Arial" w:cs="Arial" w:eastAsia="Arial" w:hAnsi="Arial"/>
          <w:sz w:val="17"/>
          <w:szCs w:val="17"/>
          <w:color w:val="auto"/>
        </w:rPr>
        <w:t>TRIMARAN CLO V LTD.; TRIMARAN CLO VI LTD.; TRIMARAN CLO VII LTD.; CATAMARAN CLO 2012-1 LTD.; CATAMARAN CLO 2013-1 LTD.; CATAMARAN 2014-1 LTD., CATAMARAN 2014-2 LTD., and CATAMARAN 2015-1 LTD.</w:t>
      </w:r>
    </w:p>
    <w:p>
      <w:pPr>
        <w:spacing w:after="0" w:line="53"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During 2015, the following CLO Funds were fully redeemed, with all of their assets disposed and the proceeds therefrom distributed to their investors with no assets remaining at December 31, 2015; TRIMARAN CLO IV LTD.; TRIMARAN CLO V LTD.; TRIMARAN CLO VI LTD.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21"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The combined financial statements have been prepared in accordance with U.S. GAAP (“Accounting Principles Generally Accepted in the United States”) and include the financial statements of the Asset Manager Affiliates and any VIEs required to be consolidated. The Asset Manager Affiliates provide investment management services to various CLO Funds, making day-to-day investment decisions concerning the assets of the CLO Funds. All of the CLO Funds managed by the Asset Manager Affiliates are VIEs that are required to be consolidated. Certain prior-year amounts have been reclassified to conform to the current year presentation.</w:t>
      </w:r>
    </w:p>
    <w:p>
      <w:pPr>
        <w:spacing w:after="0" w:line="85"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Although the Asset Manager Affiliates have no ownership interests in the CLO Funds they manage, the Asset Manager Affiliates follow the provisions of Accounting Standards Codification ASC Topic 810, “Consolidation,” when accounting for VIEs as further detailed below. Pursuant to ASC 810, VIEs, or entities in which the risks and rewards of ownership are not directly linked to voting interests, for which the Asset Manager Affiliates are the primary beneficiary, are consolidated.</w:t>
      </w:r>
    </w:p>
    <w:p>
      <w:pPr>
        <w:spacing w:after="0" w:line="200" w:lineRule="exact"/>
        <w:rPr>
          <w:sz w:val="20"/>
          <w:szCs w:val="20"/>
          <w:color w:val="auto"/>
        </w:rPr>
      </w:pPr>
    </w:p>
    <w:p>
      <w:pPr>
        <w:spacing w:after="0" w:line="3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For CLO Funds, if the Asset Manager Affiliates are deemed to have the power to direct the activities of the CLO that most significantly impact the CLO’s economic performance, and the obligation to absorb losses/right to receive benefits (management fees and potential incentive fees) from the CLO that could potentially be significant to the CLO, then the Asset Manager Affiliates are deemed to be the CLO’s primary beneficiary and are required to consolidate the CLO.</w:t>
      </w:r>
    </w:p>
    <w:p>
      <w:pPr>
        <w:spacing w:after="0" w:line="63"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All of the investments held and notes issued by CLO Funds considered to be VIEs are presented at fair value in the Asset Manager Affiliates’ Combined Balance Sheets and interest income and expense of consolidated CLO Funds are presented in the Asset Manager Affiliates’ Combined Statements of Operations.</w:t>
      </w:r>
    </w:p>
    <w:p>
      <w:pPr>
        <w:spacing w:after="0" w:line="73"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Company will adopt ASU 2015-2 in 2016 which will result in the deconsolidation of the CLO Funds.</w:t>
      </w:r>
    </w:p>
    <w:p>
      <w:pPr>
        <w:spacing w:after="0" w:line="84"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b w:val="1"/>
          <w:bCs w:val="1"/>
          <w:i w:val="1"/>
          <w:iCs w:val="1"/>
          <w:color w:val="auto"/>
        </w:rPr>
        <w:t xml:space="preserve">Investments at Fair Value. </w:t>
      </w:r>
      <w:r>
        <w:rPr>
          <w:rFonts w:ascii="Arial" w:cs="Arial" w:eastAsia="Arial" w:hAnsi="Arial"/>
          <w:sz w:val="16"/>
          <w:szCs w:val="16"/>
          <w:color w:val="auto"/>
        </w:rPr>
        <w:t>Investment transactions are recorded on the applicable trade date. Realized gains or losses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using the specific identification method. Investments held by the CLO Funds are stated at fair value. ASC 820 — Fair Value Measurements and Disclosures (“ASC 820: Fair Value”), requires, among other things, disclosures about assets and liabilities that are measured and reported at fair value. At December 31, 2015, there was a $23 million loan outstanding from Trimaran Advisors, which is being used to fund warehouse assets for a new CLO and is included in investments at fair value.</w:t>
      </w:r>
    </w:p>
    <w:p>
      <w:pPr>
        <w:spacing w:after="0" w:line="5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b w:val="1"/>
          <w:bCs w:val="1"/>
          <w:i w:val="1"/>
          <w:iCs w:val="1"/>
          <w:color w:val="auto"/>
        </w:rPr>
        <w:t xml:space="preserve">Hierarchy of Fair Value Inputs. </w:t>
      </w:r>
      <w:r>
        <w:rPr>
          <w:rFonts w:ascii="Arial" w:cs="Arial" w:eastAsia="Arial" w:hAnsi="Arial"/>
          <w:sz w:val="17"/>
          <w:szCs w:val="17"/>
          <w:color w:val="auto"/>
        </w:rPr>
        <w:t>The provisions of ASC 820: Fair Value establish a hierarchy that prioritizes inputs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valuation techniques used to measure fair value and require companies to disclose the fair value of their financial instruments according to the fair value hierarchy (i.e., Level I, II and III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4520" w:right="3299" w:hanging="4242"/>
        <w:spacing w:after="0" w:line="935" w:lineRule="auto"/>
        <w:tabs>
          <w:tab w:leader="none" w:pos="5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I assets may include listed mutual funds, ETFs, equities and certain derivatives. 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-289560</wp:posOffset>
            </wp:positionV>
            <wp:extent cx="6114415" cy="596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20" w:right="5339" w:hanging="272"/>
        <w:spacing w:after="0" w:line="378" w:lineRule="auto"/>
        <w:tabs>
          <w:tab w:leader="none" w:pos="23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u w:val="single" w:color="auto"/>
          <w:color w:val="auto"/>
        </w:rPr>
        <w:t>Level II Inputs:</w:t>
      </w:r>
    </w:p>
    <w:p>
      <w:pPr>
        <w:ind w:left="320" w:right="639"/>
        <w:spacing w:after="0" w:line="279" w:lineRule="auto"/>
        <w:rPr>
          <w:sz w:val="20"/>
          <w:szCs w:val="20"/>
          <w:color w:val="auto"/>
        </w:rPr>
      </w:pPr>
      <w:r>
        <w:rPr>
          <w:rFonts w:ascii="Arial" w:cs="Arial" w:eastAsia="Arial" w:hAnsi="Arial"/>
          <w:sz w:val="17"/>
          <w:szCs w:val="17"/>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63" w:lineRule="exact"/>
        <w:rPr>
          <w:sz w:val="20"/>
          <w:szCs w:val="20"/>
          <w:color w:val="auto"/>
        </w:rPr>
      </w:pPr>
    </w:p>
    <w:p>
      <w:pPr>
        <w:ind w:left="600" w:right="859" w:hanging="322"/>
        <w:spacing w:after="0" w:line="259"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II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III Inputs:</w:t>
      </w:r>
    </w:p>
    <w:p>
      <w:pPr>
        <w:spacing w:after="0" w:line="117" w:lineRule="exact"/>
        <w:rPr>
          <w:sz w:val="20"/>
          <w:szCs w:val="20"/>
          <w:color w:val="auto"/>
        </w:rPr>
      </w:pPr>
    </w:p>
    <w:p>
      <w:pPr>
        <w:jc w:val="both"/>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III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99" w:hanging="322"/>
        <w:spacing w:after="0" w:line="312"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Level III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559" w:hanging="322"/>
        <w:spacing w:after="0" w:line="342"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Level III liabilities included in this category include borrowings of consolidated collateralized loan obligation funds and are valued based upon non-binding broker quotes or discounted cash flow models based on a discount margin calculation.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639"/>
        <w:spacing w:after="0" w:line="277" w:lineRule="auto"/>
        <w:rPr>
          <w:sz w:val="20"/>
          <w:szCs w:val="20"/>
          <w:color w:val="auto"/>
        </w:rPr>
      </w:pPr>
      <w:r>
        <w:rPr>
          <w:rFonts w:ascii="Arial" w:cs="Arial" w:eastAsia="Arial" w:hAnsi="Arial"/>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679" w:firstLine="270"/>
        <w:spacing w:after="0" w:line="285"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Asset Manager Affiliates follow the provisions of ASC 820: Fair Value which defines fair value, establishes a framework for measuring fair value, and expands disclosures about assets and liabilities measured at fair value. ASC</w:t>
      </w:r>
    </w:p>
    <w:p>
      <w:pPr>
        <w:spacing w:after="0" w:line="2" w:lineRule="exact"/>
        <w:rPr>
          <w:sz w:val="20"/>
          <w:szCs w:val="20"/>
          <w:color w:val="auto"/>
        </w:rPr>
      </w:pPr>
    </w:p>
    <w:p>
      <w:pPr>
        <w:jc w:val="both"/>
        <w:ind w:left="40" w:right="799" w:firstLine="8"/>
        <w:spacing w:after="0" w:line="255" w:lineRule="auto"/>
        <w:tabs>
          <w:tab w:leader="none" w:pos="4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82"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Asset Manager Affiliates’ valuation methodology and procedures for investments held by the CLO Funds are generally as follows: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Debt Securities:</w:t>
      </w:r>
    </w:p>
    <w:p>
      <w:pPr>
        <w:spacing w:after="0" w:line="117" w:lineRule="exact"/>
        <w:rPr>
          <w:sz w:val="20"/>
          <w:szCs w:val="20"/>
          <w:color w:val="auto"/>
        </w:rPr>
      </w:pPr>
    </w:p>
    <w:p>
      <w:pPr>
        <w:ind w:left="540" w:right="699" w:hanging="262"/>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679" w:hanging="262"/>
        <w:spacing w:after="0" w:line="26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Fair value for all assets which a Fund has committed to purchase but yet to settle will be the most recent mark produced by Markit (or other third party pricing service, as may be available). If the asset has not received a mark from Markit, the purchase price is deemed to be the fair value.</w:t>
      </w:r>
    </w:p>
    <w:p>
      <w:pPr>
        <w:spacing w:after="0" w:line="73" w:lineRule="exact"/>
        <w:rPr>
          <w:rFonts w:ascii="Arial" w:cs="Arial" w:eastAsia="Arial" w:hAnsi="Arial"/>
          <w:sz w:val="18"/>
          <w:szCs w:val="18"/>
          <w:color w:val="auto"/>
        </w:rPr>
      </w:pPr>
    </w:p>
    <w:p>
      <w:pPr>
        <w:ind w:left="540" w:right="559" w:hanging="262"/>
        <w:spacing w:after="0" w:line="25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performing loan and bond assets, the fair value is determined in accordance with the following procedure. First, if the asset was marked by Markit (or other third party pricing service, as may be available) within one month of applicable date, then the most recent Markit mark will be the fair value. Next, if the most recent Markit mark is aged beyond one month but less than one year, then the fair value will be the lower of the most recent Markit mark and the average price on the applicable rating bucket on the CSFB Loan Index produced on the date closest to the applicable date. Lastly, if the asset has not received a Markit mark within the last year, the fair value will be produced by haircutting (in percentage terms) the mark on the applicable rating bucket of the CSFB Loan Index produced on the date closest to the applicable date by said CSFB Loan Index value.</w:t>
      </w:r>
    </w:p>
    <w:p>
      <w:pPr>
        <w:spacing w:after="0" w:line="84" w:lineRule="exact"/>
        <w:rPr>
          <w:rFonts w:ascii="Arial" w:cs="Arial" w:eastAsia="Arial" w:hAnsi="Arial"/>
          <w:sz w:val="18"/>
          <w:szCs w:val="18"/>
          <w:color w:val="auto"/>
        </w:rPr>
      </w:pPr>
    </w:p>
    <w:p>
      <w:pPr>
        <w:ind w:left="540" w:right="539" w:hanging="262"/>
        <w:spacing w:after="0" w:line="29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loan and bond assets in payment default, the fair value is determined in accordance with the following procedure. First, if the asset was marked by Markit (or other third party pricing service, as may be available) within one month of applicable date, then the most recent Markit mark will be the fair value. Next, if the most recent Markit mark is aged beyond one month but less than one year, then the fair value will be the lower of most recent Markit mark and the average price on the Distressed/Defaulted bucket of the CSFB Distressed Loan Index produced on the date closet to the applicable date. Lastly, if the asset has not received a Markit mark within the last year, the fair value will be deemed to be zero.</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Equity Securities:</w:t>
      </w:r>
    </w:p>
    <w:p>
      <w:pPr>
        <w:spacing w:after="0" w:line="117" w:lineRule="exact"/>
        <w:rPr>
          <w:sz w:val="20"/>
          <w:szCs w:val="20"/>
          <w:color w:val="auto"/>
        </w:rPr>
      </w:pPr>
    </w:p>
    <w:p>
      <w:pPr>
        <w:ind w:left="540" w:right="639" w:hanging="262"/>
        <w:spacing w:after="0" w:line="286"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asset is a publicly-traded equity, the fair value will be based upon the closing price per share as of the applicable date. If the asset was marked by Markit (or other third party pricing service, as may be available) within one month of the applicable date, then the Fair value will be based on the most recent Markit price per share.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CLO Securities:</w:t>
      </w:r>
    </w:p>
    <w:p>
      <w:pPr>
        <w:spacing w:after="0" w:line="117" w:lineRule="exact"/>
        <w:rPr>
          <w:sz w:val="20"/>
          <w:szCs w:val="20"/>
          <w:color w:val="auto"/>
        </w:rPr>
      </w:pPr>
    </w:p>
    <w:p>
      <w:pPr>
        <w:ind w:left="540" w:right="699" w:hanging="262"/>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Fair value for all assets which a Fund has committed to purchase but yet to settle will be deemed to be the purchase price.</w:t>
      </w:r>
    </w:p>
    <w:p>
      <w:pPr>
        <w:spacing w:after="0" w:line="140" w:lineRule="exact"/>
        <w:rPr>
          <w:rFonts w:ascii="Arial" w:cs="Arial" w:eastAsia="Arial" w:hAnsi="Arial"/>
          <w:sz w:val="16"/>
          <w:szCs w:val="16"/>
          <w:color w:val="auto"/>
        </w:rPr>
      </w:pPr>
    </w:p>
    <w:p>
      <w:pPr>
        <w:ind w:left="540" w:right="519" w:hanging="262"/>
        <w:spacing w:after="0" w:line="272"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For performing assets, a Present Value is determined in accordance with the following procedure. First, the Asset Manager Affiliates amalgamate Discount Margin (DM) data from the most recent reports published by the CLO Research and Secondary Trading desks of sell side broker dealers. The DM data is averaged across each original rating bucket of the CLO capital structure. For each asset, future cash flows are produced based upon the three month LIBOR rate as of the applicable date and the contractually mandated spread each asset is required to pay in a no-loss scenario. The present value of the future cash flows is then calculated by using a discount rate equal to the applicable DM for the asset’s original rating bucket plus the three month LIBOR rate as of the applicable date.</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639" w:hanging="262"/>
        <w:spacing w:after="0" w:line="257" w:lineRule="auto"/>
        <w:tabs>
          <w:tab w:leader="none" w:pos="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Next, the Asset Manager Affiliates inquire with the sell-side institution from which they purchased each asset to provide indicative pricing as of the applicable date. The fair value is determined by an equal weight average of the Present Value determined from the cash flow model and the indicative price provided by the sell side broker dealer from which the asset was purchased. In the event there is no indicative price produced by a sell side broker dealer, then the Fair Value will be the Present Value determined from the cash flow model.</w:t>
      </w:r>
    </w:p>
    <w:p>
      <w:pPr>
        <w:spacing w:after="0" w:line="80" w:lineRule="exact"/>
        <w:rPr>
          <w:rFonts w:ascii="Arial" w:cs="Arial" w:eastAsia="Arial" w:hAnsi="Arial"/>
          <w:sz w:val="18"/>
          <w:szCs w:val="18"/>
          <w:color w:val="auto"/>
        </w:rPr>
      </w:pPr>
    </w:p>
    <w:p>
      <w:pPr>
        <w:jc w:val="both"/>
        <w:ind w:left="540" w:right="579" w:hanging="262"/>
        <w:spacing w:after="0" w:line="312" w:lineRule="auto"/>
        <w:tabs>
          <w:tab w:leader="none" w:pos="5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bond is a non-performing bond, it will be necessary to use a more detailed cash flow model. Such a model may be one that is commercially available (e.g. Intex) or one that is a spreadsheet-based CLO cash flow model which has been set up to replicate the deal in question, with specific prepayment, default, and severity inputs as appropriate to the bond in question.</w:t>
      </w:r>
    </w:p>
    <w:p>
      <w:pPr>
        <w:spacing w:after="0" w:line="39"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b w:val="1"/>
          <w:bCs w:val="1"/>
          <w:i w:val="1"/>
          <w:iCs w:val="1"/>
          <w:color w:val="auto"/>
        </w:rPr>
        <w:t xml:space="preserve">Debt Securities. </w:t>
      </w:r>
      <w:r>
        <w:rPr>
          <w:rFonts w:ascii="Arial" w:cs="Arial" w:eastAsia="Arial" w:hAnsi="Arial"/>
          <w:sz w:val="17"/>
          <w:szCs w:val="17"/>
          <w:color w:val="auto"/>
        </w:rPr>
        <w:t>Most of the CLO Funds’ investment portfolio is composed of broadly syndicated bank loans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debt securities for which an 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70"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b w:val="1"/>
          <w:bCs w:val="1"/>
          <w:i w:val="1"/>
          <w:iCs w:val="1"/>
          <w:color w:val="auto"/>
        </w:rPr>
        <w:t xml:space="preserve">CLO Fund Securities. </w:t>
      </w:r>
      <w:r>
        <w:rPr>
          <w:rFonts w:ascii="Arial" w:cs="Arial" w:eastAsia="Arial" w:hAnsi="Arial"/>
          <w:sz w:val="18"/>
          <w:szCs w:val="18"/>
          <w:color w:val="auto"/>
        </w:rPr>
        <w:t>The CLO Funds managed by the Asset Manager Affiliates may selectively invest in securities issued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managed by other asset management 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84"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Equity Securities. </w:t>
      </w:r>
      <w:r>
        <w:rPr>
          <w:rFonts w:ascii="Arial" w:cs="Arial" w:eastAsia="Arial" w:hAnsi="Arial"/>
          <w:sz w:val="18"/>
          <w:szCs w:val="18"/>
          <w:color w:val="auto"/>
        </w:rPr>
        <w:t>From time to time, the CLO Funds may receive equity in connection with a default or restructuring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collateral obligations.</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Asset Manager Affiliates define cash as demand deposits. The Asset Manager Affiliates place their cash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at times, cash held in these accounts may exceed the Federal Deposit Insurance Corporation insured limit.</w:t>
      </w:r>
    </w:p>
    <w:p>
      <w:pPr>
        <w:spacing w:after="0" w:line="16" w:lineRule="exact"/>
        <w:rPr>
          <w:sz w:val="20"/>
          <w:szCs w:val="20"/>
          <w:color w:val="auto"/>
        </w:rPr>
      </w:pPr>
    </w:p>
    <w:p>
      <w:pPr>
        <w:ind w:left="40" w:right="1179" w:firstLine="270"/>
        <w:spacing w:after="0" w:line="277" w:lineRule="auto"/>
        <w:rPr>
          <w:sz w:val="20"/>
          <w:szCs w:val="20"/>
          <w:color w:val="auto"/>
        </w:rPr>
      </w:pPr>
      <w:r>
        <w:rPr>
          <w:rFonts w:ascii="Arial" w:cs="Arial" w:eastAsia="Arial" w:hAnsi="Arial"/>
          <w:sz w:val="18"/>
          <w:szCs w:val="18"/>
          <w:b w:val="1"/>
          <w:bCs w:val="1"/>
          <w:i w:val="1"/>
          <w:iCs w:val="1"/>
          <w:color w:val="auto"/>
        </w:rPr>
        <w:t xml:space="preserve">Restricted Cash of CLO Funds. </w:t>
      </w:r>
      <w:r>
        <w:rPr>
          <w:rFonts w:ascii="Arial" w:cs="Arial" w:eastAsia="Arial" w:hAnsi="Arial"/>
          <w:sz w:val="18"/>
          <w:szCs w:val="18"/>
          <w:color w:val="auto"/>
        </w:rPr>
        <w:t>Restricted cash consists of cash held for reinvestment, quarterly interest and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(if any) to holders of CLO Fund liabilities, and for payment of CLO Fund expenses.</w:t>
      </w:r>
    </w:p>
    <w:p>
      <w:pPr>
        <w:spacing w:after="0" w:line="62"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b w:val="1"/>
          <w:bCs w:val="1"/>
          <w:i w:val="1"/>
          <w:iCs w:val="1"/>
          <w:color w:val="auto"/>
        </w:rPr>
        <w:t xml:space="preserve">CLO Fund Liabilities at Fair Value. </w:t>
      </w:r>
      <w:r>
        <w:rPr>
          <w:rFonts w:ascii="Arial" w:cs="Arial" w:eastAsia="Arial" w:hAnsi="Arial"/>
          <w:sz w:val="18"/>
          <w:szCs w:val="18"/>
          <w:color w:val="auto"/>
        </w:rPr>
        <w:t>The CLO Funds managed by the Asset manager Affiliates and that are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 have issued rated and unrated securities to finance their operations. CLO Fund liabilities, including the junior-most tranches of securities issued by each CLO Fund, are presented at fair value.</w:t>
      </w:r>
    </w:p>
    <w:p>
      <w:pPr>
        <w:spacing w:after="0" w:line="7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The Asset Manager Affiliates have determined that, although the junior tranches have certain characteristics of equity, they should be accounted for and disclosed as debt on the Combined Balance Sheets, as the subordinated and income notes and preferred shares have a stated maturity indicating a date for which they are mandatorily redeemable. The preference shares are also classified as debt, as they are mandatorily redeemable upon liquidation or termination of the CLO.</w:t>
      </w:r>
    </w:p>
    <w:p>
      <w:pPr>
        <w:spacing w:after="0" w:line="63"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is recorded on the accrual basis on interest-bearing assets. The CLO Funds generally place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or security on non-accrual status and cease recognizing interest income on such</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spacing w:after="0" w:line="293" w:lineRule="auto"/>
        <w:rPr>
          <w:sz w:val="20"/>
          <w:szCs w:val="20"/>
          <w:color w:val="auto"/>
        </w:rPr>
      </w:pPr>
      <w:r>
        <w:rPr>
          <w:rFonts w:ascii="Arial" w:cs="Arial" w:eastAsia="Arial" w:hAnsi="Arial"/>
          <w:sz w:val="16"/>
          <w:szCs w:val="16"/>
          <w:color w:val="auto"/>
        </w:rPr>
        <w:t>loan or security when a loan or security becomes 90 days or more past due or if the Asset Manager Affiliates otherwise do not expect the debtor to be able to service its debt obligations. Non-accrual loans represented less than 1% of investments of CLO Funds at fair value as of December 31, 2015 and December 31, 2014. The aggregate unpaid principal value of loans past due as of December 31, 2015 was approximately $1.1 million and the difference between fair value and the unpaid principal balance was approximately $934,000. The aggregate unpaid principal value of loans past due as of December 31, 2014 was approximately $29.6 million and the difference between fair value and the unpaid principal balance was approximately $12.9 million.</w:t>
      </w:r>
    </w:p>
    <w:p>
      <w:pPr>
        <w:spacing w:after="0" w:line="57"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b w:val="1"/>
          <w:bCs w:val="1"/>
          <w:i w:val="1"/>
          <w:iCs w:val="1"/>
          <w:color w:val="auto"/>
        </w:rPr>
        <w:t xml:space="preserve">Management Fees. </w:t>
      </w:r>
      <w:r>
        <w:rPr>
          <w:rFonts w:ascii="Arial" w:cs="Arial" w:eastAsia="Arial" w:hAnsi="Arial"/>
          <w:sz w:val="16"/>
          <w:szCs w:val="16"/>
          <w:color w:val="auto"/>
        </w:rPr>
        <w:t>As a manager of CLO Funds, the Asset Manager Affiliates receive contractual and recurring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(and may receive a one-time structuring fee)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 — a senior management fee and a subordinated management fee.</w:t>
      </w:r>
    </w:p>
    <w:p>
      <w:pPr>
        <w:spacing w:after="0" w:line="57"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b w:val="1"/>
          <w:bCs w:val="1"/>
          <w:i w:val="1"/>
          <w:iCs w:val="1"/>
          <w:color w:val="auto"/>
        </w:rPr>
        <w:t xml:space="preserve">Incentive Fees. </w:t>
      </w:r>
      <w:r>
        <w:rPr>
          <w:rFonts w:ascii="Arial" w:cs="Arial" w:eastAsia="Arial" w:hAnsi="Arial"/>
          <w:sz w:val="18"/>
          <w:szCs w:val="18"/>
          <w:color w:val="auto"/>
        </w:rPr>
        <w:t>As a manager of CLO Funds, the Asset Manager Affiliates may receive incentive fees upon exceeding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relative and/or absolute investment return thresholds. Such fees are recorded upon completion of the measurement period which varies by CLO Fund.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Distributions to Member. </w:t>
      </w:r>
      <w:r>
        <w:rPr>
          <w:rFonts w:ascii="Arial" w:cs="Arial" w:eastAsia="Arial" w:hAnsi="Arial"/>
          <w:sz w:val="16"/>
          <w:szCs w:val="16"/>
          <w:color w:val="auto"/>
        </w:rPr>
        <w:t>Distributions to the Asset Manager Affiliates’ sole member are recognized on the ex-dividend 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Generally, dividends are declared and paid on a quarterly basis.</w:t>
      </w:r>
    </w:p>
    <w:p>
      <w:pPr>
        <w:spacing w:after="0" w:line="103"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The Asset Manager Affiliates expense costs, as incurred, with regard to the running of their operations.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expenses include employee compensation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59"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Expenses. </w:t>
      </w:r>
      <w:r>
        <w:rPr>
          <w:rFonts w:ascii="Arial" w:cs="Arial" w:eastAsia="Arial" w:hAnsi="Arial"/>
          <w:sz w:val="18"/>
          <w:szCs w:val="18"/>
          <w:color w:val="auto"/>
        </w:rPr>
        <w:t>Interest expense related to borrowings of the Asset Manager Affiliates is recorded on an accrual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terms of the related borrowing agreements, however the CLO Funds they manage that are consolidated herein have issued rated and unrated bonds to finance their operations. Interest on CLO Fund liabilities is calculated by the third party trustee of the CLO Funds. Interest is accrued and generally paid quarterly. Distributions on the junior-most tranches of securities issued by each CLO Fund are recorded as an interest expense.</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b w:val="1"/>
          <w:bCs w:val="1"/>
          <w:i w:val="1"/>
          <w:iCs w:val="1"/>
          <w:color w:val="auto"/>
        </w:rPr>
        <w:t xml:space="preserve">Trustee Fees. </w:t>
      </w:r>
      <w:r>
        <w:rPr>
          <w:rFonts w:ascii="Arial" w:cs="Arial" w:eastAsia="Arial" w:hAnsi="Arial"/>
          <w:sz w:val="18"/>
          <w:szCs w:val="18"/>
          <w:color w:val="auto"/>
        </w:rPr>
        <w:t>Each CLO Fund has a third party trustee that is the custodian for all cash and investments of the CLO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and disburses all cash in accordance to the trustee and custodial agreements. Trustee fees are accrued and paid quarterly by the CLO Funds.</w:t>
      </w:r>
    </w:p>
    <w:p>
      <w:pPr>
        <w:spacing w:after="0" w:line="73"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Asset Manager Affiliates account for income taxes under the liability method prescribed by ASC 740-10,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(“ASC 740-10”). Deferred income tax assets and liabilities are recognized for the future tax consequences attributable to temporary differences between the financial statement carrying amounts of existing assets and liabilities and their respective tax bases using currently</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1099"/>
        <w:spacing w:after="0" w:line="342" w:lineRule="auto"/>
        <w:rPr>
          <w:sz w:val="20"/>
          <w:szCs w:val="20"/>
          <w:color w:val="auto"/>
        </w:rPr>
      </w:pPr>
      <w:r>
        <w:rPr>
          <w:rFonts w:ascii="Arial" w:cs="Arial" w:eastAsia="Arial" w:hAnsi="Arial"/>
          <w:sz w:val="16"/>
          <w:szCs w:val="16"/>
          <w:color w:val="auto"/>
        </w:rPr>
        <w:t>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16"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operations. The Asset Manager Affiliate record their income taxes receivables and payables based upon their estimated income tax liability.</w:t>
      </w:r>
    </w:p>
    <w:p>
      <w:pPr>
        <w:spacing w:after="0" w:line="5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ASC 740-10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740-10 also provides guidance on derecognition, classification, interest and penalties, accounting in interim periods, disclosure and transition.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w:t>
      </w:r>
    </w:p>
    <w:p>
      <w:pPr>
        <w:spacing w:after="0" w:line="12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64"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The CLO Funds invest in broadly syndicated loans, high yield bonds and other credit instruments issued by corporations. At December 31, 2015 and December 31, 2014, the Asset Manager Affiliates had approximately $2.7 billion and $3.0 billion of par value of assets under management, respectively.</w:t>
      </w:r>
    </w:p>
    <w:p>
      <w:pPr>
        <w:spacing w:after="0" w:line="79"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CLO Funds typically issue multiple tranches of debt and subordinated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subordinated securities are the most junior tranche and can take the form of either subordinated notes, income notes or preferred shares. The subordinated notes, income notes or preferred shares generally do not have a stated coupon but are entitled to residual cash flows from the CLO Fund’s investments after all of the other tranches of notes and certain other fees and expenses are paid.</w:t>
      </w:r>
    </w:p>
    <w:p>
      <w:pPr>
        <w:spacing w:after="0" w:line="61"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The CLO Funds are primarily financed via capital contributed by subordinated noteholders and debt holders. Other than any investment in warehouse facilities in connection with the formation of a new CLO Fund, the Asset Manager Affiliates’ risk with respect to each investment in the CLO Funds they manage is limited to any uncollected management fees (as the Asset Manager Affiliates have no investment in the CLO Funds they have no exposure or benefits in the ownership of the CLO Funds securities). Therefore, the gains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40" w:right="839"/>
        <w:spacing w:after="0" w:line="255" w:lineRule="auto"/>
        <w:rPr>
          <w:sz w:val="20"/>
          <w:szCs w:val="20"/>
          <w:color w:val="auto"/>
        </w:rPr>
      </w:pPr>
      <w:r>
        <w:rPr>
          <w:rFonts w:ascii="Arial" w:cs="Arial" w:eastAsia="Arial" w:hAnsi="Arial"/>
          <w:sz w:val="18"/>
          <w:szCs w:val="18"/>
          <w:color w:val="auto"/>
        </w:rPr>
        <w:t>or losses of the CLO Funds have not had a significant impact on the Asset Manager Affiliates’ financial position, results of operations or cash flows. The Asset Manager Affiliates have no right to the benefits from, nor do they bear the risks associated with, these investments, beyond the management fees generated from the CLO Funds. If the Asset Manager Affiliates were to liquidate, these investments would not be available to any general creditors of the Asset Manager Affiliates. Additionally, the collateral assets of consolidated CLO Funds are held solely to satisfy the obligations of the CLO Funds, and the investors in the consolidated CLO Funds have no recourse to the general credit of the Asset Manager Affiliates for the notes issued by the CLO Funds.</w:t>
      </w:r>
    </w:p>
    <w:p>
      <w:pPr>
        <w:spacing w:after="0" w:line="8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subordinated management fees, as well as contingent incentive fees. The Asset Manager Affiliates have no investment in the CLO Funds they manage. However,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entities).</w:t>
      </w:r>
    </w:p>
    <w:p>
      <w:pPr>
        <w:spacing w:after="0" w:line="7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Upon adoption of guidance encompassed in ASC Topic 810, the Asset Manager Affiliates determined that they were the primary beneficiary of these CLO Funds, as they have the power to direct the activities of the CLO Funds that most significantly impact the CLO Funds’ economic performance, and the obligation to absorb losses/right to receive benefits (in the form of senior and subordinate management fees as well as the potential to earn an incentive fee) from the CLO Funds that could potentially be significant to the CLO Funds. The primary beneficiary assessment includes an analysis of the rights of the Asset Manager Affiliates in their capacity as investment manager. In certain CLOs, the Asset Manager Affiliates’ role as investment manager provides that the Asset Manager Affiliates contractually have the power, as defined in ASC Topic 810, to direct the activities of the CLO Funds that most significantly impact the CLO Funds’ economic performance, such as managing the collateral portfolio and its credit risk. Additionally, the primary beneficiary assessment includes an analysis of the Asset Manager Affiliates’ rights to receive benefits and obligations to absorb losses associated with its management/incentive fees.</w:t>
      </w:r>
    </w:p>
    <w:p>
      <w:pPr>
        <w:spacing w:after="0" w:line="70" w:lineRule="exact"/>
        <w:rPr>
          <w:sz w:val="20"/>
          <w:szCs w:val="20"/>
          <w:color w:val="auto"/>
        </w:rPr>
      </w:pPr>
    </w:p>
    <w:p>
      <w:pPr>
        <w:ind w:left="40" w:right="839" w:firstLine="270"/>
        <w:spacing w:after="0" w:line="293"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and may receive a one-time structuring fee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management fees the Asset Manager Affiliates receive may have three components — a senior management fee, a subordinated management fee and an incentive fee.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Fair value of consolidated CLO Funds</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investments held by consolidated CLO Funds are primarily invested in senior secured bank loans (typically syndicated by banks), bonds, and equity securities. Bank loan investments, which comprise the majority of consolidated CLO Fund portfolio collateral, are senior secured corporate loans from a variety of industries, including but not limited to the aerospace and defense, broadcasting, technology, utilities, household products, healthcare, oil and gas, and finance industries. These investments mature at various dates between 2016 and 2023, pay interest at LIBOR plus a spread of up to 10%, and typically range in credit rating categories from AA down to unrated. At December 31, 2015, the unpaid par principal balance exceeded the fair value by approximately $152.7 million. Less than 1% of the collateral assets are in default as of December 31, 2015. At December 31, 2014, the unpaid par principal balance exceeded the fair value by approximately $71.4 million. Less than 1% of the collateral assets were in default as of December 31, 2014.</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1" w:name="page152"/>
    <w:bookmarkEnd w:id="151"/>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180" w:right="519"/>
        <w:spacing w:after="0" w:line="283" w:lineRule="auto"/>
        <w:rPr>
          <w:sz w:val="20"/>
          <w:szCs w:val="20"/>
          <w:color w:val="auto"/>
        </w:rPr>
      </w:pPr>
      <w:r>
        <w:rPr>
          <w:rFonts w:ascii="Arial" w:cs="Arial" w:eastAsia="Arial" w:hAnsi="Arial"/>
          <w:sz w:val="16"/>
          <w:szCs w:val="16"/>
          <w:color w:val="auto"/>
        </w:rPr>
        <w:t>CLO Fund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interests in similar investments and the market environment and investor attitudes 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w:t>
      </w:r>
    </w:p>
    <w:p>
      <w:pPr>
        <w:spacing w:after="0" w:line="6" w:lineRule="exact"/>
        <w:rPr>
          <w:sz w:val="20"/>
          <w:szCs w:val="20"/>
          <w:color w:val="auto"/>
        </w:rPr>
      </w:pPr>
    </w:p>
    <w:p>
      <w:pPr>
        <w:ind w:left="180" w:right="599" w:firstLine="8"/>
        <w:spacing w:after="0" w:line="261" w:lineRule="auto"/>
        <w:tabs>
          <w:tab w:leader="none" w:pos="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reputation and financial condition of the agent and any intermediate participants in the senior secured corporate loan; and vi) general economic and market conditions affecting the fair value of the senior secured corporate loan.</w:t>
      </w:r>
    </w:p>
    <w:p>
      <w:pPr>
        <w:spacing w:after="0" w:line="76" w:lineRule="exact"/>
        <w:rPr>
          <w:sz w:val="20"/>
          <w:szCs w:val="20"/>
          <w:color w:val="auto"/>
        </w:rPr>
      </w:pPr>
    </w:p>
    <w:p>
      <w:pPr>
        <w:ind w:left="180" w:right="639" w:firstLine="270"/>
        <w:spacing w:after="0" w:line="286" w:lineRule="auto"/>
        <w:rPr>
          <w:sz w:val="20"/>
          <w:szCs w:val="20"/>
          <w:color w:val="auto"/>
        </w:rPr>
      </w:pPr>
      <w:r>
        <w:rPr>
          <w:rFonts w:ascii="Arial" w:cs="Arial" w:eastAsia="Arial" w:hAnsi="Arial"/>
          <w:sz w:val="16"/>
          <w:szCs w:val="16"/>
          <w:color w:val="auto"/>
        </w:rPr>
        <w:t>CLO Fund liabilities issued by consolidated CLO Funds have stated maturity dates between 2021 and 2027. The CLO Fund liabilities are issued in various tranches with different risk profiles and ratings. The interest rates are generally variable rates based on LIBOR plus a pre-defined spread, which varies from 0.25% for the more senior tranches to 6.25% for the more subordinated tranches. At December 31, 2015, the outstanding par balance on the CLO Fund liabilities issued by consolidated CLO Funds exceeded their fair value by approximately $232 million. At December 31, 2014, the outstanding par balance on the CLO Fund liabilities issued by consolidated CLO Funds exceeded their fair value by approximately $257 million. The investors in the CLO Fund liabilities have no recourse to the general credit of the Asset Manager Affiliates. CLO Fund liabilities are recorded at fair value using an income approach, driven by cash flows expected to be received from the portfolio collateral assets. Market yields, default rates and recovery rates used in the Asset Manager Affiliates’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Asset Manager Affiliates apply appropriate discount rates that a market participant would use, to determine the discounted cash flow valuation of the notes.</w:t>
      </w:r>
    </w:p>
    <w:p>
      <w:pPr>
        <w:spacing w:after="0" w:line="67" w:lineRule="exact"/>
        <w:rPr>
          <w:sz w:val="20"/>
          <w:szCs w:val="20"/>
          <w:color w:val="auto"/>
        </w:rPr>
      </w:pPr>
    </w:p>
    <w:p>
      <w:pPr>
        <w:ind w:left="180" w:right="779" w:firstLine="270"/>
        <w:spacing w:after="0" w:line="264" w:lineRule="auto"/>
        <w:rPr>
          <w:sz w:val="20"/>
          <w:szCs w:val="20"/>
          <w:color w:val="auto"/>
        </w:rPr>
      </w:pPr>
      <w:r>
        <w:rPr>
          <w:rFonts w:ascii="Arial" w:cs="Arial" w:eastAsia="Arial" w:hAnsi="Arial"/>
          <w:sz w:val="18"/>
          <w:szCs w:val="18"/>
          <w:color w:val="auto"/>
        </w:rPr>
        <w:t>The carrying value of investments held and CLO Fund liabilities issued by CLO Funds is also their fair value. The following table presents the fair value hierarchy levels of investments held and CLO Fund liabilities issued by the CLO Funds, which are measured at fair value as of December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December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ind w:right="41"/>
              <w:spacing w:after="0"/>
              <w:rPr>
                <w:sz w:val="20"/>
                <w:szCs w:val="20"/>
                <w:color w:val="auto"/>
              </w:rPr>
            </w:pPr>
            <w:r>
              <w:rPr>
                <w:rFonts w:ascii="Arial" w:cs="Arial" w:eastAsia="Arial" w:hAnsi="Arial"/>
                <w:sz w:val="14"/>
                <w:szCs w:val="14"/>
                <w:b w:val="1"/>
                <w:bCs w:val="1"/>
                <w:color w:val="auto"/>
                <w:w w:val="94"/>
              </w:rPr>
              <w:t>Significant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Inputs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III)</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of CLO Funds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2,563.7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2,649.1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S-16</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2" w:name="page153"/>
    <w:bookmarkEnd w:id="152"/>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CLO FUNDS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7"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December 31, 2014</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3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center"/>
              <w:ind w:right="41"/>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of CLO Funds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2,846.7</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2,990.2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7"/>
                <w:szCs w:val="17"/>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7"/>
                <w:szCs w:val="17"/>
                <w:color w:val="auto"/>
              </w:rPr>
            </w:pPr>
          </w:p>
        </w:tc>
      </w:tr>
      <w:tr>
        <w:trPr>
          <w:trHeight w:val="210"/>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2,846.7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2,964.2</w:t>
            </w: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1,033.2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1,262.3</w:t>
            </w: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(1,195.2)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(1,318.9)</w:t>
            </w: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and unrealized losses,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r>
      <w:tr>
        <w:trPr>
          <w:trHeight w:val="20"/>
        </w:trPr>
        <w:tc>
          <w:tcPr>
            <w:tcW w:w="5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2,563.7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2,846.7</w:t>
            </w:r>
          </w:p>
        </w:tc>
      </w:tr>
      <w:tr>
        <w:trPr>
          <w:trHeight w:val="21"/>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55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related to investments still held at reporting date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-454025</wp:posOffset>
            </wp:positionV>
            <wp:extent cx="4751070" cy="1803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180" w:right="579" w:firstLine="270"/>
        <w:spacing w:after="0" w:line="277" w:lineRule="auto"/>
        <w:rPr>
          <w:sz w:val="20"/>
          <w:szCs w:val="20"/>
          <w:color w:val="auto"/>
        </w:rPr>
      </w:pPr>
      <w:r>
        <w:rPr>
          <w:rFonts w:ascii="Arial" w:cs="Arial" w:eastAsia="Arial" w:hAnsi="Arial"/>
          <w:sz w:val="18"/>
          <w:szCs w:val="18"/>
          <w:color w:val="auto"/>
        </w:rPr>
        <w:t>As of December 31, 2015, the Asset Manager Affiliates’ Level III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Type</w:t>
            </w:r>
          </w:p>
        </w:tc>
        <w:tc>
          <w:tcPr>
            <w:tcW w:w="1100" w:type="dxa"/>
            <w:vAlign w:val="bottom"/>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80" w:type="dxa"/>
            <w:vAlign w:val="bottom"/>
          </w:tcPr>
          <w:p>
            <w:pPr>
              <w:spacing w:after="0"/>
              <w:rPr>
                <w:sz w:val="14"/>
                <w:szCs w:val="14"/>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6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Implied Effective</w:t>
            </w: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16"/>
        </w:trPr>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49,843,198</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Income Approach</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Discount Rate</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4.93% – 11.43%</w:t>
            </w:r>
          </w:p>
        </w:tc>
      </w:tr>
      <w:tr>
        <w:trPr>
          <w:trHeight w:val="216"/>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Third-Party Bid-Ask</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2,497,983,775</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Mid</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10.8% – 101.0%</w:t>
            </w:r>
          </w:p>
        </w:tc>
      </w:tr>
      <w:tr>
        <w:trPr>
          <w:trHeight w:val="216"/>
        </w:trPr>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Option Value</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0.4%</w:t>
            </w:r>
          </w:p>
        </w:tc>
      </w:tr>
      <w:tr>
        <w:trPr>
          <w:trHeight w:val="216"/>
        </w:trPr>
        <w:tc>
          <w:tcPr>
            <w:tcW w:w="1760" w:type="dxa"/>
            <w:vAlign w:val="bottom"/>
            <w:gridSpan w:val="3"/>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Third-Party Bid-Ask</w:t>
            </w: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$0.128 –</w:t>
            </w:r>
          </w:p>
        </w:tc>
      </w:tr>
      <w:tr>
        <w:trPr>
          <w:trHeight w:val="216"/>
        </w:trPr>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3,478,091</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Mid</w:t>
            </w:r>
          </w:p>
        </w:tc>
        <w:tc>
          <w:tcPr>
            <w:tcW w:w="1460" w:type="dxa"/>
            <w:vAlign w:val="bottom"/>
            <w:gridSpan w:val="2"/>
          </w:tcPr>
          <w:p>
            <w:pPr>
              <w:jc w:val="right"/>
              <w:ind w:right="274"/>
              <w:spacing w:after="0"/>
              <w:rPr>
                <w:sz w:val="20"/>
                <w:szCs w:val="20"/>
                <w:color w:val="auto"/>
              </w:rPr>
            </w:pPr>
            <w:r>
              <w:rPr>
                <w:rFonts w:ascii="Arial" w:cs="Arial" w:eastAsia="Arial" w:hAnsi="Arial"/>
                <w:sz w:val="18"/>
                <w:szCs w:val="18"/>
                <w:color w:val="auto"/>
              </w:rPr>
              <w:t>$23.505</w:t>
            </w:r>
          </w:p>
        </w:tc>
      </w:tr>
      <w:tr>
        <w:trPr>
          <w:trHeight w:val="230"/>
        </w:trPr>
        <w:tc>
          <w:tcPr>
            <w:tcW w:w="1760" w:type="dxa"/>
            <w:vAlign w:val="bottom"/>
            <w:gridSpan w:val="3"/>
          </w:tcPr>
          <w:p>
            <w:pPr>
              <w:ind w:left="20"/>
              <w:spacing w:after="0"/>
              <w:rPr>
                <w:sz w:val="20"/>
                <w:szCs w:val="20"/>
                <w:color w:val="auto"/>
              </w:rPr>
            </w:pPr>
            <w:r>
              <w:rPr>
                <w:rFonts w:ascii="Arial" w:cs="Arial" w:eastAsia="Arial" w:hAnsi="Arial"/>
                <w:sz w:val="18"/>
                <w:szCs w:val="18"/>
                <w:color w:val="auto"/>
                <w:w w:val="91"/>
              </w:rPr>
              <w:t>CLO Fund Securities  $</w:t>
            </w:r>
          </w:p>
        </w:tc>
        <w:tc>
          <w:tcPr>
            <w:tcW w:w="1100" w:type="dxa"/>
            <w:vAlign w:val="bottom"/>
          </w:tcPr>
          <w:p>
            <w:pPr>
              <w:jc w:val="right"/>
              <w:spacing w:after="0"/>
              <w:rPr>
                <w:sz w:val="20"/>
                <w:szCs w:val="20"/>
                <w:color w:val="auto"/>
              </w:rPr>
            </w:pPr>
            <w:r>
              <w:rPr>
                <w:rFonts w:ascii="Arial" w:cs="Arial" w:eastAsia="Arial" w:hAnsi="Arial"/>
                <w:sz w:val="18"/>
                <w:szCs w:val="18"/>
                <w:color w:val="auto"/>
              </w:rPr>
              <w:t>12,360,525</w:t>
            </w: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Discount Rate</w:t>
            </w: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3.82% – 5.89%</w:t>
            </w:r>
          </w:p>
        </w:tc>
      </w:tr>
    </w:tbl>
    <w:p>
      <w:pPr>
        <w:spacing w:after="0" w:line="94" w:lineRule="exact"/>
        <w:rPr>
          <w:sz w:val="20"/>
          <w:szCs w:val="20"/>
          <w:color w:val="auto"/>
        </w:rPr>
      </w:pPr>
    </w:p>
    <w:p>
      <w:pPr>
        <w:ind w:left="180" w:right="739" w:firstLine="270"/>
        <w:spacing w:after="0" w:line="277"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III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c>
          <w:tcPr>
            <w:tcW w:w="198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98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7"/>
                <w:szCs w:val="17"/>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3"/>
              </w:rPr>
              <w:t>2,990.2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3,079.8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CLO Fund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918.7</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Prepayments, amortization, net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(694.6)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(974.5)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2,649.1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2,990.2</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55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related to liabilities still 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5500" w:type="dxa"/>
            <w:vAlign w:val="bottom"/>
            <w:gridSpan w:val="2"/>
          </w:tcPr>
          <w:p>
            <w:pPr>
              <w:ind w:left="4500"/>
              <w:spacing w:after="0"/>
              <w:rPr>
                <w:sz w:val="20"/>
                <w:szCs w:val="20"/>
                <w:color w:val="auto"/>
              </w:rPr>
            </w:pPr>
            <w:r>
              <w:rPr>
                <w:rFonts w:ascii="Arial" w:cs="Arial" w:eastAsia="Arial" w:hAnsi="Arial"/>
                <w:sz w:val="18"/>
                <w:szCs w:val="18"/>
                <w:color w:val="auto"/>
              </w:rPr>
              <w:t>S-17</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-1088390</wp:posOffset>
            </wp:positionV>
            <wp:extent cx="4751070" cy="1803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3" w:name="page154"/>
    <w:bookmarkEnd w:id="15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60" w:right="1219" w:firstLine="270"/>
        <w:spacing w:after="0" w:line="277" w:lineRule="auto"/>
        <w:rPr>
          <w:sz w:val="20"/>
          <w:szCs w:val="20"/>
          <w:color w:val="auto"/>
        </w:rPr>
      </w:pPr>
      <w:r>
        <w:rPr>
          <w:rFonts w:ascii="Arial" w:cs="Arial" w:eastAsia="Arial" w:hAnsi="Arial"/>
          <w:sz w:val="18"/>
          <w:szCs w:val="18"/>
          <w:color w:val="auto"/>
        </w:rPr>
        <w:t>As of December 31, 2015, the Asset Manager Affiliates’ Level III liabilities had the following valuation technique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Type</w:t>
            </w:r>
          </w:p>
        </w:tc>
        <w:tc>
          <w:tcPr>
            <w:tcW w:w="80" w:type="dxa"/>
            <w:vAlign w:val="bottom"/>
          </w:tcPr>
          <w:p>
            <w:pPr>
              <w:spacing w:after="0"/>
              <w:rPr>
                <w:sz w:val="14"/>
                <w:szCs w:val="14"/>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Inputs</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 of Inputs</w:t>
            </w:r>
          </w:p>
        </w:tc>
      </w:tr>
      <w:tr>
        <w:trPr>
          <w:trHeight w:val="224"/>
        </w:trPr>
        <w:tc>
          <w:tcPr>
            <w:tcW w:w="2060" w:type="dxa"/>
            <w:vAlign w:val="bottom"/>
          </w:tcPr>
          <w:p>
            <w:pPr>
              <w:ind w:left="20"/>
              <w:spacing w:after="0"/>
              <w:rPr>
                <w:sz w:val="20"/>
                <w:szCs w:val="20"/>
                <w:color w:val="auto"/>
              </w:rPr>
            </w:pPr>
            <w:r>
              <w:rPr>
                <w:rFonts w:ascii="Arial" w:cs="Arial" w:eastAsia="Arial" w:hAnsi="Arial"/>
                <w:sz w:val="18"/>
                <w:szCs w:val="18"/>
                <w:color w:val="auto"/>
              </w:rPr>
              <w:t>CLO Fund Liabilities</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87"/>
              </w:rPr>
              <w:t>$ 2,649,104,285</w:t>
            </w:r>
          </w:p>
        </w:tc>
        <w:tc>
          <w:tcPr>
            <w:tcW w:w="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2.10% – 11.25%</w:t>
            </w:r>
          </w:p>
        </w:tc>
      </w:tr>
    </w:tbl>
    <w:p>
      <w:pPr>
        <w:spacing w:after="0" w:line="79"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Transfers between levels, if any, are recognized at the beginning of the year in which the transfers occur. ASC 820-10 specifies a hierarchy of valuation techniques based on whether the inputs to those valuation techniques are observable or unobservable.</w:t>
      </w:r>
    </w:p>
    <w:p>
      <w:pPr>
        <w:spacing w:after="0" w:line="16"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CLO Funds managed by the Asset Manager Affiliate and that are consolidated herein, have issued rated and unrated securities to finance their operations. CLO Fund Liabilities are presented at fair value with the difference between principal and fair value recorded as unrealized gain/loss. The par amount of CLO Fund liabilities is approximately $2.9 billion and $3.2 billion respectively as of December 31, 2015 and December 31, 2014.</w:t>
      </w:r>
    </w:p>
    <w:p>
      <w:pPr>
        <w:spacing w:after="0" w:line="79"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The Asset Manager Affiliates have determined that, although the junior tranches have certain characteristics of equity, they should be accounted for and disclosed as debt on the its Combined Balance Sheet, as the subordinated and income notes and preferred shares have a stated maturity indicating a date for which they are mandatorily redeemable. The preference shares are also classified as debt, as they are mandatorily redeemable upon liquidation or termination of the CLO.</w:t>
      </w:r>
    </w:p>
    <w:p>
      <w:pPr>
        <w:spacing w:after="0" w:line="63" w:lineRule="exact"/>
        <w:rPr>
          <w:sz w:val="20"/>
          <w:szCs w:val="20"/>
          <w:color w:val="auto"/>
        </w:rPr>
      </w:pPr>
    </w:p>
    <w:p>
      <w:pPr>
        <w:ind w:left="60" w:right="519" w:firstLine="270"/>
        <w:spacing w:after="0" w:line="273" w:lineRule="auto"/>
        <w:rPr>
          <w:sz w:val="20"/>
          <w:szCs w:val="20"/>
          <w:color w:val="auto"/>
        </w:rPr>
      </w:pPr>
      <w:r>
        <w:rPr>
          <w:rFonts w:ascii="Arial" w:cs="Arial" w:eastAsia="Arial" w:hAnsi="Arial"/>
          <w:sz w:val="17"/>
          <w:szCs w:val="17"/>
          <w:color w:val="auto"/>
        </w:rPr>
        <w:t>The Asset Manager Affiliates’ risk with respect to the CLO Funds is limited to any uncollected management fees. The Asset Manager Affiliates have no right to the benefits from, nor do they bear the risks associated with, the CLO Funds, beyond the management fees generated by the CLO Funds. If the Asset Manager Affiliates were to liquidate, the CLO Funds would not be available to the general creditors of the Asset Manager Affiliates. Additionally, the Investments of the CLO Funds are held solely to satisfy the obligations of the CLO Funds, and the investors in the consolidated CLO Funds have no recourse to the general credit of the Asset Manager Affiliates for the CO Fund liabilities.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w:t>
      </w:r>
    </w:p>
    <w:p>
      <w:pPr>
        <w:spacing w:after="0" w:line="121"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On February 29, 2012, KCAP Financial, Inc. (the “Company”) and Commodore Holdings, L.L.C., a newly-formed, wholly-owned subsidiary of the Company (“Commodore”), acquired all of the outstanding equity interests in Trimaran for $13.0 million in cash and 3,600,000 shares of the Company’s common stock, par value $0.01 per share, which were valued at the opening price on the closing date of the acquisition. Contemporaneously with the acquisition, the Company acquired the equity interests in four CLO Funds sponsored by Trimaran, at fair value, for $12.0 million in cash. The aggregate purchase price was $50.6 million.</w:t>
      </w:r>
    </w:p>
    <w:p>
      <w:pPr>
        <w:spacing w:after="0" w:line="50"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In accordance with the purchase agreement, Commodore was deemed the acquirer of Trimaran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 of four CLO management contracts, of approximately $15.7 million, resulting in goodwill of $22.8 million. The CLO management contracts are being amortized over the estimated lives of the contracts (3-5 years). For the years ended December 31, 2015, 2014 and 2013, the Company recognized amortization expense of approximately $2.3 million, $5.3 million and $3.5 million, respectively, relating to the management contracts, which resulted in a net carrying amount of $1.6 million, $3.9 million and $9.2 million as of December 31, 2015, 2014 and 2013, respectively. Additionally, one managed CLO Fund was called in 2015 and as a result, the remaining unamortized intangible asset of $599,000 was fully expensed. During 2014, two managed CLO Funds were called, and as a</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4" w:name="page155"/>
    <w:bookmarkEnd w:id="1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4. BUSINESS COMBINATION – (continued)</w:t>
      </w:r>
    </w:p>
    <w:p>
      <w:pPr>
        <w:spacing w:after="0" w:line="1" w:lineRule="exact"/>
        <w:rPr>
          <w:sz w:val="20"/>
          <w:szCs w:val="20"/>
          <w:color w:val="auto"/>
        </w:rPr>
      </w:pPr>
    </w:p>
    <w:p>
      <w:pPr>
        <w:ind w:left="60" w:right="1059"/>
        <w:spacing w:after="0" w:line="308" w:lineRule="auto"/>
        <w:rPr>
          <w:sz w:val="20"/>
          <w:szCs w:val="20"/>
          <w:color w:val="auto"/>
        </w:rPr>
      </w:pPr>
      <w:r>
        <w:rPr>
          <w:rFonts w:ascii="Arial" w:cs="Arial" w:eastAsia="Arial" w:hAnsi="Arial"/>
          <w:sz w:val="17"/>
          <w:szCs w:val="17"/>
          <w:color w:val="auto"/>
        </w:rPr>
        <w:t>result the remaining unamortized intangible asset of $1.7 million was fully expensed. The following table summarizes future amortization amounts relating to the Trimaran VII management contract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421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1,310,164</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1,637,705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Trimaran, a taxable entity (corporation),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will be amortized over 15 years, which gives rise to deferred taxes.</w:t>
      </w:r>
    </w:p>
    <w:p>
      <w:pPr>
        <w:spacing w:after="0" w:line="79" w:lineRule="exact"/>
        <w:rPr>
          <w:sz w:val="20"/>
          <w:szCs w:val="20"/>
          <w:color w:val="auto"/>
        </w:rPr>
      </w:pPr>
    </w:p>
    <w:p>
      <w:pPr>
        <w:ind w:left="60" w:right="659" w:firstLine="270"/>
        <w:spacing w:after="0" w:line="312" w:lineRule="auto"/>
        <w:rPr>
          <w:sz w:val="20"/>
          <w:szCs w:val="20"/>
          <w:color w:val="auto"/>
        </w:rPr>
      </w:pPr>
      <w:r>
        <w:rPr>
          <w:rFonts w:ascii="Arial" w:cs="Arial" w:eastAsia="Arial" w:hAnsi="Arial"/>
          <w:sz w:val="16"/>
          <w:szCs w:val="16"/>
          <w:color w:val="auto"/>
        </w:rPr>
        <w:t>Trimaran will continue operating as a stand-alone entity and serve as collateral manager under its CLO management contracts. KDA is a 100% owned asset manager subsidiary of the Company. KDA and Trimaran are both under common control of the Company and have similar business characteristics; therefore they report on a combined basis for financial reporting purposes.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The CLO Funds are not generally taxed.</w:t>
      </w:r>
    </w:p>
    <w:p>
      <w:pPr>
        <w:spacing w:after="0" w:line="62" w:lineRule="exact"/>
        <w:rPr>
          <w:sz w:val="20"/>
          <w:szCs w:val="20"/>
          <w:color w:val="auto"/>
        </w:rPr>
      </w:pPr>
    </w:p>
    <w:p>
      <w:pPr>
        <w:jc w:val="both"/>
        <w:ind w:left="60" w:right="739" w:firstLine="270"/>
        <w:spacing w:after="0" w:line="302" w:lineRule="auto"/>
        <w:rPr>
          <w:sz w:val="20"/>
          <w:szCs w:val="20"/>
          <w:color w:val="auto"/>
        </w:rPr>
      </w:pPr>
      <w:r>
        <w:rPr>
          <w:rFonts w:ascii="Arial" w:cs="Arial" w:eastAsia="Arial" w:hAnsi="Arial"/>
          <w:sz w:val="16"/>
          <w:szCs w:val="16"/>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and tax goodwill amortization.</w:t>
      </w:r>
    </w:p>
    <w:p>
      <w:pPr>
        <w:spacing w:after="0" w:line="46" w:lineRule="exact"/>
        <w:rPr>
          <w:sz w:val="20"/>
          <w:szCs w:val="20"/>
          <w:color w:val="auto"/>
        </w:rPr>
      </w:pPr>
    </w:p>
    <w:p>
      <w:pPr>
        <w:ind w:left="60" w:right="699" w:firstLine="270"/>
        <w:spacing w:after="0" w:line="272" w:lineRule="auto"/>
        <w:rPr>
          <w:sz w:val="20"/>
          <w:szCs w:val="20"/>
          <w:color w:val="auto"/>
        </w:rPr>
      </w:pPr>
      <w:r>
        <w:rPr>
          <w:rFonts w:ascii="Arial" w:cs="Arial" w:eastAsia="Arial" w:hAnsi="Arial"/>
          <w:sz w:val="17"/>
          <w:szCs w:val="17"/>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w:t>
      </w:r>
    </w:p>
    <w:p>
      <w:pPr>
        <w:spacing w:after="0" w:line="70" w:lineRule="exact"/>
        <w:rPr>
          <w:sz w:val="20"/>
          <w:szCs w:val="20"/>
          <w:color w:val="auto"/>
        </w:rPr>
      </w:pPr>
    </w:p>
    <w:p>
      <w:pPr>
        <w:ind w:left="60" w:right="619" w:firstLine="270"/>
        <w:spacing w:after="0" w:line="279" w:lineRule="auto"/>
        <w:rPr>
          <w:sz w:val="20"/>
          <w:szCs w:val="20"/>
          <w:color w:val="auto"/>
        </w:rPr>
      </w:pPr>
      <w:r>
        <w:rPr>
          <w:rFonts w:ascii="Arial" w:cs="Arial" w:eastAsia="Arial" w:hAnsi="Arial"/>
          <w:sz w:val="17"/>
          <w:szCs w:val="17"/>
          <w:color w:val="auto"/>
        </w:rPr>
        <w:t>As discussed in Note 4, additional goodwill amortization for tax purposes was created upon the purchase of Trimaran Advisors by its sole member. The transaction was considered an asset purchase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5" w:name="page156"/>
    <w:bookmarkEnd w:id="15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income tax expense (benefit) for the years ended December 31, 2015,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472503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Current income tax expense:</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1,290,664</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2,792,440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508,874</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2,370,115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292,533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current income tax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1,416,107</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5,162,555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801,407</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3,250,138</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(590,934)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(1,883,479)</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975,980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(418,023)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424,735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income tax expense (benefit)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4,226,118</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(1,008,957)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(1,458,744)</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ind w:left="200"/>
              <w:spacing w:after="0"/>
              <w:rPr>
                <w:sz w:val="20"/>
                <w:szCs w:val="20"/>
                <w:color w:val="auto"/>
              </w:rPr>
            </w:pPr>
            <w:r>
              <w:rPr>
                <w:rFonts w:ascii="Arial" w:cs="Arial" w:eastAsia="Arial" w:hAnsi="Arial"/>
                <w:sz w:val="18"/>
                <w:szCs w:val="18"/>
                <w:color w:val="auto"/>
              </w:rPr>
              <w:t>Total income tax expense (benefit)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2"/>
              </w:rPr>
              <w:t>5,642,225</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4,153,598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(657,337)</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The Asset Manager Affiliates’ effective income tax rate was (11.2)%, 5.6% and (4.8)% for tax years 2015, 2014 and 2013, respectively. The difference between the Company’s reported provision for income taxes and the U.S. federal statutory rate of 35% is primarily due to tax goodwill amortization, the CLO funds having no tax consequences, and a valuation allowance was established during the year.</w:t>
      </w:r>
    </w:p>
    <w:p>
      <w:pPr>
        <w:spacing w:after="0" w:line="7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combined financial statements. These temporary differences result in taxable or deductible amounts in future years.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deferred income tax assets and liabilities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96"/>
        </w:trPr>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481,847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380,138</w:t>
            </w: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Intangible depreciation/amortization</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3,524,376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1,887,774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1,505,045</w:t>
            </w: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102,335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(3,630,872)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(1,546,775)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3,875,292</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80"/>
              <w:spacing w:after="0"/>
              <w:rPr>
                <w:sz w:val="20"/>
                <w:szCs w:val="20"/>
                <w:color w:val="auto"/>
              </w:rPr>
            </w:pPr>
            <w:r>
              <w:rPr>
                <w:rFonts w:ascii="Arial" w:cs="Arial" w:eastAsia="Arial" w:hAnsi="Arial"/>
                <w:sz w:val="18"/>
                <w:szCs w:val="18"/>
                <w:color w:val="auto"/>
              </w:rPr>
              <w:t>Amortization of Goodwill</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(2,144,287)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(299,144)</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(2,196,745)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(299,144)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(649,970)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3,576,148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-891540</wp:posOffset>
            </wp:positionV>
            <wp:extent cx="4751070"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4751070"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57"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At December 31, 2015 and 2014 the Asset Manager Affiliates had no federal or state net loss carryovers available to offset future taxable income.</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 – (continued)</w:t>
      </w:r>
    </w:p>
    <w:p>
      <w:pPr>
        <w:spacing w:after="0" w:line="121"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Asset Manager Affiliates adopted Financial Accounting Standards Board ASC Topic 740 Accounting for Uncertainty in Income Taxes (“ASC 740”) as of January 1, 2009. 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Asset Manager Affiliates has not recorded a liability for any unrecognized tax benefits nor are they aware of any tax positions for which it is reasonably possible that the total amounts of unrecognized tax benefits will change materially in the next 12 months.</w:t>
      </w:r>
    </w:p>
    <w:p>
      <w:pPr>
        <w:spacing w:after="0" w:line="71"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Management’s determinations regarding ASC 740 may be subject to review and adjustment at a later date based upon factors including, but not limited to, an ongoing analysis of tax laws, regulations and interpretations thereof. With a few exceptions, the Asset Manager Affiliates are no longer subject to U.S. federal, state and local tax examinations by tax authorities for years prior to 2012.</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60" w:right="579" w:firstLine="270"/>
        <w:spacing w:after="0" w:line="308" w:lineRule="auto"/>
        <w:rPr>
          <w:sz w:val="20"/>
          <w:szCs w:val="20"/>
          <w:color w:val="auto"/>
        </w:rPr>
      </w:pPr>
      <w:r>
        <w:rPr>
          <w:rFonts w:ascii="Arial" w:cs="Arial" w:eastAsia="Arial" w:hAnsi="Arial"/>
          <w:sz w:val="17"/>
          <w:szCs w:val="17"/>
          <w:color w:val="auto"/>
        </w:rPr>
        <w:t>The CLO Funds have no commitments to fund investments as of December 31, 2015, and had approximately $1.1 million as of December 31, 2014, respectively. The Asset Manager Affiliates have commitments under lease obligations.</w:t>
      </w:r>
    </w:p>
    <w:p>
      <w:pPr>
        <w:spacing w:after="0" w:line="38"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Rent expense was approximately $360,000, $277,000 and $346,000 for the years ended December 31, 2015, 2014 and 2013,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minimum future lease payments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7144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6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80" w:type="dxa"/>
            <w:vAlign w:val="bottom"/>
            <w:vMerge w:val="restart"/>
          </w:tcPr>
          <w:p>
            <w:pPr>
              <w:spacing w:after="0"/>
              <w:rPr>
                <w:sz w:val="14"/>
                <w:szCs w:val="14"/>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$ 369,432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$ 369,432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$ 369,432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$ 387,391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$ 400,218</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$ 1,367,412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long-term debt as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Current Weighted</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Variable Interest Entities Debt:</w:t>
            </w:r>
          </w:p>
        </w:tc>
        <w:tc>
          <w:tcPr>
            <w:tcW w:w="16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Borrowing Rate</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CLO Debt</w:t>
            </w:r>
            <w:r>
              <w:rPr>
                <w:rFonts w:ascii="Arial" w:cs="Arial" w:eastAsia="Arial" w:hAnsi="Arial"/>
                <w:sz w:val="28"/>
                <w:szCs w:val="28"/>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$ 2,649,104,285</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2.19%</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long-term debt as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Current Weighted</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Consolidated Variable Interest Entities Debt:</w:t>
            </w:r>
          </w:p>
        </w:tc>
        <w:tc>
          <w:tcPr>
            <w:tcW w:w="160" w:type="dxa"/>
            <w:vAlign w:val="bottom"/>
          </w:tcPr>
          <w:p>
            <w:pPr>
              <w:spacing w:after="0"/>
              <w:rPr>
                <w:sz w:val="12"/>
                <w:szCs w:val="12"/>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Borrowing Rate</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40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CLO Debt</w:t>
            </w:r>
            <w:r>
              <w:rPr>
                <w:rFonts w:ascii="Arial" w:cs="Arial" w:eastAsia="Arial" w:hAnsi="Arial"/>
                <w:sz w:val="28"/>
                <w:szCs w:val="28"/>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$ 2,990,211,629</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1.77%</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99" w:hanging="272"/>
        <w:spacing w:after="0" w:line="259"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Long-term debt of the VIEs is recorded at fair value. This includes the fair value of the subordinated notes issued by the VIEs. However, the subordinated notes do not have a stated interest rate and are therefore excluded from the calculation of the weighted average borrowing rate. The par value of the VIEs debt (excluding subordinated notes) was $2.7 billion and $2.8 billion as of December 31, 2015 and 2014, respectively.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MEMBER’S EQUITY</w:t>
      </w:r>
    </w:p>
    <w:p>
      <w:pPr>
        <w:spacing w:after="0" w:line="121" w:lineRule="exact"/>
        <w:rPr>
          <w:sz w:val="20"/>
          <w:szCs w:val="20"/>
          <w:color w:val="auto"/>
        </w:rPr>
      </w:pPr>
    </w:p>
    <w:p>
      <w:pPr>
        <w:ind w:left="60" w:right="879" w:firstLine="270"/>
        <w:spacing w:after="0" w:line="264" w:lineRule="auto"/>
        <w:rPr>
          <w:sz w:val="20"/>
          <w:szCs w:val="20"/>
          <w:color w:val="auto"/>
        </w:rPr>
      </w:pPr>
      <w:r>
        <w:rPr>
          <w:rFonts w:ascii="Arial" w:cs="Arial" w:eastAsia="Arial" w:hAnsi="Arial"/>
          <w:sz w:val="18"/>
          <w:szCs w:val="18"/>
          <w:color w:val="auto"/>
        </w:rPr>
        <w:t>The member interests of the Asset Manager Affiliates is held solely by KCAP Financial. KCAP Financial owns 100% of Katonah Debt Advisors, Katonah 2007-1 Management, LLC, Katonah X Management, LLC and Commodore Holdings, which wholly owns Trimaran Advisors, and Trimaran Advisors Management.</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8. OTHER EMPLOYEE COMPENSATION</w:t>
      </w:r>
    </w:p>
    <w:p>
      <w:pPr>
        <w:spacing w:after="0" w:line="1"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Asset Manager Affiliates adopted a 401(k) plan (“401K Plan”) effective January 1, 2007 that it shares with its sole shareholder, KCAP Financial. The 401K Plan is open to all full time employees. The Plan permits an employee to defer a portion of their total annual compensation up to the Internal Revenue Service annual maximum based on age and eligibility. The Asset Manager Affiliates make contributions to the 401K Plan of up to 2.67% of the employee’s first 74.9% of maximum eligible compensation, which vests 20% per year over five years. For the year ended December 31, 2015, 2014 and 2013, Asset Manager Affiliates made contributions to the 401K Plan of approximately $38,000, $38,000 and $102,000 respectively.</w:t>
      </w:r>
    </w:p>
    <w:p>
      <w:pPr>
        <w:spacing w:after="0" w:line="70"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2015, 2014 and 2013, the Asset Manager Affiliates made contributions of approximately $394,000, $396,000 and $315,000 to the Profit-Sharing Plan, respectively.</w:t>
      </w:r>
    </w:p>
    <w:p>
      <w:pPr>
        <w:spacing w:after="0" w:line="58" w:lineRule="exact"/>
        <w:rPr>
          <w:sz w:val="20"/>
          <w:szCs w:val="20"/>
          <w:color w:val="auto"/>
        </w:rPr>
      </w:pPr>
    </w:p>
    <w:p>
      <w:pPr>
        <w:ind w:left="40" w:right="839" w:firstLine="270"/>
        <w:spacing w:after="0" w:line="279" w:lineRule="auto"/>
        <w:rPr>
          <w:sz w:val="20"/>
          <w:szCs w:val="20"/>
          <w:color w:val="auto"/>
        </w:rPr>
      </w:pPr>
      <w:r>
        <w:rPr>
          <w:rFonts w:ascii="Arial" w:cs="Arial" w:eastAsia="Arial" w:hAnsi="Arial"/>
          <w:sz w:val="17"/>
          <w:szCs w:val="17"/>
          <w:color w:val="auto"/>
        </w:rPr>
        <w:t>Certain employees of Asset Manager Affiliates may receive restricted stock grants in the stock of Asset Manager Affiliates’ sole member, KCAP Financial. For the years ended December 31, 2015, 2014 and 2013, non-cash compensation expense of approximately $897,000, $589,000 and $252,000 respectively, was expensed at Asset Manager Affiliates related to an allocated reimbursable expense for a grant of restricted stock of KCAP Financial.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RELATED PARTY TRANSACTION</w:t>
      </w:r>
    </w:p>
    <w:p>
      <w:pPr>
        <w:spacing w:after="0" w:line="121" w:lineRule="exact"/>
        <w:rPr>
          <w:sz w:val="20"/>
          <w:szCs w:val="20"/>
          <w:color w:val="auto"/>
        </w:rPr>
      </w:pPr>
    </w:p>
    <w:p>
      <w:pPr>
        <w:ind w:left="40" w:right="639" w:firstLine="270"/>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increased from $20 million to $23 million. At both December 31, 2015 and 2014, there was $23 million outstanding under the Trimaran Credit Facility. Interest expense on this facility was $1.7 million, $2.0 million and $1.5 million for the years ending December 31, 2015, 2014 and 2013, respectively.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On March 7, 2016, Trimaran Advisors, LLC repaid $7.0 million of principal value of borrowings under the Trimaran Credit Facility.</w:t>
      </w:r>
    </w:p>
    <w:p>
      <w:pPr>
        <w:spacing w:after="0" w:line="62"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The Company has evaluated events and transactions through March 9, 2016, which is the date the financial statements were issued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Katonah 2007-I CLO Ltd.</w:t>
      </w:r>
    </w:p>
    <w:p>
      <w:pPr>
        <w:spacing w:after="0" w:line="103" w:lineRule="exact"/>
        <w:rPr>
          <w:sz w:val="20"/>
          <w:szCs w:val="20"/>
          <w:color w:val="auto"/>
        </w:rPr>
      </w:pPr>
    </w:p>
    <w:p>
      <w:pPr>
        <w:jc w:val="both"/>
        <w:ind w:left="40" w:right="619"/>
        <w:spacing w:after="0" w:line="312" w:lineRule="auto"/>
        <w:rPr>
          <w:sz w:val="20"/>
          <w:szCs w:val="20"/>
          <w:color w:val="auto"/>
        </w:rPr>
      </w:pPr>
      <w:r>
        <w:rPr>
          <w:rFonts w:ascii="Arial" w:cs="Arial" w:eastAsia="Arial" w:hAnsi="Arial"/>
          <w:sz w:val="16"/>
          <w:szCs w:val="16"/>
          <w:color w:val="auto"/>
        </w:rPr>
        <w:t>We have audited the accompanying financial statements of Katonah 2007-I CLO Ltd. (the “Fund”), which comprise the statements of net assets, including the schedules of investments, as of December 31, 2015 and 2014, and the related statements of operations, changes in net assets, and cash flows for the years then ended, and the related notes to the combined financial statements.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Fund’s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779"/>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Katonah 2007-I CLO Ltd. at December 31, 2015 and 2014, and the results of its operations and its cash flows for the years then ended, in conformity with U.S. generally accepted accounting principles.</w:t>
      </w:r>
    </w:p>
    <w:p>
      <w:pPr>
        <w:spacing w:after="0" w:line="7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KCAP Financial, Inc.</w:t>
      </w:r>
    </w:p>
    <w:p>
      <w:pPr>
        <w:spacing w:after="0" w:line="103" w:lineRule="exact"/>
        <w:rPr>
          <w:sz w:val="20"/>
          <w:szCs w:val="20"/>
          <w:color w:val="auto"/>
        </w:rPr>
      </w:pPr>
    </w:p>
    <w:p>
      <w:pPr>
        <w:ind w:left="40" w:right="679"/>
        <w:spacing w:after="0" w:line="286" w:lineRule="auto"/>
        <w:rPr>
          <w:sz w:val="20"/>
          <w:szCs w:val="20"/>
          <w:color w:val="auto"/>
        </w:rPr>
      </w:pPr>
      <w:r>
        <w:rPr>
          <w:rFonts w:ascii="Arial" w:cs="Arial" w:eastAsia="Arial" w:hAnsi="Arial"/>
          <w:sz w:val="17"/>
          <w:szCs w:val="17"/>
          <w:color w:val="auto"/>
        </w:rPr>
        <w:t>We have audited the accompanying financial statements of Katonah 2007-I CLO Ltd., which comprise the statement of net assets, including the schedule of investments, as of December 31, 2013 (not included herein), and the related statements of operations, changes in net assets, and cash flows for the year then ended, and the related notes to the financial statements.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819"/>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ind w:left="40" w:right="659"/>
        <w:spacing w:after="0" w:line="312" w:lineRule="auto"/>
        <w:rPr>
          <w:sz w:val="20"/>
          <w:szCs w:val="20"/>
          <w:color w:val="auto"/>
        </w:rPr>
      </w:pPr>
      <w:r>
        <w:rPr>
          <w:rFonts w:ascii="Arial" w:cs="Arial" w:eastAsia="Arial" w:hAnsi="Arial"/>
          <w:sz w:val="16"/>
          <w:szCs w:val="16"/>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39"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ind w:left="40" w:right="599"/>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Katonah 2007-I CLO Ltd. as of December 31, 2013 and the results of its operations and its cash flows for the year then ended in accordance with accounting principles generally accepted in the United States of America.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0" w:name="page161"/>
    <w:bookmarkEnd w:id="16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STATEMENTS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234,403,150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259,163,759</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1,649</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rated notes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12,360,525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14,208,540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80"/>
              <w:spacing w:after="0"/>
              <w:rPr>
                <w:sz w:val="20"/>
                <w:szCs w:val="20"/>
                <w:color w:val="auto"/>
              </w:rPr>
            </w:pPr>
            <w:r>
              <w:rPr>
                <w:rFonts w:ascii="Arial" w:cs="Arial" w:eastAsia="Arial" w:hAnsi="Arial"/>
                <w:sz w:val="18"/>
                <w:szCs w:val="18"/>
                <w:color w:val="auto"/>
              </w:rPr>
              <w:t>Total investments at fair value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246,766,505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273,373,948</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17,301,178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14,939,994</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631,388</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open trades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265,389,850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288,945,330</w:t>
            </w:r>
          </w:p>
        </w:tc>
      </w:tr>
      <w:tr>
        <w:trPr>
          <w:trHeight w:val="21"/>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CLO Fund liabilities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261,433,473</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290,699,426</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1,835,809</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6,006,038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184,636</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10,852</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269,163,111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292,730,723</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(3,773,261)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(3,785,393)</w:t>
            </w:r>
          </w:p>
        </w:tc>
      </w:tr>
      <w:tr>
        <w:trPr>
          <w:trHeight w:val="21"/>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1460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213985" cy="1803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wp:posOffset>
            </wp:positionV>
            <wp:extent cx="5213985" cy="146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1" w:name="page162"/>
    <w:bookmarkEnd w:id="1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10,178,631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11,690,586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12,591,277</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income from cash and time deposits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652,959</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Total income</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10,605,409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11,724,854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13,246,997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9,146,858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10,736,878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11,758,985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811,758</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Trustee fees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77,443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89,309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143,068</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125,224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73,964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10,205,353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11,955,746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12,877,084</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(387,924)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(9,089,440)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(3,169,825)</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Increase/(Decrease) in net assets resulting from</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(9,320,332)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(2,799,912)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-1577340</wp:posOffset>
            </wp:positionV>
            <wp:extent cx="5213985" cy="146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54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2" w:name="page163"/>
    <w:bookmarkEnd w:id="1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Net Assets</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8,334,851</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(2,799,912)</w:t>
            </w:r>
          </w:p>
        </w:tc>
      </w:tr>
      <w:tr>
        <w:trPr>
          <w:trHeight w:val="20"/>
        </w:trPr>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5,534,939</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(9,320,332)</w:t>
            </w:r>
          </w:p>
        </w:tc>
      </w:tr>
      <w:tr>
        <w:trPr>
          <w:trHeight w:val="20"/>
        </w:trPr>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(3,785,393)</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12,132</w:t>
            </w:r>
          </w:p>
        </w:tc>
      </w:tr>
      <w:tr>
        <w:trPr>
          <w:trHeight w:val="20"/>
        </w:trPr>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(3,773,261)</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3" w:name="page164"/>
    <w:bookmarkEnd w:id="1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102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7"/>
                <w:szCs w:val="17"/>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Increase/(Decrease) in net assets resulting from</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12,132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(9,320,332)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(2,799,912)</w:t>
            </w:r>
          </w:p>
        </w:tc>
        <w:tc>
          <w:tcPr>
            <w:tcW w:w="0" w:type="dxa"/>
            <w:vAlign w:val="bottom"/>
          </w:tcPr>
          <w:p>
            <w:pPr>
              <w:spacing w:after="0"/>
              <w:rPr>
                <w:sz w:val="1"/>
                <w:szCs w:val="1"/>
                <w:color w:val="auto"/>
              </w:rPr>
            </w:pPr>
          </w:p>
        </w:tc>
      </w:tr>
      <w:tr>
        <w:trPr>
          <w:trHeight w:val="198"/>
        </w:trPr>
        <w:tc>
          <w:tcPr>
            <w:tcW w:w="452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7"/>
              </w:rPr>
              <w:t>Adjustments to reconcile increase/(decrease) in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b w:val="1"/>
                <w:bCs w:val="1"/>
                <w:color w:val="auto"/>
              </w:rPr>
              <w:t>assets resulting from operations to net cash</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380"/>
              <w:spacing w:after="0"/>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Net realized and unrealized losses (gains) on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6,651,428</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5,807,622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(909,471)</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Change in unrealized (gains) loss on debt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(6,263,504)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3,281,818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4,079,296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(93,243,381)</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(29,960,071)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(116,281,142)</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w w:val="87"/>
              </w:rPr>
              <w:t>113,199,395</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61,206,288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117,165,606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Decrease in accrued interest receivable</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129,814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43,523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62,712</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(Decrease)/increase in accounts payable and accrued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(37,520)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10,366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Increase in receivable for open trades</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(820,593)</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due from affiliates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Increase/(decrease) in payable for open trades</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6,006,038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(4,013,750)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1,043,750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accrued 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(270,176)</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(254,559)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(108,626)</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25,363,633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26,811,757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2,241,633</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used in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(23,002,449)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(27,132,006)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(23,002,449)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(27,132,006)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2,361,184</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(320,249)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2,241,633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14,939,994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15,260,243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13,018,610</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17,301,178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14,939,994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15,260,243</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9,417,035</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10,991,437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11,867,611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-1311910</wp:posOffset>
            </wp:positionV>
            <wp:extent cx="5213985" cy="154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-462915</wp:posOffset>
            </wp:positionV>
            <wp:extent cx="5213985" cy="1803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4" w:name="page165"/>
    <w:bookmarkEnd w:id="16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AdvancePierre Foods,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$ 2,469,655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$ 2,484,379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2,465,790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4,720,274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4,688,227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4,698,160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2,526,481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2,443,445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2,506,484</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4"/>
                <w:szCs w:val="14"/>
                <w:color w:val="auto"/>
              </w:rPr>
              <w:t>Armstrong World Industries, Inc.</w:t>
            </w:r>
            <w:r>
              <w:rPr>
                <w:rFonts w:ascii="Arial" w:cs="Arial" w:eastAsia="Arial" w:hAnsi="Arial"/>
                <w:sz w:val="22"/>
                <w:szCs w:val="22"/>
                <w:color w:val="auto"/>
                <w:vertAlign w:val="superscript"/>
              </w:rPr>
              <w:t>(3)</w:t>
            </w:r>
          </w:p>
        </w:tc>
        <w:tc>
          <w:tcPr>
            <w:tcW w:w="160" w:type="dxa"/>
            <w:vAlign w:val="bottom"/>
          </w:tcPr>
          <w:p>
            <w:pPr>
              <w:spacing w:after="0"/>
              <w:rPr>
                <w:sz w:val="16"/>
                <w:szCs w:val="16"/>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200"/>
              <w:spacing w:after="0" w:line="188"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1"/>
                <w:szCs w:val="21"/>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967,638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Ascena Retail Group, Inc. (Anntaylor Retail,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1,846,016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1,880,000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Tranche B-1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Insurance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1,121,067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1,095,258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1,053,456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1,544,939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1,534,683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Belfor USA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1,611,699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1,615,203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1,601,626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E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2,507,141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2,559,386</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5"/>
              </w:rPr>
              <w:t>Burlington Coat Factory Warehouse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2,321,888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2,290,743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2,298,669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1,267,378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1,260,465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1,268,170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721,164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719,601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710,123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Cedar Fair, L.P.</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964,983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969,449</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Celanese US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C-3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1,251,599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1,214,068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1,254,509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Cequel Communications,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1,871,491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1,854,070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1,483,706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1,475,779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1,457,370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Incremental 2018 Term F Loans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1,209,226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258,686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1,195,368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9"/>
              </w:rPr>
              <w:t>Incremental 2019 Term G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1,062,209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1,059,907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1,038,145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2021 Term H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2,160,738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2,137,064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2,131,415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Ciena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2,977,387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2,992,956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2,953,195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Commscope,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4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262,083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261,057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Consolidated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2,917,802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2,898,785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2,903,227</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Container Store, Inc.,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1,678,935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1,682,649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1,553,015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ConvaTec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1,162,658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1,165,259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1,145,223</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2"/>
                <w:szCs w:val="12"/>
                <w:color w:val="auto"/>
              </w:rPr>
              <w:t>Crown Castle Operating Company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7"/>
              </w:rPr>
              <w:t>Extended Incremental Tranche B-2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00" w:type="dxa"/>
            <w:vAlign w:val="bottom"/>
            <w:vMerge w:val="restart"/>
            <w:shd w:val="clear" w:color="auto" w:fill="CCEEFF"/>
          </w:tcPr>
          <w:p>
            <w:pPr>
              <w:ind w:left="200"/>
              <w:spacing w:after="0" w:line="256"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16" w:lineRule="exact"/>
              <w:rPr>
                <w:sz w:val="20"/>
                <w:szCs w:val="20"/>
                <w:color w:val="auto"/>
              </w:rPr>
            </w:pPr>
            <w:r>
              <w:rPr>
                <w:rFonts w:ascii="Arial" w:cs="Arial" w:eastAsia="Arial" w:hAnsi="Arial"/>
                <w:sz w:val="13"/>
                <w:szCs w:val="13"/>
                <w:color w:val="auto"/>
              </w:rPr>
              <w:t>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0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w w:val="93"/>
              </w:rPr>
              <w:t>3.0%</w:t>
            </w:r>
          </w:p>
        </w:tc>
        <w:tc>
          <w:tcPr>
            <w:tcW w:w="182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4"/>
                <w:szCs w:val="14"/>
                <w:color w:val="auto"/>
              </w:rPr>
              <w:t>Cash, Due 1/21</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2,888,746</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2,878,350</w:t>
            </w:r>
          </w:p>
        </w:tc>
        <w:tc>
          <w:tcPr>
            <w:tcW w:w="106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2,881,235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477,723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475,142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397,942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5" w:name="page166"/>
    <w:bookmarkEnd w:id="16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Dealer Computer Services, Inc. (Reynolds &amp;</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Tranche B Term Loan</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Reynolds)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Retired 02/10/2016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Delta 2 (Lux) S.a r.l (aka Formula One)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3,400,280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3,319,121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Delta Air Lines,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2014 Term B-2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3,402,908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3,406,970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3,397,583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Dex Media West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695,444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692,438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379,017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DJO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1,955,250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1,980,808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1,908,813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Drumm Investors LLC (aka Golden Living)</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3,718,832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3,689,341</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Tranche A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50,071</w:t>
            </w: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350,666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352,357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37,872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1,663,494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1,409,286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(Second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1,446,409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1,232,009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932,448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921,668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3,067,549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2,960,527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3,061,797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1,566,456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1,529,147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1,415,191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Fender Musical Instruments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1,884,150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1,874,862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1,867,664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2018 New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2,903,500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2,900,493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2,870,632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2022B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2,513,714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Gardner Denver,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Dollar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2,232,868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2,184,383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2,016,838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870,762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873,222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848,997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1,847,850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5.9%</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2,414,520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2,417,333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2,342,084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940,472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HCA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B-4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2,932,500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2,893,337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2,932,515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HCR Healthcare,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474,710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452,142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3,894,660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3,894,343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3,891,252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953,050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946,198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Extended Term B</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Dollar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2,719,781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2,610,970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2,678,304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2020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6,376,839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6,398,337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6,137,707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2,352,008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2,363,429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2,214,321</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6" w:name="page167"/>
    <w:bookmarkEnd w:id="16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Integra Telecom Holdings,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416,454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417,393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404,377</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3,880,774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3,883,610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Jarden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Tranche B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4,769,734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4,749,934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4,773,216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JBS USA,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861,507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860,028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859,353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JMC Steel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1,293,564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1,291,965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1,251,524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Jo-Ann Stores,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941,546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943,733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885,054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3.1%</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679,145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680,354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679,430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3,407,047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3,453,066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3,402,788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1,364,058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1,340,031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1,329,956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Kronos Incorporated</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Term Loan</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978,389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975,600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964,941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Landry’s Inc. (fka Landry’s Restaurants,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1,538,848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1,548,166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1,533,324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3,201,595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3,172,481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3,174,782</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Live Nation Entertainment,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472,878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471,316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472,434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2021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1,930,500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1,921,055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1,901,543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690,439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680,992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685,046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5,895,000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5,886,840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5,801,063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995,545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NBTY,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3,391,643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3,392,700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3,351,791</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2"/>
                <w:szCs w:val="12"/>
                <w:color w:val="auto"/>
              </w:rPr>
              <w:t>NEP/NCP Holdco, Inc.</w:t>
            </w:r>
            <w:r>
              <w:rPr>
                <w:rFonts w:ascii="Arial" w:cs="Arial" w:eastAsia="Arial" w:hAnsi="Arial"/>
                <w:sz w:val="18"/>
                <w:szCs w:val="18"/>
                <w:color w:val="auto"/>
                <w:vertAlign w:val="superscript"/>
              </w:rPr>
              <w:t>-</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Amendment No. 4 Incremental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2,454,312</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2,435,744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2,313,189</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line="135" w:lineRule="exact"/>
              <w:rPr>
                <w:sz w:val="20"/>
                <w:szCs w:val="20"/>
                <w:color w:val="auto"/>
              </w:rPr>
            </w:pPr>
            <w:r>
              <w:rPr>
                <w:rFonts w:ascii="Arial" w:cs="Arial" w:eastAsia="Arial" w:hAnsi="Arial"/>
                <w:sz w:val="14"/>
                <w:szCs w:val="14"/>
                <w:color w:val="auto"/>
              </w:rPr>
              <w:t>Cash, Due 1/20</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Newsday,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3,984,627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3,989,720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3,989,608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Nielsen Finance LLC (VNU,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Class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5,402,525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5,407,617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5,400,283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NRG Energy,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955,481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954,306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932,191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OCI Beaumont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2,486,113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2,518,346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2,510,974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Omnova Solutions,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359,276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358,928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358,827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2,429,369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2,445,779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2,200,608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2,185,768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2,189,041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961,738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PetCo Animal Supplies,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Loan Retired 01/26/2016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5,328,526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5,297,286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5,321,359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7" w:name="page168"/>
    <w:bookmarkEnd w:id="16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3,468,225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PQ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2014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4,916,982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4,915,840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4,887,013</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449,499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449,486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59,932</w:t>
            </w: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4"/>
                <w:szCs w:val="14"/>
                <w:color w:val="auto"/>
              </w:rPr>
              <w:t>Quikrete Holdings, Inc.</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Initial Loan (First Lien)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6"/>
        </w:trPr>
        <w:tc>
          <w:tcPr>
            <w:tcW w:w="2900" w:type="dxa"/>
            <w:vAlign w:val="bottom"/>
          </w:tcPr>
          <w:p>
            <w:pPr>
              <w:ind w:left="20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2,230,000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2,218,850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2,208,748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R.H. Donnelley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9.8%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420,869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181,565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963,677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969,660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962,728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Revlon Consumer Products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Replacement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4,480,361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4,498,987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Reynolds Group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U.S.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2,042,109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2,597,871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2,569,219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1,850,983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RPI Finance Trust</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2,487,277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2,506,353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2,483,385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Schaeffler AG (formerly named INA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Beteiligungsgesellschaft mit beschränkter</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Haftung)</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Facility B-USD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1,015,385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1,020,391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1,018,685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2,104,406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2,092,431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2,091,254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2.1%</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4,593,750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4,537,373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4,455,938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Sixth Amendment 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556,355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551,851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Steinway Musical Instruments,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1,985,239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1,972,500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Telesat Canada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B-2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2,960,078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2,937,884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2,920,605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TPF Generation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188,393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182,268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168,611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3,791,455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3,742,603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3,708,251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2,499,471</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2,487,925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2,224,005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TWCC Holding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Retired 01/29/2016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2,924,754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2,905,902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2,926,318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3,239,279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3,218,251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3,176,113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UPC Financing Partnership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Facility AH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704,142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688,517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C-2 Tranche B Term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1,389,000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1,343,190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1,344,205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Vertafore,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885,964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VFH Parent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985,103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994,592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980,177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2,454,158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2,445,426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2,124,393</w:t>
            </w:r>
          </w:p>
        </w:tc>
      </w:tr>
    </w:tbl>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8" w:name="page169"/>
    <w:bookmarkEnd w:id="16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ind w:left="8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222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9"/>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WESCO Distribution, Inc.</w:t>
            </w:r>
          </w:p>
        </w:tc>
        <w:tc>
          <w:tcPr>
            <w:tcW w:w="16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 Cash, Due 6/18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249,643</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248,233</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248,551</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West Corporation</w:t>
            </w:r>
          </w:p>
        </w:tc>
        <w:tc>
          <w:tcPr>
            <w:tcW w:w="160" w:type="dxa"/>
            <w:vAlign w:val="bottom"/>
          </w:tcPr>
          <w:p>
            <w:pPr>
              <w:spacing w:after="0"/>
              <w:rPr>
                <w:sz w:val="11"/>
                <w:szCs w:val="11"/>
                <w:color w:val="auto"/>
              </w:rPr>
            </w:pP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Term B-10 Loan —</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3.3% Cash, Due 7/17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3,776,796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3,756,691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3,722,844</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WideOpenWest Finance, LLC</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B-1 Loan 2013 —</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 Cash, Due 8/19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4,724,229</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4,740,543</w:t>
            </w: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4,598,234</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Windstream Services, LLC (fka Windstream</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tcPr>
          <w:p>
            <w:pPr>
              <w:spacing w:after="0"/>
              <w:rPr>
                <w:sz w:val="12"/>
                <w:szCs w:val="12"/>
                <w:color w:val="auto"/>
              </w:rPr>
            </w:pPr>
          </w:p>
        </w:tc>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3.5% Cash, Due 2/17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5,954,430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5,954,430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5,801,848</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WireCo WorldGroup Inc.</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6.0% Cash, Due 2/20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1,829,576</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1,825,076</w:t>
            </w: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1,767,828</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Zuffa, LLC</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3.8% Cash, Due 6/19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2,294,791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2,287,980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2,242,011</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7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246,578,754</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244,325,246</w:t>
            </w:r>
          </w:p>
        </w:tc>
        <w:tc>
          <w:tcPr>
            <w:tcW w:w="2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5"/>
              </w:rPr>
              <w:t>234,403,150</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9"/>
                <w:szCs w:val="19"/>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(2)</w:t>
            </w:r>
          </w:p>
        </w:tc>
      </w:tr>
      <w:tr>
        <w:trPr>
          <w:trHeight w:val="183"/>
        </w:trPr>
        <w:tc>
          <w:tcPr>
            <w:tcW w:w="29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Education Management Corporation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 Shares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3"/>
                <w:szCs w:val="13"/>
                <w:color w:val="auto"/>
              </w:rPr>
              <w:t>QCE, LLC (Quiznos)</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New Common Stock</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1,256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r>
      <w:tr>
        <w:trPr>
          <w:trHeight w:val="119"/>
        </w:trPr>
        <w:tc>
          <w:tcPr>
            <w:tcW w:w="2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 (100% of</w:t>
            </w:r>
          </w:p>
        </w:tc>
        <w:tc>
          <w:tcPr>
            <w:tcW w:w="16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1"/>
        </w:trPr>
        <w:tc>
          <w:tcPr>
            <w:tcW w:w="29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net asset value at fair value)</w:t>
            </w:r>
          </w:p>
        </w:tc>
        <w:tc>
          <w:tcPr>
            <w:tcW w:w="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2,830</w:t>
            </w: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r>
      <w:tr>
        <w:trPr>
          <w:trHeight w:val="164"/>
        </w:trPr>
        <w:tc>
          <w:tcPr>
            <w:tcW w:w="2180" w:type="dxa"/>
            <w:vAlign w:val="bottom"/>
            <w:gridSpan w:val="3"/>
            <w:shd w:val="clear" w:color="auto" w:fill="CCEEFF"/>
          </w:tcPr>
          <w:p>
            <w:pPr>
              <w:ind w:left="20"/>
              <w:spacing w:after="0" w:line="164" w:lineRule="exact"/>
              <w:rPr>
                <w:sz w:val="20"/>
                <w:szCs w:val="20"/>
                <w:color w:val="auto"/>
              </w:rPr>
            </w:pPr>
            <w:r>
              <w:rPr>
                <w:rFonts w:ascii="Arial" w:cs="Arial" w:eastAsia="Arial" w:hAnsi="Arial"/>
                <w:sz w:val="12"/>
                <w:szCs w:val="12"/>
                <w:color w:val="auto"/>
              </w:rPr>
              <w:t>APID 2007-5A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04/2021 – D – 03761XAG5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963,108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HLCNL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40537AAA3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2,968,134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2,902,077</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MDPK 2007-4A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03/2021 – D – 55817UAF7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1,869,623</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NAVIG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63937HAD0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2,910,373</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C – 89288BAG6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2,778,118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04/2022 – D – 89288AAA1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937,226</w:t>
            </w:r>
          </w:p>
        </w:tc>
      </w:tr>
      <w:tr>
        <w:trPr>
          <w:trHeight w:val="119"/>
        </w:trPr>
        <w:tc>
          <w:tcPr>
            <w:tcW w:w="218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CLO Rated</w:t>
            </w:r>
          </w:p>
        </w:tc>
        <w:tc>
          <w:tcPr>
            <w:tcW w:w="16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r>
      <w:tr>
        <w:trPr>
          <w:trHeight w:val="171"/>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12,968,134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12,360,525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2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259,578,754</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257,293,380</w:t>
            </w:r>
          </w:p>
        </w:tc>
        <w:tc>
          <w:tcPr>
            <w:tcW w:w="3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246,766,505</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9" w:name="page170"/>
    <w:bookmarkEnd w:id="16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AdvancePierre Foods,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490,000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488,041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487,244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Alaska Communications Systems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2,872,467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2,860,913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2,872,467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136,863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132,975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136,755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3,046,843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3,013,146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3,019,633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AMC Entertainment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6,586,942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6,593,496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6,496,371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2,552,196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2,452,038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2,517,907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Armored AutoGroup Inc. (fka Viking Acquisition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New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463,479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461,317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Armstrong World Industries,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Buildings and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982,500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982,500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973,599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Tranche B-1</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Insurance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958,715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962,083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948,275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Non-Amortizing Term Loan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Insurance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2,490,892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2,478,138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1,560,825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1,547,229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1,543,266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E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2,490,312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2,529,142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Big Heart Pet Brands (fka Del Monte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2,740,772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2,744,696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2,637,993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Biomet,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B-2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2,690,775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2,673,717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2,682,366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BPA Laboratories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1,610,040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1,572,410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BPA Laboratories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(Second Lien)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1,399,930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1,344,474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Bragg Communications Incorporated</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5,658,331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5,697,763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5,658,331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5"/>
              </w:rPr>
              <w:t>Burlington Coat Factory Warehouse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2,488,182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2,448,868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2,459,158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Calpine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(3/11)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962,500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955,281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Calpine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(6/11)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2,884,566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2,873,288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1,284,355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1,275,210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1,261,879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729,906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727,712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715,081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CBRE Services, Inc. (fka CB Richard Ellis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Services, 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Buildings and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1,572,000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1,565,872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1,567,088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Cedar Fair, L.P.</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966,429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964,638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967,153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Celanese US Holdings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Dollar Term C-3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1,264,273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1,212,980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1,264,962</w:t>
            </w:r>
          </w:p>
        </w:tc>
      </w:tr>
    </w:tbl>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0" w:name="page171"/>
    <w:bookmarkEnd w:id="17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Cequel Communications, LLC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$ 1,899,929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$ 1,888,684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1,874,337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1,498,923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1,489,318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1,472,385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2017 Term E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1,218,364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1,212,543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1,213,368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2021 Term D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3,247,343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3,212,683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3,244,972</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Cinemark USA,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2,947,059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2,918,685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Consolidated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2,947,575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2,924,508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2,931,909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Covanta Energy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657,997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658,970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Crown Castle Operating Company</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Extended Incremental Tranche B-2</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Buildings and Real Estate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2,918,223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2,905,656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2,876,886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477,723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474,458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456,424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Delta 2 (Lux) S.a r.l</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3,396,429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3,349,780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Dex Media West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802,692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795,745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705,566</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DJO Finance LLC (ReAble Therapeutics Fin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Tranche B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1,965,100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1,988,287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1,925,798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Drumm Investors LLC (aka Golden Living)</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3,778,528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3,760,479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3,797,421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Dunkin’ Brands,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B-4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2,131,738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2,100,720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2,081,120</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Education Management LLC</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Tranche C-2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1,558,253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1,560,738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708,226</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9"/>
              </w:rPr>
              <w:t>Epicor Software Corporation (fka Eagle Parent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1,864,054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1,849,531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1,844,249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EquiPower Resources Holdings,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Advance (First Lien)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1,380,022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1,367,347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1,374,274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942,322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933,009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925,831</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2,899,837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2,714,079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2,890,007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1,582,319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1,528,157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1,562,050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995,722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999,421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971,248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Genpact Limited</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490,038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488,398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485,955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Gentiva Health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3,390,400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3,219,451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3,388,298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2,940,000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2,919,828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2,707,240</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2"/>
                <w:szCs w:val="12"/>
                <w:color w:val="auto"/>
              </w:rPr>
              <w:t>Graceway Pharmaceuticals, LLC</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Term B Loan (First Lien)</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Sold Out 09/28/2012 —</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29,332</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29,309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29,625</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Cash, Due 5/12</w:t>
            </w:r>
          </w:p>
        </w:tc>
        <w:tc>
          <w:tcPr>
            <w:tcW w:w="94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Hamilton Lane Advisors,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700,022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696,321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686,022</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1,684,377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1,684,377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1,680,873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968,553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968,553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973,396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1" w:name="page172"/>
    <w:bookmarkEnd w:id="17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HCA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Tranche B-4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$ 2,962,500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$ 2,905,967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2,942,829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HCR ManorCare, Inc. (fka HCR Healthcare,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481,250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479,007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463,504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3,934,811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3,934,345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3,861,033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962,850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959,731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939,583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Extended 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2,266,992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2,220,325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2,230,154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Cash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3,935,059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3,945,080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3,825,959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2,376,449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2,390,597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2,310,621</w:t>
            </w: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(3)</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3,920,172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3,923,591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3,704,563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Jarden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Tranche B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1,925,036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1,875,187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1,923,236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Jazz Pharmaceuticals,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1,972,187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1,959,378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JBS USA,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861,507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859,411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855,045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JMC Steel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1,454,728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1,451,490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1,431,998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Jo-Ann Stores,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984,962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988,287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959,107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3,449,234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3,504,791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3,397,495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1,377,871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1,349,316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1,370,982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Kronos Incorporated</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Term Loan</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981,362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977,834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975,886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Landry’s Inc. (fka Landry’s Restaurants,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2,666,667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2,691,051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2,654,000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3,234,265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3,198,929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3,220,794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Live Nation Entertainment,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477,716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475,797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474,133</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Longview Power, LLC</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2017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828,079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760,275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538,252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Longview Power,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DIP Delayed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5.6%</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2,821,995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1,749,637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2,821,995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2013 Incremental Tranche B</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Finance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1,945,350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1,938,334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1,928,328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697,448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686,170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684,078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2.6%</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5,955,000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5,943,088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5,843,344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994,404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953,125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NBTY,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1,342,239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1,350,922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1,307,569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Newsday,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2,250,000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2,258,527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2,242,969</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2" w:name="page173"/>
    <w:bookmarkEnd w:id="17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Novelis,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$ 2,918,047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$ 2,923,391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2,890,325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NRG Energy,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965,306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963,643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948,539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Ocwen Loan Servicing</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1,550,821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1,566,745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1,462,223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2,582,667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2,605,194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2,577,282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OSI Restaurant Partners,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2013 Replacement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335,015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334,653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2,208,186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2,212,858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1,836,482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Pantry, Inc.,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Grocery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2,930,559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2,911,264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2,928,112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Party City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2014 Replacement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488,825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484,699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479,293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PetCo Animal Supplies,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Loans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3,379,394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3,325,259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3,348,405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4,962,500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4,962,500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4,193,313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PQ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2014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1,948,649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1,928,150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Progressive Waste Solutions Ltd.</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735,000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732,465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739,597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QCE, LLC (Quiznos)</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387,160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167,452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R.H. Donnelley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9.8%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448,594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446,327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324,298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971,049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975,191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950,414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Remy International,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532,537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531,551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528,543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Revlon Consumer Products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Replacement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3,527,549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3,477,040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Reynolds Group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U.S.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2,112,116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2,112,116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2,079,853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2,624,862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2,579,805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2,408,310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Roundy’s Supermarkets,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Grocery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2,220,164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2,190,821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2,094,347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RPI Finance Trust</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1,893,611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1,886,527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1,892,030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Schaeffler AG (formerly named INA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Beteiligungsgesellschaft mit beschränkter</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Haftung)</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Facility B-USD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3,018,175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3,004,500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Seaworld Parks &amp; Entertainment,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(f/k/a SW Acquisitions Co., Inc.)</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897,686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889,092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853,699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2,179,511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2,161,977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2,149,543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5,468,750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5,368,168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5,277,344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Seminole Tribe of Florida</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2,632,500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2,632,500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2,625,919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673,744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670,900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674,408</w:t>
            </w:r>
          </w:p>
        </w:tc>
      </w:tr>
    </w:tbl>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3" w:name="page174"/>
    <w:bookmarkEnd w:id="17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66,191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Six Flags Theme Parks,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1,658,557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1,667,416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1,652,338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Skilled Healthcare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848,943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853,886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848,943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Spectrum Brands,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A 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2,242,023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2,234,500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2,237,819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Spirit Aerosystems, Inc. (fka Mid-Western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Aircraft Systems, Inc and Onex Wind Finance</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2,431,250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2,420,574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2,401,868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SRAM,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742,374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740,159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721,959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SS&amp;C Technologies Holdings Europe S.A.R.L.</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2013 Replacement Term B-2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Electronics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SS&amp;C Technologies, Inc., /Sunshine Acquisition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2013 Replacement Term B-1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II, 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476,020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475,204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SunGard Data Systems Inc (Solar Capital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E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3,986,225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3,886,804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3,956,328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Telesat Canada</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U.S. Term B-2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975,131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972,162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964,166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Tesoro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198,750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TPF Generation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190,325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181,043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173,196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1,925,626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1,888,275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1,897,425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2,525,107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2,507,905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2,489,869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TWCC Holding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3,224,114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3,211,534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3,154,441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Univar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3,125,113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3,018,493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3,032,219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3,273,587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3,247,237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3,208,115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UPC Financing Partnership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Facility AH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704,895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684,541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Vertafore,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945,935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945,935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938,131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VFH Parent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990,846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1,002,866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983,414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2,559,736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2,548,795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2,316,561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Wendy’s International,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1,347,261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1,337,449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1,339,407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WESCO Distribution,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249,643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248,707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West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B-10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1,776,796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1,786,986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1,748,811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West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B-9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1,958,994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1,958,994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WideOpenWest Finance,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B-1 Loan 2013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5,170,755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5,200,187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5,131,975</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4" w:name="page175"/>
    <w:bookmarkEnd w:id="17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ind w:left="8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222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Windstream Corporation</w:t>
            </w:r>
          </w:p>
        </w:tc>
        <w:tc>
          <w:tcPr>
            <w:tcW w:w="1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3" w:lineRule="exact"/>
              <w:rPr>
                <w:sz w:val="20"/>
                <w:szCs w:val="20"/>
                <w:color w:val="auto"/>
              </w:rPr>
            </w:pPr>
            <w:r>
              <w:rPr>
                <w:rFonts w:ascii="Arial" w:cs="Arial" w:eastAsia="Arial" w:hAnsi="Arial"/>
                <w:sz w:val="14"/>
                <w:szCs w:val="14"/>
                <w:color w:val="auto"/>
              </w:rPr>
              <w:t>Tranche B-4 Term Loan —</w:t>
            </w:r>
          </w:p>
        </w:tc>
        <w:tc>
          <w:tcPr>
            <w:tcW w:w="16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3.5% Cash, Due 1/20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3,430,000</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3,443,539</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3,398,564</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WireCo WorldGroup Inc.</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6.0% Cash, Due 2/17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1,936,491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1,927,498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1,938,911</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Zuffa, LLC</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 (2013) —</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 Cash, Due 2/20</w:t>
            </w: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2,940,019</w:t>
            </w:r>
          </w:p>
        </w:tc>
        <w:tc>
          <w:tcPr>
            <w:tcW w:w="16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2,929,192</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2,807,718</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266,252,508</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263,225,703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259,163,759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213985" cy="1028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23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3"/>
              </w:rPr>
              <w:t>Fair Value</w:t>
            </w:r>
          </w:p>
        </w:tc>
      </w:tr>
      <w:tr>
        <w:trPr>
          <w:trHeight w:val="164"/>
        </w:trPr>
        <w:tc>
          <w:tcPr>
            <w:tcW w:w="272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QCE, LLC (Quiznos)</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167"/>
        </w:trPr>
        <w:tc>
          <w:tcPr>
            <w:tcW w:w="272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160" w:type="dxa"/>
            <w:vAlign w:val="bottom"/>
            <w:shd w:val="clear" w:color="auto" w:fill="CCEEFF"/>
          </w:tcPr>
          <w:p>
            <w:pPr>
              <w:spacing w:after="0"/>
              <w:rPr>
                <w:sz w:val="14"/>
                <w:szCs w:val="14"/>
                <w:color w:val="auto"/>
              </w:rPr>
            </w:pPr>
          </w:p>
        </w:tc>
        <w:tc>
          <w:tcPr>
            <w:tcW w:w="2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New Common Stock</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1,256.00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1,649.00</w:t>
            </w:r>
          </w:p>
        </w:tc>
      </w:tr>
      <w:tr>
        <w:trPr>
          <w:trHeight w:val="20"/>
        </w:trPr>
        <w:tc>
          <w:tcPr>
            <w:tcW w:w="2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80"/>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Total Investment in Equity Securities</w:t>
            </w:r>
          </w:p>
        </w:tc>
        <w:tc>
          <w:tcPr>
            <w:tcW w:w="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213985" cy="10287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19684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5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164"/>
        </w:trPr>
        <w:tc>
          <w:tcPr>
            <w:tcW w:w="2400" w:type="dxa"/>
            <w:vAlign w:val="bottom"/>
            <w:gridSpan w:val="3"/>
            <w:shd w:val="clear" w:color="auto" w:fill="CCEEFF"/>
          </w:tcPr>
          <w:p>
            <w:pPr>
              <w:ind w:left="20"/>
              <w:spacing w:after="0" w:line="164" w:lineRule="exact"/>
              <w:rPr>
                <w:sz w:val="20"/>
                <w:szCs w:val="20"/>
                <w:color w:val="auto"/>
              </w:rPr>
            </w:pPr>
            <w:r>
              <w:rPr>
                <w:rFonts w:ascii="Arial" w:cs="Arial" w:eastAsia="Arial" w:hAnsi="Arial"/>
                <w:sz w:val="12"/>
                <w:szCs w:val="12"/>
                <w:color w:val="auto"/>
              </w:rPr>
              <w:t>APID 2007-5A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04/2021 – D – 03761XAG5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947,481</w:t>
            </w:r>
          </w:p>
        </w:tc>
      </w:tr>
      <w:tr>
        <w:trPr>
          <w:trHeight w:val="170"/>
        </w:trPr>
        <w:tc>
          <w:tcPr>
            <w:tcW w:w="240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HLCNL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Floating – 04/2021 – D – 40537AAA3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2,962,139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2,854,478</w:t>
            </w:r>
          </w:p>
        </w:tc>
      </w:tr>
      <w:tr>
        <w:trPr>
          <w:trHeight w:val="170"/>
        </w:trPr>
        <w:tc>
          <w:tcPr>
            <w:tcW w:w="240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MACCL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Floating – 07/2023 – B1L – 55265AAL5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1,901,675</w:t>
            </w:r>
          </w:p>
        </w:tc>
      </w:tr>
      <w:tr>
        <w:trPr>
          <w:trHeight w:val="170"/>
        </w:trPr>
        <w:tc>
          <w:tcPr>
            <w:tcW w:w="240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MDPK 2007-4A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Floating – 03/2021 – D – 55817UAF7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1,871,637</w:t>
            </w:r>
          </w:p>
        </w:tc>
      </w:tr>
      <w:tr>
        <w:trPr>
          <w:trHeight w:val="170"/>
        </w:trPr>
        <w:tc>
          <w:tcPr>
            <w:tcW w:w="240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NAVIG 2007-2A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04/2021 – D – 63937HAD0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2,900,007</w:t>
            </w:r>
          </w:p>
        </w:tc>
      </w:tr>
      <w:tr>
        <w:trPr>
          <w:trHeight w:val="170"/>
        </w:trPr>
        <w:tc>
          <w:tcPr>
            <w:tcW w:w="240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Floating – 04/2022 – C – 89288BAG6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2,784,073</w:t>
            </w:r>
          </w:p>
        </w:tc>
      </w:tr>
      <w:tr>
        <w:trPr>
          <w:trHeight w:val="170"/>
        </w:trPr>
        <w:tc>
          <w:tcPr>
            <w:tcW w:w="240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D – 89288AAA1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949,189</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4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Total Investment in CLO Rated Notes</w:t>
            </w: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15,000,000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14,962,139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14,208,540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4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281,252,508</w:t>
            </w:r>
          </w:p>
        </w:tc>
        <w:tc>
          <w:tcPr>
            <w:tcW w:w="30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278,189,098</w:t>
            </w:r>
          </w:p>
        </w:tc>
        <w:tc>
          <w:tcPr>
            <w:tcW w:w="320" w:type="dxa"/>
            <w:vAlign w:val="bottom"/>
            <w:tcBorders>
              <w:lef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273,373,948</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5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-419735</wp:posOffset>
            </wp:positionV>
            <wp:extent cx="5213985" cy="1117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Equity investment in common stock</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left="40" w:right="859" w:firstLine="270"/>
        <w:spacing w:after="0" w:line="312" w:lineRule="auto"/>
        <w:rPr>
          <w:sz w:val="20"/>
          <w:szCs w:val="20"/>
          <w:color w:val="auto"/>
        </w:rPr>
      </w:pPr>
      <w:r>
        <w:rPr>
          <w:rFonts w:ascii="Arial" w:cs="Arial" w:eastAsia="Arial" w:hAnsi="Arial"/>
          <w:sz w:val="16"/>
          <w:szCs w:val="16"/>
          <w:color w:val="auto"/>
        </w:rPr>
        <w:t>Katonah 2007-I CLO LTD. (the “Fund”)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3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On January 23, 2008, the Fund sold $323.9 million of notes or debt securities, consisting of Class A-1L Floating Rate Notes, Class A-2L Floating Rate Notes, Class A-3L Floating Rate Notes, Class B-1L Floating Rate Notes, Class B-2L Floating Rate Notes (“Class B-2L Notes”) and preferred shares. The notes were issued pursuant to an indenture, dated January 23, 2008 (the “Indenture”), with U.S. Bank National Association servicing as the trustee thereunder. KCAP Financial, Inc. (“KCAP Financial”) owns all of the preferred shares of Katonah 2007-I CLO LTD. The Fund’s defined investment period ended on April 22, 2014. Following the defined investment period, proceeds from principal payments in the investment portfolio of the Fund are used to pay down its outstanding notes, starting with Class A notes.</w:t>
      </w:r>
    </w:p>
    <w:p>
      <w:pPr>
        <w:spacing w:after="0" w:line="70" w:lineRule="exact"/>
        <w:rPr>
          <w:sz w:val="20"/>
          <w:szCs w:val="20"/>
          <w:color w:val="auto"/>
        </w:rPr>
      </w:pPr>
    </w:p>
    <w:p>
      <w:pPr>
        <w:ind w:left="40" w:right="819" w:firstLine="270"/>
        <w:spacing w:after="0" w:line="276" w:lineRule="auto"/>
        <w:rPr>
          <w:sz w:val="20"/>
          <w:szCs w:val="20"/>
          <w:color w:val="auto"/>
        </w:rPr>
      </w:pPr>
      <w:r>
        <w:rPr>
          <w:rFonts w:ascii="Arial" w:cs="Arial" w:eastAsia="Arial" w:hAnsi="Arial"/>
          <w:sz w:val="17"/>
          <w:szCs w:val="17"/>
          <w:color w:val="auto"/>
        </w:rPr>
        <w:t>Pursuant to a collateral management agreement (the “Collateral Management Agreement”), Katonah 2007-1 Management, L.L.C. (the “Manager”), which is a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899" w:firstLine="270"/>
        <w:spacing w:after="0" w:line="293" w:lineRule="auto"/>
        <w:rPr>
          <w:sz w:val="20"/>
          <w:szCs w:val="20"/>
          <w:color w:val="auto"/>
        </w:rPr>
      </w:pPr>
      <w:r>
        <w:rPr>
          <w:rFonts w:ascii="Arial" w:cs="Arial" w:eastAsia="Arial" w:hAnsi="Arial"/>
          <w:sz w:val="16"/>
          <w:szCs w:val="16"/>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of the investments held and notes issued by the Fund are presented at fair value in the Fund’s Statements of Net Assets.</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Investments of the Fund at Fair Value</w:t>
      </w:r>
      <w:r>
        <w:rPr>
          <w:rFonts w:ascii="Arial" w:cs="Arial" w:eastAsia="Arial" w:hAnsi="Arial"/>
          <w:sz w:val="18"/>
          <w:szCs w:val="18"/>
          <w:color w:val="auto"/>
        </w:rPr>
        <w:t>. Investment transactions are recorded on the applicable trade date.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820-10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320" w:right="3259" w:hanging="42"/>
        <w:spacing w:after="0" w:line="375" w:lineRule="auto"/>
        <w:tabs>
          <w:tab w:leader="none" w:pos="6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Level 1 assets may include listed mutual funds, ETFs, equities and certain derivatives. </w:t>
      </w:r>
      <w:r>
        <w:rPr>
          <w:rFonts w:ascii="Arial" w:cs="Arial" w:eastAsia="Arial" w:hAnsi="Arial"/>
          <w:sz w:val="18"/>
          <w:szCs w:val="18"/>
          <w:u w:val="single" w:color="auto"/>
          <w:color w:val="auto"/>
        </w:rPr>
        <w:t>Level 2 Inputs:</w:t>
      </w:r>
    </w:p>
    <w:p>
      <w:pPr>
        <w:spacing w:after="0" w:line="1" w:lineRule="exact"/>
        <w:rPr>
          <w:sz w:val="20"/>
          <w:szCs w:val="20"/>
          <w:color w:val="auto"/>
        </w:rPr>
      </w:pPr>
    </w:p>
    <w:p>
      <w:pPr>
        <w:ind w:left="320" w:right="599"/>
        <w:spacing w:after="0" w:line="259" w:lineRule="auto"/>
        <w:rPr>
          <w:sz w:val="20"/>
          <w:szCs w:val="20"/>
          <w:color w:val="auto"/>
        </w:rPr>
      </w:pPr>
      <w:r>
        <w:rPr>
          <w:rFonts w:ascii="Arial" w:cs="Arial" w:eastAsia="Arial" w:hAnsi="Arial"/>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79" w:lineRule="exact"/>
        <w:rPr>
          <w:sz w:val="20"/>
          <w:szCs w:val="20"/>
          <w:color w:val="auto"/>
        </w:rPr>
      </w:pPr>
    </w:p>
    <w:p>
      <w:pPr>
        <w:ind w:left="600" w:right="859" w:hanging="322"/>
        <w:spacing w:after="0" w:line="259"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3 Inputs:</w:t>
      </w:r>
    </w:p>
    <w:p>
      <w:pPr>
        <w:spacing w:after="0" w:line="117" w:lineRule="exact"/>
        <w:rPr>
          <w:sz w:val="20"/>
          <w:szCs w:val="20"/>
          <w:color w:val="auto"/>
        </w:rPr>
      </w:pPr>
    </w:p>
    <w:p>
      <w:pPr>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59" w:hanging="322"/>
        <w:spacing w:after="0" w:line="312"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146"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1179"/>
        <w:spacing w:after="0" w:line="277" w:lineRule="auto"/>
        <w:rPr>
          <w:sz w:val="20"/>
          <w:szCs w:val="20"/>
          <w:color w:val="auto"/>
        </w:rPr>
      </w:pPr>
      <w:r>
        <w:rPr>
          <w:rFonts w:ascii="Arial" w:cs="Arial" w:eastAsia="Arial" w:hAnsi="Arial"/>
          <w:sz w:val="18"/>
          <w:szCs w:val="18"/>
          <w:color w:val="auto"/>
        </w:rPr>
        <w:t>The Manager’s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58"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Manager’s valuation methodology and procedures for investments held by the Fund are generally as follows:</w:t>
      </w:r>
    </w:p>
    <w:p>
      <w:pPr>
        <w:spacing w:after="0" w:line="117" w:lineRule="exact"/>
        <w:rPr>
          <w:sz w:val="20"/>
          <w:szCs w:val="20"/>
          <w:color w:val="auto"/>
        </w:rPr>
      </w:pPr>
    </w:p>
    <w:p>
      <w:pPr>
        <w:ind w:left="540" w:right="699" w:hanging="262"/>
        <w:spacing w:after="0" w:line="277"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599" w:hanging="262"/>
        <w:spacing w:after="0" w:line="297"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519" w:hanging="262"/>
        <w:spacing w:after="0" w:line="287" w:lineRule="auto"/>
        <w:tabs>
          <w:tab w:leader="none" w:pos="5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60" w:lineRule="exact"/>
        <w:rPr>
          <w:rFonts w:ascii="Arial" w:cs="Arial" w:eastAsia="Arial" w:hAnsi="Arial"/>
          <w:sz w:val="16"/>
          <w:szCs w:val="16"/>
          <w:color w:val="auto"/>
        </w:rPr>
      </w:pPr>
    </w:p>
    <w:p>
      <w:pPr>
        <w:ind w:left="540" w:hanging="262"/>
        <w:spacing w:after="0"/>
        <w:tabs>
          <w:tab w:leader="none" w:pos="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the Manager’s management.</w:t>
      </w:r>
    </w:p>
    <w:p>
      <w:pPr>
        <w:spacing w:after="0" w:line="117" w:lineRule="exact"/>
        <w:rPr>
          <w:rFonts w:ascii="Arial" w:cs="Arial" w:eastAsia="Arial" w:hAnsi="Arial"/>
          <w:sz w:val="18"/>
          <w:szCs w:val="18"/>
          <w:color w:val="auto"/>
        </w:rPr>
      </w:pPr>
    </w:p>
    <w:p>
      <w:pPr>
        <w:ind w:left="540" w:right="659" w:hanging="262"/>
        <w:spacing w:after="0" w:line="277" w:lineRule="auto"/>
        <w:tabs>
          <w:tab w:leader="none" w:pos="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Illiquid loans, junior and mezzanine securities and investments in other CLO bonds are fair valued using models developed by the Manager’s management with applicable market assumptions.</w:t>
      </w:r>
    </w:p>
    <w:p>
      <w:pPr>
        <w:spacing w:after="0" w:line="62" w:lineRule="exact"/>
        <w:rPr>
          <w:rFonts w:ascii="Arial" w:cs="Arial" w:eastAsia="Arial" w:hAnsi="Arial"/>
          <w:sz w:val="18"/>
          <w:szCs w:val="18"/>
          <w:color w:val="auto"/>
        </w:rPr>
      </w:pPr>
    </w:p>
    <w:p>
      <w:pPr>
        <w:jc w:val="both"/>
        <w:ind w:left="540" w:right="599" w:hanging="262"/>
        <w:spacing w:after="0" w:line="264" w:lineRule="auto"/>
        <w:tabs>
          <w:tab w:leader="none" w:pos="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Most of the Fund’s investment portfolio is composed of broadly syndicated debt securities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8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CLO Fund Securities</w:t>
      </w:r>
      <w:r>
        <w:rPr>
          <w:rFonts w:ascii="Arial" w:cs="Arial" w:eastAsia="Arial" w:hAnsi="Arial"/>
          <w:sz w:val="17"/>
          <w:szCs w:val="17"/>
          <w:color w:val="auto"/>
        </w:rPr>
        <w:t>. The Fund may selectively invest in securities issued by CLO Funds managed by other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Cash is defined as demand deposits. The Fund holds its cash with financial institutions and, at times, cash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checking accounts may exceed the Federal Deposit Insurance Corporation insured limit.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at Fair Value</w:t>
      </w:r>
      <w:r>
        <w:rPr>
          <w:rFonts w:ascii="Arial" w:cs="Arial" w:eastAsia="Arial" w:hAnsi="Arial"/>
          <w:sz w:val="17"/>
          <w:szCs w:val="17"/>
          <w:color w:val="auto"/>
        </w:rPr>
        <w:t>. The Fund has issued rated and unrated bonds to finance its operations. Debt is presented at fair value.</w:t>
      </w:r>
    </w:p>
    <w:p>
      <w:pPr>
        <w:spacing w:after="0" w:line="129"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recorded on the accrual basis on interest-bearing assets. The Fund generally places a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 The Fund is externally managed by the Manager pursuant to the Collateral Management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 Collateral Management Fee”). The Senior Collateral Management Fee is payable in arrears quarterly (subject to availability of funds and to the satisfaction of payment obligations on the debt obligations of the Fund (the “Priority of Payments”)) in an amount equal to 0.10% per annum of the aggregate principal amount of the Fund’s investments. The Subordinated Collateral Management Fee is payable in arrears quarterly (subject to availability of funds and to the Priority of Payments) in an amount equal to 0.15% per annum of the aggregate principal amount of the Fund’s investments. The Incentive Collateral Management Fee equals 20% of the amount of interest and principal payments remaining available for distribution to the holders of the Fund’s preferred shares under the Priority of Payments at which the Incentive Collateral Management Fee may be paid. For the years ended December 31, 2015 and 2014, there were no Incentive Fees incurred by the Fund.</w:t>
      </w:r>
    </w:p>
    <w:p>
      <w:pPr>
        <w:spacing w:after="0" w:line="6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The Fund has issued rated and unrated bonds to finance its operations. Interest on debt is calculated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trustee of the Fund. Interest is accrued and generally paid quarterly.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i w:val="1"/>
          <w:iCs w:val="1"/>
          <w:color w:val="auto"/>
        </w:rPr>
        <w:t>Trustee Fees</w:t>
      </w:r>
      <w:r>
        <w:rPr>
          <w:rFonts w:ascii="Arial" w:cs="Arial" w:eastAsia="Arial" w:hAnsi="Arial"/>
          <w:sz w:val="16"/>
          <w:szCs w:val="16"/>
          <w:color w:val="auto"/>
        </w:rPr>
        <w:t>. The Fund has a third party trustee that is the custodian for all investments of the Fund and receives and disburses</w:t>
      </w:r>
      <w:r>
        <w:rPr>
          <w:rFonts w:ascii="Arial" w:cs="Arial" w:eastAsia="Arial" w:hAnsi="Arial"/>
          <w:sz w:val="16"/>
          <w:szCs w:val="16"/>
          <w:i w:val="1"/>
          <w:iCs w:val="1"/>
          <w:color w:val="auto"/>
        </w:rPr>
        <w:t xml:space="preserve"> </w:t>
      </w:r>
      <w:r>
        <w:rPr>
          <w:rFonts w:ascii="Arial" w:cs="Arial" w:eastAsia="Arial" w:hAnsi="Arial"/>
          <w:sz w:val="16"/>
          <w:szCs w:val="16"/>
          <w:color w:val="auto"/>
        </w:rPr>
        <w:t>all cash in accordance to the trustee and custodial agreements. Trustee fees are accrued and paid quarterly by the Fund.</w:t>
      </w:r>
    </w:p>
    <w:p>
      <w:pPr>
        <w:spacing w:after="0" w:line="16"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Fund is not subject to net income taxation in the United States or the Cayman Islands. Accordingly, no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has been made in the accompanying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0" w:right="579" w:firstLine="270"/>
        <w:spacing w:after="0" w:line="267" w:lineRule="auto"/>
        <w:rPr>
          <w:sz w:val="20"/>
          <w:szCs w:val="20"/>
          <w:color w:val="auto"/>
        </w:rPr>
      </w:pPr>
      <w:r>
        <w:rPr>
          <w:rFonts w:ascii="Arial" w:cs="Arial" w:eastAsia="Arial" w:hAnsi="Arial"/>
          <w:sz w:val="17"/>
          <w:szCs w:val="17"/>
          <w:color w:val="auto"/>
        </w:rPr>
        <w:t>The investments held by the Fund are primarily invested in senior secured bank loans (typically syndicated by banks), bonds, and equity securities. Bank loan investments, which comprise the majority of the Fund’s portfolio, are senior secured corporate loans from a variety of industries, including but not limited to the aerospace and defense, broadcasting, technology, utilities, household products, healthcare, oil and gas, and finance industries. The investments mature at various dates between 2016 and 2022, pay interest at Libor or Prime plus a spread of up to 3.0%, and typically range in credit rating categories from BBB down to unrated. Non-accrual loans represented less than 1% of investments at fair value as of December 31, 2015 and December 31, 2014. The aggregate unpaid principal value of loans past due as of December 31, 2015 and December 31, 2014 was approximately $1.1 million and $2.9 million, respectively and the difference between fair value and the unpaid principal balance was approximately $934,000 and $1.4 million, respectively. The Fund’s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 in similar investments and the market environment and investor attitudes 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 v) the reputation and financial condition of the agent and any intermediate participants in the senior secured corporate loan; and vi) general economic and market conditions affecting the fair value of the senior secured corporate loan.</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0" w:name="page181"/>
    <w:bookmarkEnd w:id="180"/>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180" w:right="599" w:firstLine="270"/>
        <w:spacing w:after="0" w:line="269" w:lineRule="auto"/>
        <w:rPr>
          <w:sz w:val="20"/>
          <w:szCs w:val="20"/>
          <w:color w:val="auto"/>
        </w:rPr>
      </w:pPr>
      <w:r>
        <w:rPr>
          <w:rFonts w:ascii="Arial" w:cs="Arial" w:eastAsia="Arial" w:hAnsi="Arial"/>
          <w:sz w:val="17"/>
          <w:szCs w:val="17"/>
          <w:color w:val="auto"/>
        </w:rPr>
        <w:t>The debt issued by the Fund has a stated maturity date of April 23, 2022. The Fund’s debt was issued in various tranches with different risk profiles and ratings. The interest rates are variable rates based on Libor plus a pre-defined spread, which varies from 0.85% for the more senior tranches to 5% for the more 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72" w:lineRule="exact"/>
        <w:rPr>
          <w:sz w:val="20"/>
          <w:szCs w:val="20"/>
          <w:color w:val="auto"/>
        </w:rPr>
      </w:pPr>
    </w:p>
    <w:p>
      <w:pPr>
        <w:jc w:val="both"/>
        <w:ind w:left="180" w:right="579" w:firstLine="270"/>
        <w:spacing w:after="0" w:line="264" w:lineRule="auto"/>
        <w:rPr>
          <w:sz w:val="20"/>
          <w:szCs w:val="20"/>
          <w:color w:val="auto"/>
        </w:rPr>
      </w:pPr>
      <w:r>
        <w:rPr>
          <w:rFonts w:ascii="Arial" w:cs="Arial" w:eastAsia="Arial" w:hAnsi="Arial"/>
          <w:sz w:val="18"/>
          <w:szCs w:val="18"/>
          <w:color w:val="auto"/>
        </w:rPr>
        <w:t>The carrying value of investments held and debt issued by the Fund is also their fair value. The following tables present the fair value hierarchy levels of investments held and debt issued by the Fund, which are measured at fair value as of December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December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$ 246,766,505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246,766,505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$ 261,433,473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261,433,473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$ 273,373,948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273,373,948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$ 290,699,426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290,699,426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S-45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-1843405</wp:posOffset>
            </wp:positionV>
            <wp:extent cx="521398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81" w:name="page182"/>
    <w:bookmarkEnd w:id="181"/>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63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63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300" w:type="dxa"/>
            <w:vAlign w:val="bottom"/>
          </w:tcPr>
          <w:p>
            <w:pPr>
              <w:spacing w:after="0"/>
              <w:rPr>
                <w:sz w:val="14"/>
                <w:szCs w:val="14"/>
                <w:color w:val="auto"/>
              </w:rPr>
            </w:pPr>
          </w:p>
        </w:tc>
        <w:tc>
          <w:tcPr>
            <w:tcW w:w="106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$ 273,373,948</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93,243,381</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(113,199,395)</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(6,651,429)</w:t>
            </w:r>
          </w:p>
        </w:tc>
      </w:tr>
      <w:tr>
        <w:trPr>
          <w:trHeight w:val="20"/>
        </w:trPr>
        <w:tc>
          <w:tcPr>
            <w:tcW w:w="6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$ 246,766,505</w:t>
            </w:r>
          </w:p>
        </w:tc>
      </w:tr>
      <w:tr>
        <w:trPr>
          <w:trHeight w:val="195"/>
        </w:trPr>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(5,313,969)</w:t>
            </w:r>
          </w:p>
        </w:tc>
      </w:tr>
      <w:tr>
        <w:trPr>
          <w:trHeight w:val="288"/>
        </w:trPr>
        <w:tc>
          <w:tcPr>
            <w:tcW w:w="630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63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63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300" w:type="dxa"/>
            <w:vAlign w:val="bottom"/>
          </w:tcPr>
          <w:p>
            <w:pPr>
              <w:spacing w:after="0"/>
              <w:rPr>
                <w:sz w:val="14"/>
                <w:szCs w:val="14"/>
                <w:color w:val="auto"/>
              </w:rPr>
            </w:pPr>
          </w:p>
        </w:tc>
        <w:tc>
          <w:tcPr>
            <w:tcW w:w="106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$ 310,427,788</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29,960,070</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(61,206,288)</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(5,807,622)</w:t>
            </w:r>
          </w:p>
        </w:tc>
      </w:tr>
      <w:tr>
        <w:trPr>
          <w:trHeight w:val="20"/>
        </w:trPr>
        <w:tc>
          <w:tcPr>
            <w:tcW w:w="6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$ 273,373,948</w:t>
            </w:r>
          </w:p>
        </w:tc>
      </w:tr>
      <w:tr>
        <w:trPr>
          <w:trHeight w:val="195"/>
        </w:trPr>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(5,924,816)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-1800225</wp:posOffset>
            </wp:positionV>
            <wp:extent cx="4751070" cy="18008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751070" cy="1800860"/>
                    </a:xfrm>
                    <a:prstGeom prst="rect">
                      <a:avLst/>
                    </a:prstGeom>
                    <a:noFill/>
                  </pic:spPr>
                </pic:pic>
              </a:graphicData>
            </a:graphic>
          </wp:anchor>
        </w:drawing>
      </w:r>
    </w:p>
    <w:p>
      <w:pPr>
        <w:spacing w:after="0" w:line="74"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2015, the Manager’s Level 3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4"/>
                <w:szCs w:val="14"/>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760" w:type="dxa"/>
            <w:vAlign w:val="bottom"/>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234,403,150</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10.8% – 101%</w:t>
            </w:r>
          </w:p>
        </w:tc>
      </w:tr>
      <w:tr>
        <w:trPr>
          <w:trHeight w:val="216"/>
        </w:trPr>
        <w:tc>
          <w:tcPr>
            <w:tcW w:w="17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0.13 – 1.0</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12,360,525</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3.82% – 5.89%</w:t>
            </w:r>
          </w:p>
        </w:tc>
      </w:tr>
    </w:tbl>
    <w:p>
      <w:pPr>
        <w:spacing w:after="0" w:line="94"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290,699,426</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Prepayments, amortization, net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(23,002,449)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261,433,473</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6300" w:type="dxa"/>
            <w:vAlign w:val="bottom"/>
          </w:tcPr>
          <w:p>
            <w:pPr>
              <w:ind w:left="4500"/>
              <w:spacing w:after="0"/>
              <w:rPr>
                <w:sz w:val="20"/>
                <w:szCs w:val="20"/>
                <w:color w:val="auto"/>
              </w:rPr>
            </w:pPr>
            <w:r>
              <w:rPr>
                <w:rFonts w:ascii="Arial" w:cs="Arial" w:eastAsia="Arial" w:hAnsi="Arial"/>
                <w:sz w:val="18"/>
                <w:szCs w:val="18"/>
                <w:color w:val="auto"/>
              </w:rPr>
              <w:t>S-46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-1088390</wp:posOffset>
            </wp:positionV>
            <wp:extent cx="4751070" cy="1803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82" w:name="page183"/>
    <w:bookmarkEnd w:id="18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75107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314,549,615</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Prepayments, amortization, net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(27,132,006)</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3,281,817</w:t>
            </w:r>
          </w:p>
        </w:tc>
      </w:tr>
      <w:tr>
        <w:trPr>
          <w:trHeight w:val="20"/>
        </w:trPr>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290,699,426</w:t>
            </w:r>
          </w:p>
        </w:tc>
      </w:tr>
      <w:tr>
        <w:trPr>
          <w:trHeight w:val="21"/>
        </w:trPr>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Changes in unrealized appreciation included in earnings related to liabilities still</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-454025</wp:posOffset>
            </wp:positionV>
            <wp:extent cx="4751070" cy="1803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20" w:right="599" w:hanging="322"/>
        <w:spacing w:after="0" w:line="277"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Fund has the ability to access.</w:t>
      </w:r>
    </w:p>
    <w:p>
      <w:pPr>
        <w:spacing w:after="0" w:line="62" w:lineRule="exact"/>
        <w:rPr>
          <w:rFonts w:ascii="Arial" w:cs="Arial" w:eastAsia="Arial" w:hAnsi="Arial"/>
          <w:sz w:val="18"/>
          <w:szCs w:val="18"/>
          <w:color w:val="auto"/>
        </w:rPr>
      </w:pPr>
    </w:p>
    <w:p>
      <w:pPr>
        <w:ind w:left="620" w:right="1379" w:hanging="322"/>
        <w:spacing w:after="0" w:line="277"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2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The Fund’s debt is presented at fair value with the difference between principal and fair value recorded as unrealized gain/loss. The par amount of the Fund’s debt is approximately $274 million and $297 million as of December 31, 2015 and December 31, 2014, respectively.</w:t>
      </w:r>
    </w:p>
    <w:p>
      <w:pPr>
        <w:spacing w:after="0" w:line="73"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62" w:lineRule="exact"/>
        <w:rPr>
          <w:sz w:val="20"/>
          <w:szCs w:val="20"/>
          <w:color w:val="auto"/>
        </w:rPr>
      </w:pPr>
    </w:p>
    <w:p>
      <w:pPr>
        <w:ind w:left="60" w:right="579" w:firstLine="270"/>
        <w:spacing w:after="0" w:line="271" w:lineRule="auto"/>
        <w:rPr>
          <w:sz w:val="20"/>
          <w:szCs w:val="20"/>
          <w:color w:val="auto"/>
        </w:rPr>
      </w:pPr>
      <w:r>
        <w:rPr>
          <w:rFonts w:ascii="Arial" w:cs="Arial" w:eastAsia="Arial" w:hAnsi="Arial"/>
          <w:sz w:val="17"/>
          <w:szCs w:val="17"/>
          <w:color w:val="auto"/>
        </w:rPr>
        <w:t xml:space="preserve">Pursuant to ASC Topic 740,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2015 and 2014 there was no impact to the financial statements as a result of the Fund’s accounting for uncertainty in income taxes. The Fund does not have any unrecognized tax benefits or liabilities for the years ended December 31, 2015, 2014 and 2013. Also, the Fund recognizes interest and, if applicable, penalties for any uncertain tax positions, as a component of income tax expense. No interest or penalty expense was recorded by the Fund for the years ended December 31, 2015, 2014 and 2013.</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3" w:name="page184"/>
    <w:bookmarkEnd w:id="18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60" w:right="659" w:firstLine="270"/>
        <w:spacing w:after="0" w:line="286" w:lineRule="auto"/>
        <w:rPr>
          <w:sz w:val="20"/>
          <w:szCs w:val="20"/>
          <w:color w:val="auto"/>
        </w:rPr>
      </w:pPr>
      <w:r>
        <w:rPr>
          <w:rFonts w:ascii="Arial" w:cs="Arial" w:eastAsia="Arial" w:hAnsi="Arial"/>
          <w:sz w:val="17"/>
          <w:szCs w:val="17"/>
          <w:color w:val="auto"/>
        </w:rPr>
        <w:t>On January 23, 2008, the Fund issued $323.9 million of notes or debt securities, consisting of the Class A-1L Floating Rate Notes, the Class A-2L Floating Rate Notes, the Class A-3L Floating Rate Notes, the Class B-1L Floating Rate Notes, the Class B-2L Floating Rate Notes and the preferred shares. The notes were issued pursuant to the Indenture.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sets forth certain information for each outstanding class of debt securities issued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2139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Debt Security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Outstanding</w:t>
            </w:r>
          </w:p>
        </w:tc>
        <w:tc>
          <w:tcPr>
            <w:tcW w:w="6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Class A-1L Floating Rate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176,865,554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176,865,554</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0.85%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175,944,253</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A-2L Floating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26,000,000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26,000,000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1.50%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25,857,350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A-3L Floating Rate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2.00%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17,902,126</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B-1L Floating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11,000,000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3.00%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10,970,532</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B-2L Floating Rate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5.00%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10,463,534</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31,411,736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31,411,736</w:t>
            </w:r>
          </w:p>
        </w:tc>
        <w:tc>
          <w:tcPr>
            <w:tcW w:w="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20,295,678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During 2015 and 2014, approximately $23 million and $27 million of the Class A-1L Floating Rate Notes was repaid in the normal course of business of the Fund,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60" w:right="1259" w:firstLine="270"/>
        <w:spacing w:after="0" w:line="342" w:lineRule="auto"/>
        <w:rPr>
          <w:sz w:val="20"/>
          <w:szCs w:val="20"/>
          <w:color w:val="auto"/>
        </w:rPr>
      </w:pPr>
      <w:r>
        <w:rPr>
          <w:rFonts w:ascii="Arial" w:cs="Arial" w:eastAsia="Arial" w:hAnsi="Arial"/>
          <w:sz w:val="16"/>
          <w:szCs w:val="16"/>
          <w:color w:val="auto"/>
        </w:rPr>
        <w:t>The Fund had no commitments to fund investments as of December 31, 2015. As of December 31, 2014 the Fund had commitments of approximately $2.8 million to fund investments, of which approximately $1.1 million was unfunded.</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authorized share capital of the Fund is $32,250, consisting of 250 ordinary shares of $1.00 par value, each of which are issued and fully paid, and 32,000,000 preferred shares, 31,411,736 of which are issued and fully paid. The ordinary shares that have been issued are held by Maples Finance Limited, a licensed trust company incorporated in the Cayman Islands, as the trustee pursuant to the terms of a charitable trust. The preferred shares that have been issued by the Fund are owned by KCAP Financial. The preferred shares are classified as debt in the Fund’s financial statements, as they are mandatorily redeemable upon liquidation or termination of the Fund.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The Fund has evaluated events and transactions through March 9, 2016, which is the date the financial statements were issued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4" w:name="page185"/>
    <w:bookmarkEnd w:id="184"/>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796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4800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4.4(a)</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4.4(b)</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46310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 w:lineRule="exact"/>
        <w:rPr>
          <w:sz w:val="20"/>
          <w:szCs w:val="20"/>
          <w:color w:val="auto"/>
        </w:rPr>
      </w:pPr>
    </w:p>
    <w:p>
      <w:pPr>
        <w:ind w:right="2259"/>
        <w:spacing w:after="0" w:line="262" w:lineRule="auto"/>
        <w:rPr>
          <w:sz w:val="20"/>
          <w:szCs w:val="20"/>
          <w:color w:val="auto"/>
        </w:rPr>
      </w:pPr>
      <w:r>
        <w:rPr>
          <w:rFonts w:ascii="Arial" w:cs="Arial" w:eastAsia="Arial" w:hAnsi="Arial"/>
          <w:sz w:val="16"/>
          <w:szCs w:val="16"/>
          <w:color w:val="auto"/>
        </w:rPr>
        <w:t>Purchase and Sale Agreement, dated February 29, 2012, by and among Kohlberg Capital Corporation (the “Company”), Commodore Holdings, L.L.C., Trimaran Advisors, L.L.C., HBK Caravelle, L.L.C., Trimaran Fund Management, L.L.C., Jay R. Bloom, and Dean C. Kehler.</w:t>
      </w:r>
      <w:r>
        <w:rPr>
          <w:rFonts w:ascii="Arial" w:cs="Arial" w:eastAsia="Arial" w:hAnsi="Arial"/>
          <w:sz w:val="26"/>
          <w:szCs w:val="26"/>
          <w:color w:val="auto"/>
          <w:vertAlign w:val="superscript"/>
        </w:rPr>
        <w:t>(1)</w:t>
      </w:r>
    </w:p>
    <w:p>
      <w:pPr>
        <w:spacing w:after="0" w:line="181" w:lineRule="auto"/>
        <w:rPr>
          <w:sz w:val="20"/>
          <w:szCs w:val="20"/>
          <w:color w:val="auto"/>
        </w:rPr>
      </w:pPr>
      <w:r>
        <w:rPr>
          <w:rFonts w:ascii="Arial" w:cs="Arial" w:eastAsia="Arial" w:hAnsi="Arial"/>
          <w:sz w:val="16"/>
          <w:szCs w:val="16"/>
          <w:color w:val="auto"/>
        </w:rPr>
        <w:t>Form of Certificate of Incorporation of the Company.</w:t>
      </w:r>
      <w:r>
        <w:rPr>
          <w:rFonts w:ascii="Arial" w:cs="Arial" w:eastAsia="Arial" w:hAnsi="Arial"/>
          <w:sz w:val="25"/>
          <w:szCs w:val="25"/>
          <w:color w:val="auto"/>
          <w:vertAlign w:val="superscript"/>
        </w:rPr>
        <w:t>(3)</w:t>
      </w:r>
    </w:p>
    <w:p>
      <w:pPr>
        <w:spacing w:after="0" w:line="221" w:lineRule="auto"/>
        <w:rPr>
          <w:sz w:val="20"/>
          <w:szCs w:val="20"/>
          <w:color w:val="auto"/>
        </w:rPr>
      </w:pPr>
      <w:r>
        <w:rPr>
          <w:rFonts w:ascii="Arial" w:cs="Arial" w:eastAsia="Arial" w:hAnsi="Arial"/>
          <w:sz w:val="17"/>
          <w:szCs w:val="17"/>
          <w:color w:val="auto"/>
        </w:rPr>
        <w:t>Form of Bylaws of the Company, as amended and restated effective February 29, 2012.</w:t>
      </w:r>
      <w:r>
        <w:rPr>
          <w:rFonts w:ascii="Arial" w:cs="Arial" w:eastAsia="Arial" w:hAnsi="Arial"/>
          <w:sz w:val="28"/>
          <w:szCs w:val="28"/>
          <w:color w:val="auto"/>
          <w:vertAlign w:val="superscript"/>
        </w:rPr>
        <w:t>(4)</w:t>
      </w:r>
    </w:p>
    <w:p>
      <w:pPr>
        <w:spacing w:after="0" w:line="181" w:lineRule="auto"/>
        <w:rPr>
          <w:sz w:val="20"/>
          <w:szCs w:val="20"/>
          <w:color w:val="auto"/>
        </w:rPr>
      </w:pPr>
      <w:r>
        <w:rPr>
          <w:rFonts w:ascii="Arial" w:cs="Arial" w:eastAsia="Arial" w:hAnsi="Arial"/>
          <w:sz w:val="16"/>
          <w:szCs w:val="16"/>
          <w:color w:val="auto"/>
        </w:rPr>
        <w:t>Specimen certificate of the Company’s common stock, par value $0.01 per share.</w:t>
      </w:r>
      <w:r>
        <w:rPr>
          <w:rFonts w:ascii="Arial" w:cs="Arial" w:eastAsia="Arial" w:hAnsi="Arial"/>
          <w:sz w:val="25"/>
          <w:szCs w:val="25"/>
          <w:color w:val="auto"/>
          <w:vertAlign w:val="superscript"/>
        </w:rPr>
        <w:t>(3)</w:t>
      </w:r>
    </w:p>
    <w:p>
      <w:pPr>
        <w:spacing w:after="0" w:line="185" w:lineRule="auto"/>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(5)</w:t>
      </w:r>
    </w:p>
    <w:p>
      <w:pPr>
        <w:ind w:right="2099"/>
        <w:spacing w:after="0" w:line="205" w:lineRule="auto"/>
        <w:rPr>
          <w:sz w:val="20"/>
          <w:szCs w:val="20"/>
          <w:color w:val="auto"/>
        </w:rPr>
      </w:pPr>
      <w:r>
        <w:rPr>
          <w:rFonts w:ascii="Arial" w:cs="Arial" w:eastAsia="Arial" w:hAnsi="Arial"/>
          <w:sz w:val="18"/>
          <w:szCs w:val="18"/>
          <w:color w:val="auto"/>
        </w:rPr>
        <w:t>Form of Base Indenture between the Company and U.S. Bank National Association relating to the 7.375% Senior Notes Due 2019</w:t>
      </w:r>
      <w:r>
        <w:rPr>
          <w:rFonts w:ascii="Arial" w:cs="Arial" w:eastAsia="Arial" w:hAnsi="Arial"/>
          <w:sz w:val="30"/>
          <w:szCs w:val="30"/>
          <w:color w:val="auto"/>
          <w:vertAlign w:val="superscript"/>
        </w:rPr>
        <w:t>(19)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of First Supplemental Indenture between the Company and U.S. Bank National Association</w:t>
      </w:r>
    </w:p>
    <w:p>
      <w:pPr>
        <w:spacing w:after="0" w:line="7" w:lineRule="exact"/>
        <w:rPr>
          <w:sz w:val="20"/>
          <w:szCs w:val="20"/>
          <w:color w:val="auto"/>
        </w:rPr>
      </w:pPr>
    </w:p>
    <w:p>
      <w:pPr>
        <w:sectPr>
          <w:pgSz w:w="11900" w:h="16838" w:orient="portrait"/>
          <w:cols w:equalWidth="0" w:num="2">
            <w:col w:w="780" w:space="280"/>
            <w:col w:w="9159"/>
          </w:cols>
          <w:pgMar w:left="24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880" w:type="dxa"/>
            <w:vAlign w:val="bottom"/>
          </w:tcPr>
          <w:p>
            <w:pPr>
              <w:spacing w:after="0"/>
              <w:rPr>
                <w:sz w:val="23"/>
                <w:szCs w:val="23"/>
                <w:color w:val="auto"/>
              </w:rPr>
            </w:pPr>
          </w:p>
        </w:tc>
        <w:tc>
          <w:tcPr>
            <w:tcW w:w="8720" w:type="dxa"/>
            <w:vAlign w:val="bottom"/>
          </w:tcPr>
          <w:p>
            <w:pPr>
              <w:ind w:left="180"/>
              <w:spacing w:after="0" w:line="265" w:lineRule="exact"/>
              <w:rPr>
                <w:sz w:val="20"/>
                <w:szCs w:val="20"/>
                <w:color w:val="auto"/>
              </w:rPr>
            </w:pPr>
            <w:r>
              <w:rPr>
                <w:rFonts w:ascii="Arial" w:cs="Arial" w:eastAsia="Arial" w:hAnsi="Arial"/>
                <w:sz w:val="18"/>
                <w:szCs w:val="18"/>
                <w:color w:val="auto"/>
              </w:rPr>
              <w:t>relating to the 7.375% Senior Notes Due 2019</w:t>
            </w:r>
            <w:r>
              <w:rPr>
                <w:rFonts w:ascii="Arial" w:cs="Arial" w:eastAsia="Arial" w:hAnsi="Arial"/>
                <w:sz w:val="30"/>
                <w:szCs w:val="30"/>
                <w:color w:val="auto"/>
                <w:vertAlign w:val="superscript"/>
              </w:rPr>
              <w:t>(19)</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4.5</w:t>
            </w:r>
          </w:p>
        </w:tc>
        <w:tc>
          <w:tcPr>
            <w:tcW w:w="8720" w:type="dxa"/>
            <w:vAlign w:val="bottom"/>
          </w:tcPr>
          <w:p>
            <w:pPr>
              <w:ind w:left="180"/>
              <w:spacing w:after="0"/>
              <w:rPr>
                <w:sz w:val="20"/>
                <w:szCs w:val="20"/>
                <w:color w:val="auto"/>
              </w:rPr>
            </w:pPr>
            <w:r>
              <w:rPr>
                <w:rFonts w:ascii="Arial" w:cs="Arial" w:eastAsia="Arial" w:hAnsi="Arial"/>
                <w:sz w:val="18"/>
                <w:szCs w:val="18"/>
                <w:color w:val="auto"/>
              </w:rPr>
              <w:t>Form of Note relating to the 7.375% Senior Notes Due 2019 (included as part of Exhibit 4.4)</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4.6</w:t>
            </w:r>
          </w:p>
        </w:tc>
        <w:tc>
          <w:tcPr>
            <w:tcW w:w="8720" w:type="dxa"/>
            <w:vAlign w:val="bottom"/>
          </w:tcPr>
          <w:p>
            <w:pPr>
              <w:ind w:left="180"/>
              <w:spacing w:after="0"/>
              <w:rPr>
                <w:sz w:val="20"/>
                <w:szCs w:val="20"/>
                <w:color w:val="auto"/>
              </w:rPr>
            </w:pPr>
            <w:r>
              <w:rPr>
                <w:rFonts w:ascii="Arial" w:cs="Arial" w:eastAsia="Arial" w:hAnsi="Arial"/>
                <w:sz w:val="18"/>
                <w:szCs w:val="18"/>
                <w:color w:val="auto"/>
              </w:rPr>
              <w:t>Indenture dated as of March 16, 2011, by and between the Company and U.S. Bank National</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Association, as trustee relating to the 8.75% Convertible Senior Notes Due 2016.</w:t>
            </w:r>
            <w:r>
              <w:rPr>
                <w:rFonts w:ascii="Arial" w:cs="Arial" w:eastAsia="Arial" w:hAnsi="Arial"/>
                <w:sz w:val="29"/>
                <w:szCs w:val="29"/>
                <w:color w:val="auto"/>
                <w:vertAlign w:val="superscript"/>
              </w:rPr>
              <w:t>(6)</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4.7</w:t>
            </w:r>
          </w:p>
        </w:tc>
        <w:tc>
          <w:tcPr>
            <w:tcW w:w="8720" w:type="dxa"/>
            <w:vAlign w:val="bottom"/>
          </w:tcPr>
          <w:p>
            <w:pPr>
              <w:ind w:left="180"/>
              <w:spacing w:after="0"/>
              <w:rPr>
                <w:sz w:val="20"/>
                <w:szCs w:val="20"/>
                <w:color w:val="auto"/>
              </w:rPr>
            </w:pPr>
            <w:r>
              <w:rPr>
                <w:rFonts w:ascii="Arial" w:cs="Arial" w:eastAsia="Arial" w:hAnsi="Arial"/>
                <w:sz w:val="18"/>
                <w:szCs w:val="18"/>
                <w:color w:val="auto"/>
              </w:rPr>
              <w:t>Form of 8.75% Convertible Senior Notes Due 2016 (included as part of Exhibit 4.6).</w:t>
            </w:r>
          </w:p>
        </w:tc>
      </w:tr>
      <w:tr>
        <w:trPr>
          <w:trHeight w:val="257"/>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the Amended and Restated 2006 Equity Incentive Plan.</w:t>
            </w:r>
            <w:r>
              <w:rPr>
                <w:rFonts w:ascii="Arial" w:cs="Arial" w:eastAsia="Arial" w:hAnsi="Arial"/>
                <w:sz w:val="29"/>
                <w:szCs w:val="29"/>
                <w:color w:val="auto"/>
                <w:vertAlign w:val="superscript"/>
              </w:rPr>
              <w:t>(7)</w:t>
            </w:r>
            <w:r>
              <w:rPr>
                <w:rFonts w:ascii="Arial" w:cs="Arial" w:eastAsia="Arial" w:hAnsi="Arial"/>
                <w:sz w:val="18"/>
                <w:szCs w:val="18"/>
                <w:color w:val="auto"/>
              </w:rPr>
              <w:t>*</w:t>
            </w:r>
          </w:p>
        </w:tc>
      </w:tr>
      <w:tr>
        <w:trPr>
          <w:trHeight w:val="257"/>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Company Non-Qualified Stock Option Certificate.</w:t>
            </w:r>
            <w:r>
              <w:rPr>
                <w:rFonts w:ascii="Arial" w:cs="Arial" w:eastAsia="Arial" w:hAnsi="Arial"/>
                <w:sz w:val="29"/>
                <w:szCs w:val="29"/>
                <w:color w:val="auto"/>
                <w:vertAlign w:val="superscript"/>
              </w:rPr>
              <w:t>(5)</w:t>
            </w:r>
            <w:r>
              <w:rPr>
                <w:rFonts w:ascii="Arial" w:cs="Arial" w:eastAsia="Arial" w:hAnsi="Arial"/>
                <w:sz w:val="18"/>
                <w:szCs w:val="18"/>
                <w:color w:val="auto"/>
              </w:rPr>
              <w:t>*</w:t>
            </w:r>
          </w:p>
        </w:tc>
      </w:tr>
      <w:tr>
        <w:trPr>
          <w:trHeight w:val="257"/>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Custodian Agreement.</w:t>
            </w:r>
            <w:r>
              <w:rPr>
                <w:rFonts w:ascii="Arial" w:cs="Arial" w:eastAsia="Arial" w:hAnsi="Arial"/>
                <w:sz w:val="29"/>
                <w:szCs w:val="29"/>
                <w:color w:val="auto"/>
                <w:vertAlign w:val="superscript"/>
              </w:rPr>
              <w:t>(5)</w:t>
            </w:r>
          </w:p>
        </w:tc>
      </w:tr>
      <w:tr>
        <w:trPr>
          <w:trHeight w:val="220"/>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8720" w:type="dxa"/>
            <w:vAlign w:val="bottom"/>
          </w:tcPr>
          <w:p>
            <w:pPr>
              <w:ind w:left="180"/>
              <w:spacing w:after="0"/>
              <w:rPr>
                <w:sz w:val="20"/>
                <w:szCs w:val="20"/>
                <w:color w:val="auto"/>
              </w:rPr>
            </w:pPr>
            <w:r>
              <w:rPr>
                <w:rFonts w:ascii="Arial" w:cs="Arial" w:eastAsia="Arial" w:hAnsi="Arial"/>
                <w:sz w:val="18"/>
                <w:szCs w:val="18"/>
                <w:color w:val="auto"/>
              </w:rPr>
              <w:t>Form of Overhead Allocation Agreement between the Company and Katonah Debt Advisors, L.L.C.</w:t>
            </w:r>
          </w:p>
        </w:tc>
      </w:tr>
      <w:tr>
        <w:trPr>
          <w:trHeight w:val="190"/>
        </w:trPr>
        <w:tc>
          <w:tcPr>
            <w:tcW w:w="880" w:type="dxa"/>
            <w:vAlign w:val="bottom"/>
          </w:tcPr>
          <w:p>
            <w:pPr>
              <w:spacing w:after="0"/>
              <w:rPr>
                <w:sz w:val="16"/>
                <w:szCs w:val="16"/>
                <w:color w:val="auto"/>
              </w:rPr>
            </w:pPr>
          </w:p>
        </w:tc>
        <w:tc>
          <w:tcPr>
            <w:tcW w:w="8720" w:type="dxa"/>
            <w:vAlign w:val="bottom"/>
          </w:tcPr>
          <w:p>
            <w:pPr>
              <w:ind w:left="180"/>
              <w:spacing w:after="0"/>
              <w:rPr>
                <w:sz w:val="20"/>
                <w:szCs w:val="20"/>
                <w:color w:val="auto"/>
              </w:rPr>
            </w:pPr>
            <w:r>
              <w:rPr>
                <w:rFonts w:ascii="Arial" w:cs="Arial" w:eastAsia="Arial" w:hAnsi="Arial"/>
                <w:sz w:val="15"/>
                <w:szCs w:val="15"/>
                <w:color w:val="auto"/>
              </w:rPr>
              <w:t>(5)</w:t>
            </w:r>
          </w:p>
        </w:tc>
      </w:tr>
      <w:tr>
        <w:trPr>
          <w:trHeight w:val="266"/>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8720" w:type="dxa"/>
            <w:vAlign w:val="bottom"/>
          </w:tcPr>
          <w:p>
            <w:pPr>
              <w:ind w:left="180"/>
              <w:spacing w:after="0" w:line="265" w:lineRule="exact"/>
              <w:rPr>
                <w:sz w:val="20"/>
                <w:szCs w:val="20"/>
                <w:color w:val="auto"/>
              </w:rPr>
            </w:pPr>
            <w:r>
              <w:rPr>
                <w:rFonts w:ascii="Arial" w:cs="Arial" w:eastAsia="Arial" w:hAnsi="Arial"/>
                <w:sz w:val="18"/>
                <w:szCs w:val="18"/>
                <w:color w:val="auto"/>
              </w:rPr>
              <w:t>Form of Employment Agreement between the Company and Dayl W. Pearson.</w:t>
            </w:r>
            <w:r>
              <w:rPr>
                <w:rFonts w:ascii="Arial" w:cs="Arial" w:eastAsia="Arial" w:hAnsi="Arial"/>
                <w:sz w:val="30"/>
                <w:szCs w:val="30"/>
                <w:color w:val="auto"/>
                <w:vertAlign w:val="superscript"/>
              </w:rPr>
              <w:t>(20)</w:t>
            </w:r>
            <w:r>
              <w:rPr>
                <w:rFonts w:ascii="Arial" w:cs="Arial" w:eastAsia="Arial" w:hAnsi="Arial"/>
                <w:sz w:val="18"/>
                <w:szCs w:val="18"/>
                <w:color w:val="auto"/>
              </w:rPr>
              <w:t>*</w:t>
            </w:r>
          </w:p>
        </w:tc>
      </w:tr>
      <w:tr>
        <w:trPr>
          <w:trHeight w:val="257"/>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Employment Agreement between the Company and Edward U. Gilpin.</w:t>
            </w:r>
            <w:r>
              <w:rPr>
                <w:rFonts w:ascii="Arial" w:cs="Arial" w:eastAsia="Arial" w:hAnsi="Arial"/>
                <w:sz w:val="29"/>
                <w:szCs w:val="29"/>
                <w:color w:val="auto"/>
                <w:vertAlign w:val="superscript"/>
              </w:rPr>
              <w:t>(21)</w:t>
            </w:r>
            <w:r>
              <w:rPr>
                <w:rFonts w:ascii="Arial" w:cs="Arial" w:eastAsia="Arial" w:hAnsi="Arial"/>
                <w:sz w:val="18"/>
                <w:szCs w:val="18"/>
                <w:color w:val="auto"/>
              </w:rPr>
              <w:t>*</w:t>
            </w:r>
          </w:p>
        </w:tc>
      </w:tr>
      <w:tr>
        <w:trPr>
          <w:trHeight w:val="257"/>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Employment Agreement between the Company and R. Jon Corless.</w:t>
            </w:r>
            <w:r>
              <w:rPr>
                <w:rFonts w:ascii="Arial" w:cs="Arial" w:eastAsia="Arial" w:hAnsi="Arial"/>
                <w:sz w:val="29"/>
                <w:szCs w:val="29"/>
                <w:color w:val="auto"/>
                <w:vertAlign w:val="superscript"/>
              </w:rPr>
              <w:t>(20)</w:t>
            </w:r>
            <w:r>
              <w:rPr>
                <w:rFonts w:ascii="Arial" w:cs="Arial" w:eastAsia="Arial" w:hAnsi="Arial"/>
                <w:sz w:val="18"/>
                <w:szCs w:val="18"/>
                <w:color w:val="auto"/>
              </w:rPr>
              <w:t>*</w:t>
            </w:r>
          </w:p>
        </w:tc>
      </w:tr>
      <w:tr>
        <w:trPr>
          <w:trHeight w:val="257"/>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10.13</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Employment Agreement between Katonah Debt Advisors and Daniel P. Gilligan.</w:t>
            </w:r>
            <w:r>
              <w:rPr>
                <w:rFonts w:ascii="Arial" w:cs="Arial" w:eastAsia="Arial" w:hAnsi="Arial"/>
                <w:sz w:val="29"/>
                <w:szCs w:val="29"/>
                <w:color w:val="auto"/>
                <w:vertAlign w:val="superscript"/>
              </w:rPr>
              <w:t>(20)</w:t>
            </w:r>
            <w:r>
              <w:rPr>
                <w:rFonts w:ascii="Arial" w:cs="Arial" w:eastAsia="Arial" w:hAnsi="Arial"/>
                <w:sz w:val="18"/>
                <w:szCs w:val="18"/>
                <w:color w:val="auto"/>
              </w:rPr>
              <w:t>*</w:t>
            </w:r>
          </w:p>
        </w:tc>
      </w:tr>
      <w:tr>
        <w:trPr>
          <w:trHeight w:val="257"/>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10.14</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Form of Indemnification Agreement for Officers and Directors of the Company.</w:t>
            </w:r>
            <w:r>
              <w:rPr>
                <w:rFonts w:ascii="Arial" w:cs="Arial" w:eastAsia="Arial" w:hAnsi="Arial"/>
                <w:sz w:val="29"/>
                <w:szCs w:val="29"/>
                <w:color w:val="auto"/>
                <w:vertAlign w:val="superscript"/>
              </w:rPr>
              <w:t>(11)</w:t>
            </w:r>
          </w:p>
        </w:tc>
      </w:tr>
      <w:tr>
        <w:trPr>
          <w:trHeight w:val="257"/>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10.20</w:t>
            </w:r>
          </w:p>
        </w:tc>
        <w:tc>
          <w:tcPr>
            <w:tcW w:w="8720" w:type="dxa"/>
            <w:vAlign w:val="bottom"/>
          </w:tcPr>
          <w:p>
            <w:pPr>
              <w:ind w:left="180"/>
              <w:spacing w:after="0" w:line="256" w:lineRule="exact"/>
              <w:rPr>
                <w:sz w:val="20"/>
                <w:szCs w:val="20"/>
                <w:color w:val="auto"/>
              </w:rPr>
            </w:pPr>
            <w:r>
              <w:rPr>
                <w:rFonts w:ascii="Arial" w:cs="Arial" w:eastAsia="Arial" w:hAnsi="Arial"/>
                <w:sz w:val="18"/>
                <w:szCs w:val="18"/>
                <w:color w:val="auto"/>
              </w:rPr>
              <w:t>Amended and Restated Non-Employee Director Plan.</w:t>
            </w:r>
            <w:r>
              <w:rPr>
                <w:rFonts w:ascii="Arial" w:cs="Arial" w:eastAsia="Arial" w:hAnsi="Arial"/>
                <w:sz w:val="29"/>
                <w:szCs w:val="29"/>
                <w:color w:val="auto"/>
                <w:vertAlign w:val="superscript"/>
              </w:rPr>
              <w:t>(13)</w:t>
            </w:r>
            <w:r>
              <w:rPr>
                <w:rFonts w:ascii="Arial" w:cs="Arial" w:eastAsia="Arial" w:hAnsi="Arial"/>
                <w:sz w:val="18"/>
                <w:szCs w:val="18"/>
                <w:color w:val="auto"/>
              </w:rPr>
              <w:t>*</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10.21</w:t>
            </w:r>
          </w:p>
        </w:tc>
        <w:tc>
          <w:tcPr>
            <w:tcW w:w="8720" w:type="dxa"/>
            <w:vAlign w:val="bottom"/>
          </w:tcPr>
          <w:p>
            <w:pPr>
              <w:ind w:left="180"/>
              <w:spacing w:after="0"/>
              <w:rPr>
                <w:sz w:val="20"/>
                <w:szCs w:val="20"/>
                <w:color w:val="auto"/>
              </w:rPr>
            </w:pPr>
            <w:r>
              <w:rPr>
                <w:rFonts w:ascii="Arial" w:cs="Arial" w:eastAsia="Arial" w:hAnsi="Arial"/>
                <w:sz w:val="18"/>
                <w:szCs w:val="18"/>
                <w:color w:val="auto"/>
              </w:rPr>
              <w:t>Purchase Agreement, dated June 16, 2013, by and among KCAP Financial, Inc., KCAP Senior</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Funding I Holdings, LLC, KCAP Senior Funding I, LLC and Guggenheim Securities, LLC.</w:t>
            </w:r>
            <w:r>
              <w:rPr>
                <w:rFonts w:ascii="Arial" w:cs="Arial" w:eastAsia="Arial" w:hAnsi="Arial"/>
                <w:sz w:val="29"/>
                <w:szCs w:val="29"/>
                <w:color w:val="auto"/>
                <w:vertAlign w:val="superscript"/>
              </w:rPr>
              <w:t>(22)</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10.22</w:t>
            </w:r>
          </w:p>
        </w:tc>
        <w:tc>
          <w:tcPr>
            <w:tcW w:w="8720" w:type="dxa"/>
            <w:vAlign w:val="bottom"/>
          </w:tcPr>
          <w:p>
            <w:pPr>
              <w:ind w:left="180"/>
              <w:spacing w:after="0"/>
              <w:rPr>
                <w:sz w:val="20"/>
                <w:szCs w:val="20"/>
                <w:color w:val="auto"/>
              </w:rPr>
            </w:pPr>
            <w:r>
              <w:rPr>
                <w:rFonts w:ascii="Arial" w:cs="Arial" w:eastAsia="Arial" w:hAnsi="Arial"/>
                <w:sz w:val="18"/>
                <w:szCs w:val="18"/>
                <w:color w:val="auto"/>
              </w:rPr>
              <w:t>Master Loan Sale Agreement, dated June 18, 2013, by and among KCAP Financial, Inc., KCAP</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Senior Funding I Holdings, LLC and KCAP Senior Funding I, LLC.</w:t>
            </w:r>
            <w:r>
              <w:rPr>
                <w:rFonts w:ascii="Arial" w:cs="Arial" w:eastAsia="Arial" w:hAnsi="Arial"/>
                <w:sz w:val="29"/>
                <w:szCs w:val="29"/>
                <w:color w:val="auto"/>
                <w:vertAlign w:val="superscript"/>
              </w:rPr>
              <w:t>(23)</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10.23</w:t>
            </w:r>
          </w:p>
        </w:tc>
        <w:tc>
          <w:tcPr>
            <w:tcW w:w="8720" w:type="dxa"/>
            <w:vAlign w:val="bottom"/>
          </w:tcPr>
          <w:p>
            <w:pPr>
              <w:ind w:left="180"/>
              <w:spacing w:after="0"/>
              <w:rPr>
                <w:sz w:val="20"/>
                <w:szCs w:val="20"/>
                <w:color w:val="auto"/>
              </w:rPr>
            </w:pPr>
            <w:r>
              <w:rPr>
                <w:rFonts w:ascii="Arial" w:cs="Arial" w:eastAsia="Arial" w:hAnsi="Arial"/>
                <w:sz w:val="18"/>
                <w:szCs w:val="18"/>
                <w:color w:val="auto"/>
              </w:rPr>
              <w:t>Indenture, dated June 18, 2013, by and between KCAP Senior Funding I, LLC and U.S. Bank</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National Association.</w:t>
            </w:r>
            <w:r>
              <w:rPr>
                <w:rFonts w:ascii="Arial" w:cs="Arial" w:eastAsia="Arial" w:hAnsi="Arial"/>
                <w:sz w:val="29"/>
                <w:szCs w:val="29"/>
                <w:color w:val="auto"/>
                <w:vertAlign w:val="superscript"/>
              </w:rPr>
              <w:t>(24)</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10.24</w:t>
            </w:r>
          </w:p>
        </w:tc>
        <w:tc>
          <w:tcPr>
            <w:tcW w:w="8720" w:type="dxa"/>
            <w:vAlign w:val="bottom"/>
          </w:tcPr>
          <w:p>
            <w:pPr>
              <w:ind w:left="180"/>
              <w:spacing w:after="0"/>
              <w:rPr>
                <w:sz w:val="20"/>
                <w:szCs w:val="20"/>
                <w:color w:val="auto"/>
              </w:rPr>
            </w:pPr>
            <w:r>
              <w:rPr>
                <w:rFonts w:ascii="Arial" w:cs="Arial" w:eastAsia="Arial" w:hAnsi="Arial"/>
                <w:sz w:val="18"/>
                <w:szCs w:val="18"/>
                <w:color w:val="auto"/>
              </w:rPr>
              <w:t>Collateral Management Agreement, dated June 18, 2013, by and between KCAP Senior Funding I,</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LLC and KCAP Financial, Inc.</w:t>
            </w:r>
            <w:r>
              <w:rPr>
                <w:rFonts w:ascii="Arial" w:cs="Arial" w:eastAsia="Arial" w:hAnsi="Arial"/>
                <w:sz w:val="29"/>
                <w:szCs w:val="29"/>
                <w:color w:val="auto"/>
                <w:vertAlign w:val="superscript"/>
              </w:rPr>
              <w:t>(25)</w:t>
            </w:r>
          </w:p>
        </w:tc>
      </w:tr>
      <w:tr>
        <w:trPr>
          <w:trHeight w:val="22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10.25</w:t>
            </w:r>
          </w:p>
        </w:tc>
        <w:tc>
          <w:tcPr>
            <w:tcW w:w="8720" w:type="dxa"/>
            <w:vAlign w:val="bottom"/>
          </w:tcPr>
          <w:p>
            <w:pPr>
              <w:ind w:left="180"/>
              <w:spacing w:after="0"/>
              <w:rPr>
                <w:sz w:val="20"/>
                <w:szCs w:val="20"/>
                <w:color w:val="auto"/>
              </w:rPr>
            </w:pPr>
            <w:r>
              <w:rPr>
                <w:rFonts w:ascii="Arial" w:cs="Arial" w:eastAsia="Arial" w:hAnsi="Arial"/>
                <w:sz w:val="18"/>
                <w:szCs w:val="18"/>
                <w:color w:val="auto"/>
              </w:rPr>
              <w:t>Collateral Administration Agreement, dated June 18, 2013, by and among KCAP Senior Funding I,</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LLC and U.S. Bank National Association and U.S. Bank National Association.</w:t>
            </w:r>
            <w:r>
              <w:rPr>
                <w:rFonts w:ascii="Arial" w:cs="Arial" w:eastAsia="Arial" w:hAnsi="Arial"/>
                <w:sz w:val="29"/>
                <w:szCs w:val="29"/>
                <w:color w:val="auto"/>
                <w:vertAlign w:val="superscript"/>
              </w:rPr>
              <w:t>(26)</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3"/>
              </w:rPr>
              <w:t>10.27</w:t>
            </w:r>
          </w:p>
        </w:tc>
        <w:tc>
          <w:tcPr>
            <w:tcW w:w="8720" w:type="dxa"/>
            <w:vAlign w:val="bottom"/>
          </w:tcPr>
          <w:p>
            <w:pPr>
              <w:ind w:left="180"/>
              <w:spacing w:after="0"/>
              <w:rPr>
                <w:sz w:val="20"/>
                <w:szCs w:val="20"/>
                <w:color w:val="auto"/>
              </w:rPr>
            </w:pPr>
            <w:r>
              <w:rPr>
                <w:rFonts w:ascii="Arial" w:cs="Arial" w:eastAsia="Arial" w:hAnsi="Arial"/>
                <w:sz w:val="18"/>
                <w:szCs w:val="18"/>
                <w:color w:val="auto"/>
              </w:rPr>
              <w:t>Employment Agreement, dated February 29, 2012, by and among, Dean C. Kehler and Trimaran</w:t>
            </w:r>
          </w:p>
        </w:tc>
      </w:tr>
      <w:tr>
        <w:trPr>
          <w:trHeight w:val="220"/>
        </w:trPr>
        <w:tc>
          <w:tcPr>
            <w:tcW w:w="88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Advisors, L.L.C., and, solely as to the last three sentences of Section 1(a) and Section 2(d), the</w:t>
            </w:r>
          </w:p>
        </w:tc>
      </w:tr>
      <w:tr>
        <w:trPr>
          <w:trHeight w:val="253"/>
        </w:trPr>
        <w:tc>
          <w:tcPr>
            <w:tcW w:w="880" w:type="dxa"/>
            <w:vAlign w:val="bottom"/>
          </w:tcPr>
          <w:p>
            <w:pPr>
              <w:spacing w:after="0"/>
              <w:rPr>
                <w:sz w:val="21"/>
                <w:szCs w:val="21"/>
                <w:color w:val="auto"/>
              </w:rPr>
            </w:pPr>
          </w:p>
        </w:tc>
        <w:tc>
          <w:tcPr>
            <w:tcW w:w="8720" w:type="dxa"/>
            <w:vAlign w:val="bottom"/>
          </w:tcPr>
          <w:p>
            <w:pPr>
              <w:ind w:left="180"/>
              <w:spacing w:after="0" w:line="253" w:lineRule="exact"/>
              <w:rPr>
                <w:sz w:val="20"/>
                <w:szCs w:val="20"/>
                <w:color w:val="auto"/>
              </w:rPr>
            </w:pPr>
            <w:r>
              <w:rPr>
                <w:rFonts w:ascii="Arial" w:cs="Arial" w:eastAsia="Arial" w:hAnsi="Arial"/>
                <w:sz w:val="18"/>
                <w:szCs w:val="18"/>
                <w:color w:val="auto"/>
              </w:rPr>
              <w:t>Company.</w:t>
            </w:r>
            <w:r>
              <w:rPr>
                <w:rFonts w:ascii="Arial" w:cs="Arial" w:eastAsia="Arial" w:hAnsi="Arial"/>
                <w:sz w:val="29"/>
                <w:szCs w:val="29"/>
                <w:color w:val="auto"/>
                <w:vertAlign w:val="superscript"/>
              </w:rPr>
              <w:t>(17)</w:t>
            </w:r>
            <w:r>
              <w:rPr>
                <w:rFonts w:ascii="Arial" w:cs="Arial" w:eastAsia="Arial" w:hAnsi="Arial"/>
                <w:sz w:val="18"/>
                <w:szCs w:val="18"/>
                <w:color w:val="auto"/>
              </w:rPr>
              <w:t>*</w:t>
            </w:r>
          </w:p>
        </w:tc>
      </w:tr>
      <w:tr>
        <w:trPr>
          <w:trHeight w:val="216"/>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8720" w:type="dxa"/>
            <w:vAlign w:val="bottom"/>
          </w:tcPr>
          <w:p>
            <w:pPr>
              <w:ind w:left="180"/>
              <w:spacing w:after="0"/>
              <w:rPr>
                <w:sz w:val="20"/>
                <w:szCs w:val="20"/>
                <w:color w:val="auto"/>
              </w:rPr>
            </w:pPr>
            <w:r>
              <w:rPr>
                <w:rFonts w:ascii="Arial" w:cs="Arial" w:eastAsia="Arial" w:hAnsi="Arial"/>
                <w:sz w:val="18"/>
                <w:szCs w:val="18"/>
                <w:color w:val="auto"/>
              </w:rPr>
              <w:t>Computation of Per Share Earnings (included in the notes to the audited financial statements</w:t>
            </w:r>
          </w:p>
        </w:tc>
      </w:tr>
      <w:tr>
        <w:trPr>
          <w:trHeight w:val="216"/>
        </w:trPr>
        <w:tc>
          <w:tcPr>
            <w:tcW w:w="88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contained in this report).</w:t>
            </w:r>
          </w:p>
        </w:tc>
      </w:tr>
      <w:tr>
        <w:trPr>
          <w:trHeight w:val="230"/>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8720" w:type="dxa"/>
            <w:vAlign w:val="bottom"/>
          </w:tcPr>
          <w:p>
            <w:pPr>
              <w:ind w:left="180"/>
              <w:spacing w:after="0"/>
              <w:rPr>
                <w:sz w:val="20"/>
                <w:szCs w:val="20"/>
                <w:color w:val="auto"/>
              </w:rPr>
            </w:pPr>
            <w:r>
              <w:rPr>
                <w:rFonts w:ascii="Arial" w:cs="Arial" w:eastAsia="Arial" w:hAnsi="Arial"/>
                <w:sz w:val="18"/>
                <w:szCs w:val="18"/>
                <w:color w:val="auto"/>
              </w:rPr>
              <w:t>List of Subsidiaries.**</w:t>
            </w:r>
          </w:p>
        </w:tc>
      </w:tr>
      <w:tr>
        <w:trPr>
          <w:trHeight w:val="770"/>
        </w:trPr>
        <w:tc>
          <w:tcPr>
            <w:tcW w:w="880" w:type="dxa"/>
            <w:vAlign w:val="bottom"/>
          </w:tcPr>
          <w:p>
            <w:pPr>
              <w:spacing w:after="0"/>
              <w:rPr>
                <w:sz w:val="24"/>
                <w:szCs w:val="24"/>
                <w:color w:val="auto"/>
              </w:rPr>
            </w:pPr>
          </w:p>
        </w:tc>
        <w:tc>
          <w:tcPr>
            <w:tcW w:w="8720" w:type="dxa"/>
            <w:vAlign w:val="bottom"/>
          </w:tcPr>
          <w:p>
            <w:pPr>
              <w:ind w:left="3780"/>
              <w:spacing w:after="0"/>
              <w:rPr>
                <w:sz w:val="20"/>
                <w:szCs w:val="20"/>
                <w:color w:val="auto"/>
              </w:rPr>
            </w:pPr>
            <w:r>
              <w:rPr>
                <w:rFonts w:ascii="Arial" w:cs="Arial" w:eastAsia="Arial" w:hAnsi="Arial"/>
                <w:sz w:val="18"/>
                <w:szCs w:val="18"/>
                <w:color w:val="auto"/>
              </w:rPr>
              <w:t>E-1</w:t>
            </w:r>
          </w:p>
        </w:tc>
      </w:tr>
      <w:tr>
        <w:trPr>
          <w:trHeight w:val="162"/>
        </w:trPr>
        <w:tc>
          <w:tcPr>
            <w:tcW w:w="880" w:type="dxa"/>
            <w:vAlign w:val="bottom"/>
            <w:tcBorders>
              <w:bottom w:val="single" w:sz="8" w:color="9A9A9A"/>
            </w:tcBorders>
          </w:tcPr>
          <w:p>
            <w:pPr>
              <w:spacing w:after="0"/>
              <w:rPr>
                <w:sz w:val="14"/>
                <w:szCs w:val="14"/>
                <w:color w:val="auto"/>
              </w:rPr>
            </w:pPr>
          </w:p>
        </w:tc>
        <w:tc>
          <w:tcPr>
            <w:tcW w:w="8720" w:type="dxa"/>
            <w:vAlign w:val="bottom"/>
            <w:tcBorders>
              <w:bottom w:val="single" w:sz="8" w:color="9A9A9A"/>
            </w:tcBorders>
          </w:tcPr>
          <w:p>
            <w:pPr>
              <w:spacing w:after="0"/>
              <w:rPr>
                <w:sz w:val="14"/>
                <w:szCs w:val="14"/>
                <w:color w:val="auto"/>
              </w:rPr>
            </w:pPr>
          </w:p>
        </w:tc>
      </w:tr>
      <w:tr>
        <w:trPr>
          <w:trHeight w:val="21"/>
        </w:trPr>
        <w:tc>
          <w:tcPr>
            <w:tcW w:w="880" w:type="dxa"/>
            <w:vAlign w:val="bottom"/>
            <w:tcBorders>
              <w:bottom w:val="single" w:sz="8" w:color="EEEEEE"/>
            </w:tcBorders>
          </w:tcPr>
          <w:p>
            <w:pPr>
              <w:spacing w:after="0" w:line="20" w:lineRule="exact"/>
              <w:rPr>
                <w:sz w:val="1"/>
                <w:szCs w:val="1"/>
                <w:color w:val="auto"/>
              </w:rPr>
            </w:pPr>
          </w:p>
        </w:tc>
        <w:tc>
          <w:tcPr>
            <w:tcW w:w="87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6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2060" w:type="dxa"/>
            <w:vAlign w:val="bottom"/>
            <w:vMerge w:val="restart"/>
          </w:tcPr>
          <w:p>
            <w:pPr>
              <w:ind w:left="13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860" w:type="dxa"/>
            <w:vAlign w:val="bottom"/>
          </w:tcPr>
          <w:p>
            <w:pPr>
              <w:jc w:val="center"/>
              <w:ind w:right="2048"/>
              <w:spacing w:after="0"/>
              <w:rPr>
                <w:sz w:val="20"/>
                <w:szCs w:val="20"/>
                <w:color w:val="auto"/>
              </w:rPr>
            </w:pPr>
            <w:r>
              <w:rPr>
                <w:rFonts w:ascii="Arial" w:cs="Arial" w:eastAsia="Arial" w:hAnsi="Arial"/>
                <w:sz w:val="14"/>
                <w:szCs w:val="14"/>
                <w:b w:val="1"/>
                <w:bCs w:val="1"/>
                <w:color w:val="auto"/>
                <w:w w:val="94"/>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21398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517969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2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Chief Executive Officer Certification Pursuant to Rule 13a-14 of the Securities Exchange Act of</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1934, as adopted pursuant to Section 302 of the Sarbanes-Oxley Act of 2002.**</w:t>
      </w:r>
    </w:p>
    <w:p>
      <w:pPr>
        <w:spacing w:after="0" w:line="9" w:lineRule="exact"/>
        <w:rPr>
          <w:sz w:val="20"/>
          <w:szCs w:val="20"/>
          <w:color w:val="auto"/>
        </w:rPr>
      </w:pPr>
    </w:p>
    <w:p>
      <w:pPr>
        <w:ind w:left="920" w:right="2379" w:hanging="697"/>
        <w:spacing w:after="0" w:line="250"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Chief Financial Officer Certification Pursuant to Rule 13a-14 of the Securities Act of 1934, as adopted pursuant to Section 302 of the Sarbanes-Oxley Act of 2002.**</w:t>
      </w:r>
    </w:p>
    <w:p>
      <w:pPr>
        <w:spacing w:after="0" w:line="1" w:lineRule="exact"/>
        <w:rPr>
          <w:sz w:val="20"/>
          <w:szCs w:val="20"/>
          <w:color w:val="auto"/>
        </w:rPr>
      </w:pPr>
    </w:p>
    <w:p>
      <w:pPr>
        <w:ind w:left="920" w:right="1899" w:hanging="697"/>
        <w:spacing w:after="0" w:line="265"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Chief Executive Officer Certification pursuant to Section 1350, Chapter 63 of Title 18, United States Code, as adopted pursuant to Section 906 of the Sarbanes-Oxley Act of 2002.**</w:t>
      </w:r>
    </w:p>
    <w:p>
      <w:pPr>
        <w:ind w:left="920" w:right="1959" w:hanging="697"/>
        <w:spacing w:after="0" w:line="290"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Chief Financial Officer Certification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172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2.1 of the Current Report on Form 8-K, as filed on March 1, 2012 (File No. 814-00735).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2.2 of the Current Report on Form 8-K, as filed on March 1, 2012 (File No. 814-00735).</w:t>
      </w:r>
    </w:p>
    <w:p>
      <w:pPr>
        <w:spacing w:after="0" w:line="140" w:lineRule="exact"/>
        <w:rPr>
          <w:rFonts w:ascii="Arial" w:cs="Arial" w:eastAsia="Arial" w:hAnsi="Arial"/>
          <w:sz w:val="16"/>
          <w:szCs w:val="16"/>
          <w:color w:val="auto"/>
        </w:rPr>
      </w:pPr>
    </w:p>
    <w:p>
      <w:pPr>
        <w:ind w:left="280" w:right="679" w:hanging="272"/>
        <w:spacing w:after="0" w:line="277" w:lineRule="auto"/>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3.1 of the Current Report on Form 8-K, as filed on March 1, 2012 (File No. 814-00735).</w:t>
      </w:r>
    </w:p>
    <w:p>
      <w:pPr>
        <w:spacing w:after="0" w:line="140" w:lineRule="exact"/>
        <w:rPr>
          <w:rFonts w:ascii="Arial" w:cs="Arial" w:eastAsia="Arial" w:hAnsi="Arial"/>
          <w:sz w:val="16"/>
          <w:szCs w:val="16"/>
          <w:color w:val="auto"/>
        </w:rPr>
      </w:pPr>
    </w:p>
    <w:p>
      <w:pPr>
        <w:ind w:left="280" w:right="819" w:hanging="272"/>
        <w:spacing w:after="0" w:line="277" w:lineRule="auto"/>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4.1 of the Current Report on Form 8-K, as filed on March 16, 2011 (File No. 814-00735).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June 19, 2008 (File No. 814-00735).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10.11 of the Annual Report on Form 10-K, as filed on March 4, 2011 (File No. 814-00735).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Incorporated by reference to Exhibit 10.12 of the Annual Report on Form 10-K, as filed on March 4, 2011 (File No. 814-00735).</w:t>
      </w:r>
    </w:p>
    <w:p>
      <w:pPr>
        <w:spacing w:after="0" w:line="140" w:lineRule="exact"/>
        <w:rPr>
          <w:rFonts w:ascii="Arial" w:cs="Arial" w:eastAsia="Arial" w:hAnsi="Arial"/>
          <w:sz w:val="16"/>
          <w:szCs w:val="16"/>
          <w:color w:val="auto"/>
        </w:rPr>
      </w:pPr>
    </w:p>
    <w:p>
      <w:pPr>
        <w:ind w:left="320" w:right="1039" w:hanging="312"/>
        <w:spacing w:after="0" w:line="308" w:lineRule="auto"/>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Incorporated by reference to Exhibit 10.13 of the Annual Report on Form 10-K, as filed on March 4, 2011 (File No. 814-00735).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(11)Incorporated by reference to the exhibit included in Pre-Effective Amendment No. 3 on Form N-2, as filed on November 24,</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2006 (File No. 333-136714).</w:t>
      </w:r>
    </w:p>
    <w:p>
      <w:pPr>
        <w:spacing w:after="0" w:line="103" w:lineRule="exact"/>
        <w:rPr>
          <w:sz w:val="20"/>
          <w:szCs w:val="20"/>
          <w:color w:val="auto"/>
        </w:rPr>
      </w:pPr>
    </w:p>
    <w:p>
      <w:pPr>
        <w:ind w:left="320" w:right="679" w:hanging="312"/>
        <w:spacing w:after="0" w:line="308" w:lineRule="auto"/>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Incorporated by reference to Exhibit 10.1 of the Quarterly Report on Form 10-Q, as filed on November 8, 2010 (File No. 333-814-00735).</w:t>
      </w:r>
    </w:p>
    <w:p>
      <w:pPr>
        <w:spacing w:after="0" w:line="38" w:lineRule="exact"/>
        <w:rPr>
          <w:rFonts w:ascii="Arial" w:cs="Arial" w:eastAsia="Arial" w:hAnsi="Arial"/>
          <w:sz w:val="17"/>
          <w:szCs w:val="17"/>
          <w:color w:val="auto"/>
        </w:rPr>
      </w:pPr>
    </w:p>
    <w:p>
      <w:pPr>
        <w:ind w:left="320" w:right="599" w:hanging="312"/>
        <w:spacing w:after="0" w:line="308" w:lineRule="auto"/>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Incorporated by reference to Exhibit 4.1 included in the Registration Statement on form S-8, as filed on July 28, 2011 (File No. 333-175838)..</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March 1, 2012 (File No. 814-00735).</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Incorporated by reference to Exhibit 10.2 of the Current Report on Form 8-K, as filed on March 1, 2012 (File No. 814-00735).</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Incorporated by reference to Exhibit 10.4 of the Current Report on Form 8-K, as filed on March 1, 2012 (File No. 814-00735).</w:t>
      </w:r>
    </w:p>
    <w:p>
      <w:pPr>
        <w:spacing w:after="0" w:line="140" w:lineRule="exact"/>
        <w:rPr>
          <w:sz w:val="20"/>
          <w:szCs w:val="20"/>
          <w:color w:val="auto"/>
        </w:rPr>
      </w:pPr>
    </w:p>
    <w:p>
      <w:pPr>
        <w:ind w:left="320" w:right="679" w:hanging="312"/>
        <w:spacing w:after="0" w:line="308" w:lineRule="auto"/>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to Exhibit d.2 included in the Registration Statement in Form N-2, as filed on October 3, 2012 (File No. 333-183032).</w:t>
      </w:r>
    </w:p>
    <w:p>
      <w:pPr>
        <w:spacing w:after="0" w:line="38" w:lineRule="exact"/>
        <w:rPr>
          <w:rFonts w:ascii="Arial" w:cs="Arial" w:eastAsia="Arial" w:hAnsi="Arial"/>
          <w:sz w:val="17"/>
          <w:szCs w:val="17"/>
          <w:color w:val="auto"/>
        </w:rPr>
      </w:pPr>
    </w:p>
    <w:p>
      <w:pPr>
        <w:ind w:left="320" w:right="679" w:hanging="312"/>
        <w:spacing w:after="0" w:line="308" w:lineRule="auto"/>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to exhibit included in the Registration Statement in Form N-2, as filed on October 3, 2012 (File No. 333-183032).</w:t>
      </w:r>
    </w:p>
    <w:p>
      <w:pPr>
        <w:spacing w:after="0" w:line="38" w:lineRule="exact"/>
        <w:rPr>
          <w:rFonts w:ascii="Arial" w:cs="Arial" w:eastAsia="Arial" w:hAnsi="Arial"/>
          <w:sz w:val="17"/>
          <w:szCs w:val="17"/>
          <w:color w:val="auto"/>
        </w:rPr>
      </w:pPr>
    </w:p>
    <w:p>
      <w:pPr>
        <w:ind w:left="320" w:right="699" w:hanging="312"/>
        <w:spacing w:after="0" w:line="308" w:lineRule="auto"/>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to exhibit included in the Registration Statement on Form N-2, as filed on August 2, 2012 (File No. 333-183032).</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June 5, 2012 (File No. 814-00735).</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Exhibit 10.1 of Current Report on Form 8-K, as filed on June 18, 2013.</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Exhibit 10.2 of Current Report on Form 8-K, as filed on June 18, 2013.</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Exhibit 10.3 of Current Report on Form 8-K, as filed on June 18, 2013.</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Exhibit 10.4 of Current Report on Form 8-K, as filed on June 18, 2013.</w:t>
      </w:r>
    </w:p>
    <w:p>
      <w:pPr>
        <w:spacing w:after="0" w:line="140" w:lineRule="exact"/>
        <w:rPr>
          <w:rFonts w:ascii="Arial" w:cs="Arial" w:eastAsia="Arial" w:hAnsi="Arial"/>
          <w:sz w:val="16"/>
          <w:szCs w:val="16"/>
          <w:color w:val="auto"/>
        </w:rPr>
      </w:pPr>
    </w:p>
    <w:p>
      <w:pPr>
        <w:ind w:right="2539" w:firstLine="8"/>
        <w:spacing w:after="0" w:line="39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to Exhibit 10.5 of Current Report on Form 8-K, as filed on June 18, 2013. * Indicates a management contract or compensatory plan, contract or agreement.</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7" w:name="page188"/>
    <w:bookmarkEnd w:id="187"/>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0573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List of Subsidiaries</w:t>
            </w:r>
          </w:p>
        </w:tc>
        <w:tc>
          <w:tcPr>
            <w:tcW w:w="160" w:type="dxa"/>
            <w:vAlign w:val="bottom"/>
          </w:tcPr>
          <w:p>
            <w:pPr>
              <w:spacing w:after="0"/>
              <w:rPr>
                <w:sz w:val="14"/>
                <w:szCs w:val="14"/>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Jurisdiction</w:t>
            </w:r>
          </w:p>
        </w:tc>
      </w:tr>
      <w:tr>
        <w:trPr>
          <w:trHeight w:val="236"/>
        </w:trPr>
        <w:tc>
          <w:tcPr>
            <w:tcW w:w="6860" w:type="dxa"/>
            <w:vAlign w:val="bottom"/>
          </w:tcPr>
          <w:p>
            <w:pPr>
              <w:ind w:left="20"/>
              <w:spacing w:after="0" w:line="236" w:lineRule="exact"/>
              <w:rPr>
                <w:sz w:val="20"/>
                <w:szCs w:val="20"/>
                <w:color w:val="auto"/>
              </w:rPr>
            </w:pPr>
            <w:r>
              <w:rPr>
                <w:rFonts w:ascii="Arial" w:cs="Arial" w:eastAsia="Arial" w:hAnsi="Arial"/>
                <w:sz w:val="17"/>
                <w:szCs w:val="17"/>
                <w:color w:val="auto"/>
              </w:rPr>
              <w:t>Katonah Debt Advisors, L.L.C.</w:t>
            </w:r>
            <w:r>
              <w:rPr>
                <w:rFonts w:ascii="Arial" w:cs="Arial" w:eastAsia="Arial" w:hAnsi="Arial"/>
                <w:sz w:val="27"/>
                <w:szCs w:val="27"/>
                <w:color w:val="auto"/>
                <w:vertAlign w:val="superscript"/>
              </w:rPr>
              <w:t>(1)</w:t>
            </w:r>
          </w:p>
        </w:tc>
        <w:tc>
          <w:tcPr>
            <w:tcW w:w="16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Kohlberg Capital Funding LLC I</w:t>
            </w:r>
          </w:p>
        </w:tc>
        <w:tc>
          <w:tcPr>
            <w:tcW w:w="16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Trimaran Advisors Management, L.L.C.</w:t>
            </w:r>
          </w:p>
        </w:tc>
        <w:tc>
          <w:tcPr>
            <w:tcW w:w="16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KCAP Senior Funding I Holdings, LLC</w:t>
            </w:r>
          </w:p>
        </w:tc>
        <w:tc>
          <w:tcPr>
            <w:tcW w:w="160" w:type="dxa"/>
            <w:vAlign w:val="bottom"/>
          </w:tcPr>
          <w:p>
            <w:pPr>
              <w:spacing w:after="0"/>
              <w:rPr>
                <w:sz w:val="18"/>
                <w:szCs w:val="18"/>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57"/>
        </w:trPr>
        <w:tc>
          <w:tcPr>
            <w:tcW w:w="6860" w:type="dxa"/>
            <w:vAlign w:val="bottom"/>
          </w:tcPr>
          <w:p>
            <w:pPr>
              <w:ind w:left="20"/>
              <w:spacing w:after="0" w:line="256" w:lineRule="exact"/>
              <w:rPr>
                <w:sz w:val="20"/>
                <w:szCs w:val="20"/>
                <w:color w:val="auto"/>
              </w:rPr>
            </w:pPr>
            <w:r>
              <w:rPr>
                <w:rFonts w:ascii="Arial" w:cs="Arial" w:eastAsia="Arial" w:hAnsi="Arial"/>
                <w:sz w:val="18"/>
                <w:szCs w:val="18"/>
                <w:color w:val="auto"/>
              </w:rPr>
              <w:t>KCAP Senior Funding I, LLC</w:t>
            </w:r>
            <w:r>
              <w:rPr>
                <w:rFonts w:ascii="Arial" w:cs="Arial" w:eastAsia="Arial" w:hAnsi="Arial"/>
                <w:sz w:val="29"/>
                <w:szCs w:val="29"/>
                <w:color w:val="auto"/>
                <w:vertAlign w:val="superscript"/>
              </w:rPr>
              <w:t>(4)</w:t>
            </w:r>
          </w:p>
        </w:tc>
        <w:tc>
          <w:tcPr>
            <w:tcW w:w="1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57"/>
        </w:trPr>
        <w:tc>
          <w:tcPr>
            <w:tcW w:w="6860" w:type="dxa"/>
            <w:vAlign w:val="bottom"/>
          </w:tcPr>
          <w:p>
            <w:pPr>
              <w:ind w:left="20"/>
              <w:spacing w:after="0" w:line="256" w:lineRule="exact"/>
              <w:rPr>
                <w:sz w:val="20"/>
                <w:szCs w:val="20"/>
                <w:color w:val="auto"/>
              </w:rPr>
            </w:pPr>
            <w:r>
              <w:rPr>
                <w:rFonts w:ascii="Arial" w:cs="Arial" w:eastAsia="Arial" w:hAnsi="Arial"/>
                <w:sz w:val="18"/>
                <w:szCs w:val="18"/>
                <w:color w:val="auto"/>
              </w:rPr>
              <w:t>Katonah Management Holdings LLC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57"/>
        </w:trPr>
        <w:tc>
          <w:tcPr>
            <w:tcW w:w="6860" w:type="dxa"/>
            <w:vAlign w:val="bottom"/>
          </w:tcPr>
          <w:p>
            <w:pPr>
              <w:ind w:left="20"/>
              <w:spacing w:after="0" w:line="256" w:lineRule="exact"/>
              <w:rPr>
                <w:sz w:val="20"/>
                <w:szCs w:val="20"/>
                <w:color w:val="auto"/>
              </w:rPr>
            </w:pPr>
            <w:r>
              <w:rPr>
                <w:rFonts w:ascii="Arial" w:cs="Arial" w:eastAsia="Arial" w:hAnsi="Arial"/>
                <w:sz w:val="18"/>
                <w:szCs w:val="18"/>
                <w:color w:val="auto"/>
              </w:rPr>
              <w:t>Katonah X Management LLC</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57"/>
        </w:trPr>
        <w:tc>
          <w:tcPr>
            <w:tcW w:w="6860" w:type="dxa"/>
            <w:vAlign w:val="bottom"/>
          </w:tcPr>
          <w:p>
            <w:pPr>
              <w:ind w:left="20"/>
              <w:spacing w:after="0" w:line="256" w:lineRule="exact"/>
              <w:rPr>
                <w:sz w:val="20"/>
                <w:szCs w:val="20"/>
                <w:color w:val="auto"/>
              </w:rPr>
            </w:pPr>
            <w:r>
              <w:rPr>
                <w:rFonts w:ascii="Arial" w:cs="Arial" w:eastAsia="Arial" w:hAnsi="Arial"/>
                <w:sz w:val="18"/>
                <w:szCs w:val="18"/>
                <w:color w:val="auto"/>
              </w:rPr>
              <w:t>Katonah 2007-I Management LLC</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257"/>
        </w:trPr>
        <w:tc>
          <w:tcPr>
            <w:tcW w:w="6860" w:type="dxa"/>
            <w:vAlign w:val="bottom"/>
          </w:tcPr>
          <w:p>
            <w:pPr>
              <w:ind w:left="20"/>
              <w:spacing w:after="0" w:line="256" w:lineRule="exact"/>
              <w:rPr>
                <w:sz w:val="20"/>
                <w:szCs w:val="20"/>
                <w:color w:val="auto"/>
              </w:rPr>
            </w:pPr>
            <w:r>
              <w:rPr>
                <w:rFonts w:ascii="Arial" w:cs="Arial" w:eastAsia="Arial" w:hAnsi="Arial"/>
                <w:sz w:val="18"/>
                <w:szCs w:val="18"/>
                <w:color w:val="auto"/>
              </w:rPr>
              <w:t>Commodore Holdings, L.L.C.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r>
        <w:trPr>
          <w:trHeight w:val="381"/>
        </w:trPr>
        <w:tc>
          <w:tcPr>
            <w:tcW w:w="6860" w:type="dxa"/>
            <w:vAlign w:val="bottom"/>
          </w:tcPr>
          <w:p>
            <w:pPr>
              <w:ind w:left="20"/>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(1)(3)</w:t>
            </w:r>
          </w:p>
        </w:tc>
        <w:tc>
          <w:tcPr>
            <w:tcW w:w="16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Delaware</w:t>
            </w:r>
          </w:p>
        </w:tc>
      </w:tr>
    </w:tbl>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 wholly-owned portfolio company that is not consolidated for financial reporting purposes.</w:t>
      </w:r>
    </w:p>
    <w:p>
      <w:pPr>
        <w:spacing w:after="0" w:line="101" w:lineRule="exact"/>
        <w:rPr>
          <w:rFonts w:ascii="Arial" w:cs="Arial" w:eastAsia="Arial" w:hAnsi="Arial"/>
          <w:sz w:val="18"/>
          <w:szCs w:val="18"/>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wholly-owned subsidiary of Katonah Management Holdings LLC.</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wholly-owned subsidiary of Commodore Holdings, L.L.C.</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wholly-owned subsidiary of KCAP Senior Funding I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465455</wp:posOffset>
            </wp:positionV>
            <wp:extent cx="6114415" cy="596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351" w:right="1440" w:bottom="1440" w:gutter="0" w:footer="0" w:header="0"/>
        </w:sectPr>
      </w:pPr>
    </w:p>
    <w:bookmarkStart w:id="188" w:name="page189"/>
    <w:bookmarkEnd w:id="188"/>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Dayl W. Pearson, certify that:</w:t>
      </w:r>
    </w:p>
    <w:p>
      <w:pPr>
        <w:spacing w:after="0" w:line="117" w:lineRule="exact"/>
        <w:rPr>
          <w:sz w:val="20"/>
          <w:szCs w:val="20"/>
          <w:color w:val="auto"/>
        </w:rPr>
      </w:pPr>
    </w:p>
    <w:p>
      <w:pPr>
        <w:ind w:left="540" w:hanging="26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2016</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15240</wp:posOffset>
            </wp:positionV>
            <wp:extent cx="204978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89" w:name="page190"/>
    <w:bookmarkEnd w:id="189"/>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540" w:hanging="26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Date:March 9, 2016</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90" w:name="page191"/>
    <w:bookmarkEnd w:id="190"/>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39" w:firstLine="270"/>
        <w:spacing w:after="0" w:line="286" w:lineRule="auto"/>
        <w:rPr>
          <w:sz w:val="20"/>
          <w:szCs w:val="20"/>
          <w:color w:val="auto"/>
        </w:rPr>
      </w:pPr>
      <w:r>
        <w:rPr>
          <w:rFonts w:ascii="Arial" w:cs="Arial" w:eastAsia="Arial" w:hAnsi="Arial"/>
          <w:sz w:val="17"/>
          <w:szCs w:val="17"/>
          <w:color w:val="auto"/>
        </w:rPr>
        <w:t>In connection with the accompanying Annual Report of KCAP Financial, Inc.(the “Company”) on Form 10-K for the year ended December 31, 2015 (the “Report”), I, Dayl W. Pearson, President and Chief Executive Officer of the Company, certify, pursuant to 18 U.S.C. §1350, as adopted pursuant to §906 of the Sarbanes-Oxley Act of 2002, that:</w:t>
      </w:r>
    </w:p>
    <w:p>
      <w:pPr>
        <w:spacing w:after="0" w:line="57" w:lineRule="exact"/>
        <w:rPr>
          <w:sz w:val="20"/>
          <w:szCs w:val="20"/>
          <w:color w:val="auto"/>
        </w:rPr>
      </w:pPr>
    </w:p>
    <w:p>
      <w:pPr>
        <w:ind w:left="540" w:right="679" w:hanging="262"/>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2016</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91" w:name="page192"/>
    <w:bookmarkEnd w:id="191"/>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In connection with the accompanying Annual Report of KCAP Financial, Inc.(the “Company”) on Form 10-K for the year ended December 31, 2015 (the “Report”), I, Edward U. Gilpin, Chief Financial Officer of the Company, certify, pursuant to 18 U.S.C. §1350, as adopted pursuant to §906 of the Sarbanes-Oxley Act of 2002, that:</w:t>
      </w:r>
    </w:p>
    <w:p>
      <w:pPr>
        <w:spacing w:after="0" w:line="73" w:lineRule="exact"/>
        <w:rPr>
          <w:sz w:val="20"/>
          <w:szCs w:val="20"/>
          <w:color w:val="auto"/>
        </w:rPr>
      </w:pPr>
    </w:p>
    <w:p>
      <w:pPr>
        <w:ind w:left="540" w:right="679" w:hanging="262"/>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2016</w:t>
      </w:r>
      <w:r>
        <w:rPr>
          <w:sz w:val="20"/>
          <w:szCs w:val="20"/>
          <w:color w:val="auto"/>
        </w:rPr>
        <w:tab/>
      </w:r>
      <w:r>
        <w:rPr>
          <w:rFonts w:ascii="Arial" w:cs="Arial" w:eastAsia="Arial" w:hAnsi="Arial"/>
          <w:sz w:val="17"/>
          <w:szCs w:val="17"/>
          <w:color w:val="auto"/>
        </w:rPr>
        <w:t>By: /</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15240</wp:posOffset>
            </wp:positionV>
            <wp:extent cx="204978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x"/>
      <w:numFmt w:val="bullet"/>
      <w:start w:val="1"/>
    </w:lvl>
  </w:abstractNum>
  <w:abstractNum w:abstractNumId="1">
    <w:nsid w:val="57E4CCAF"/>
    <w:multiLevelType w:val="hybridMultilevel"/>
    <w:lvl w:ilvl="0">
      <w:lvlJc w:val="left"/>
      <w:lvlText w:val="o"/>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
      <w:numFmt w:val="bullet"/>
      <w:start w:val="1"/>
    </w:lvl>
    <w:lvl w:ilvl="1">
      <w:lvlJc w:val="left"/>
      <w:lvlText w:val="(%2)"/>
      <w:numFmt w:val="lowerLetter"/>
      <w:start w:val="1"/>
    </w:lvl>
  </w:abstractNum>
  <w:abstractNum w:abstractNumId="16">
    <w:nsid w:val="12E685FB"/>
    <w:multiLevelType w:val="hybridMultilevel"/>
    <w:lvl w:ilvl="0">
      <w:lvlJc w:val="left"/>
      <w:lvlText w:val="(%1)"/>
      <w:numFmt w:val="lowerLetter"/>
      <w:start w:val="3"/>
    </w:lvl>
    <w:lvl w:ilvl="1">
      <w:lvlJc w:val="left"/>
      <w:lvlText w:val="(%2)"/>
      <w:numFmt w:val="lowerRoman"/>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lvl w:ilvl="1">
      <w:lvlJc w:val="left"/>
      <w:lvlText w:val="º"/>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3"/>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2"/>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lowerLetter"/>
      <w:start w:val="1"/>
    </w:lvl>
    <w:lvl w:ilvl="1">
      <w:lvlJc w:val="left"/>
      <w:lvlText w:val="%2."/>
      <w:numFmt w:val="decimal"/>
      <w:start w:val="1"/>
    </w:lvl>
  </w:abstractNum>
  <w:abstractNum w:abstractNumId="42">
    <w:nsid w:val="25A70BF7"/>
    <w:multiLevelType w:val="hybridMultilevel"/>
    <w:lvl w:ilvl="0">
      <w:lvlJc w:val="left"/>
      <w:lvlText w:val="%1."/>
      <w:numFmt w:val="upperLetter"/>
      <w:start w:val="3"/>
    </w:lvl>
  </w:abstractNum>
  <w:abstractNum w:abstractNumId="43">
    <w:nsid w:val="1DBABF00"/>
    <w:multiLevelType w:val="hybridMultilevel"/>
    <w:lvl w:ilvl="0">
      <w:lvlJc w:val="left"/>
      <w:lvlText w:val="%1"/>
      <w:numFmt w:val="upperLetter"/>
      <w:start w:val="54"/>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upperLetter"/>
      <w:start w:val="54"/>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upperLetter"/>
      <w:start w:val="6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lowerRoman"/>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2"/>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1:"/>
      <w:numFmt w:val="decimal"/>
      <w:start w:val="820"/>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decimal"/>
      <w:start w:val="2"/>
    </w:lvl>
    <w:lvl w:ilvl="1">
      <w:lvlJc w:val="left"/>
      <w:lvlText w:val="%2."/>
      <w:numFmt w:val="decimal"/>
      <w:start w:val="4"/>
    </w:lvl>
  </w:abstractNum>
  <w:abstractNum w:abstractNumId="68">
    <w:nsid w:val="8F2B15E"/>
    <w:multiLevelType w:val="hybridMultilevel"/>
    <w:lvl w:ilvl="0">
      <w:lvlJc w:val="left"/>
      <w:lvlText w:val="%1)"/>
      <w:numFmt w:val="lowerRoman"/>
      <w:start w:val="5"/>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2"/>
    </w:lvl>
    <w:lvl w:ilvl="1">
      <w:lvlJc w:val="left"/>
      <w:lvlText w:val="%2."/>
      <w:numFmt w:val="decimal"/>
      <w:start w:val="3"/>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2"/>
    </w:lvl>
  </w:abstractNum>
  <w:abstractNum w:abstractNumId="80">
    <w:nsid w:val="7FB7E0AA"/>
    <w:multiLevelType w:val="hybridMultilevel"/>
    <w:lvl w:ilvl="0">
      <w:lvlJc w:val="left"/>
      <w:lvlText w:val="(%1)"/>
      <w:numFmt w:val="decimal"/>
      <w:start w:val="17"/>
    </w:lvl>
  </w:abstractNum>
  <w:abstractNum w:abstractNumId="81">
    <w:nsid w:val="6EB5BD4"/>
    <w:multiLevelType w:val="hybridMultilevel"/>
    <w:lvl w:ilvl="0">
      <w:lvlJc w:val="left"/>
      <w:lvlText w:val="(%1)"/>
      <w:numFmt w:val="decimal"/>
      <w:start w:val="18"/>
    </w:lvl>
  </w:abstractNum>
  <w:abstractNum w:abstractNumId="82">
    <w:nsid w:val="6F6DD9AC"/>
    <w:multiLevelType w:val="hybridMultilevel"/>
    <w:lvl w:ilvl="0">
      <w:lvlJc w:val="left"/>
      <w:lvlText w:val="(%1)"/>
      <w:numFmt w:val="decimal"/>
      <w:start w:val="22"/>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2019-12-29T13:13:04Z</dcterms:created>
  <dcterms:modified xsi:type="dcterms:W3CDTF">2019-12-29T13:13:04Z</dcterms:modified>
</cp:coreProperties>
</file>